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Advanced Innovation Annex: Future-Proofing the UDB (2026-2030)</w:t>
      </w:r>
    </w:p>
    <w:p>
      <w:pPr>
        <w:pStyle w:val="MdParagraph"/>
      </w:pPr>
      <w:r>
        <w:rPr>
          <w:rStyle w:val="MdStrong"/>
          <w:b/>
          <w:bCs/>
        </w:rPr>
        <w:t xml:space="preserve">Author:</w:t>
      </w:r>
      <w:r>
        <w:t xml:space="preserve"> Lead AI &amp; Future Skills Advisor
</w:t>
      </w:r>
      <w:r>
        <w:rPr>
          <w:rStyle w:val="MdStrong"/>
          <w:b/>
          <w:bCs/>
        </w:rPr>
        <w:t xml:space="preserve">Focus:</w:t>
      </w:r>
      <w:r>
        <w:t xml:space="preserve"> Frontier AI, Neuro-Pedagogy, and Decentralized Skill Economies
</w:t>
      </w:r>
      <w:r>
        <w:rPr>
          <w:rStyle w:val="MdStrong"/>
          <w:b/>
          <w:bCs/>
        </w:rPr>
        <w:t xml:space="preserve">Status:</w:t>
      </w:r>
      <w:r>
        <w:t xml:space="preserve"> Strategic Integration Layer for Replit AI Submission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Frontier AI Integration: Beyond Generative to Agentic</w:t>
      </w:r>
    </w:p>
    <w:p>
      <w:pPr>
        <w:pStyle w:val="MdParagraph"/>
      </w:pPr>
      <w:r>
        <w:t xml:space="preserve">While 2024-2025 focused on "Generative" AI (chatting), the 2026-2030 era is defined by </w:t>
      </w:r>
      <w:r>
        <w:rPr>
          <w:rStyle w:val="MdStrong"/>
          <w:b/>
          <w:bCs/>
        </w:rPr>
        <w:t xml:space="preserve">"Agentic" AI</w:t>
      </w:r>
      <w:r>
        <w:t xml:space="preserve">. Our platform will shift from a "Tutor" to a "Digital Proxy."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Autonomous Skill Agents (ASAs)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Concept:</w:t>
      </w:r>
      <w:r>
        <w:t xml:space="preserve"> Instead of the child just learning to code, the platform provides them with an "AI Junior Developer" they must manage.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Value:</w:t>
      </w:r>
      <w:r>
        <w:t xml:space="preserve"> Teaches </w:t>
      </w:r>
      <w:r>
        <w:rPr>
          <w:rStyle w:val="MdStrong"/>
          <w:b/>
          <w:bCs/>
        </w:rPr>
        <w:t xml:space="preserve">AI Orchestration</w:t>
      </w:r>
      <w:r>
        <w:t xml:space="preserve">—the most critical skill of the 2030 workforce. The child learns to prompt, review, and deploy code through their ASA.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Implementation:</w:t>
      </w:r>
      <w:r>
        <w:t xml:space="preserve"> Integration with Replit Agent APIs to allow children to build real software via their AI proxy.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Multimodal Emotional Intelligence (mEQ)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Advancement:</w:t>
      </w:r>
      <w:r>
        <w:t xml:space="preserve"> Moving beyond text sentiment to </w:t>
      </w:r>
      <w:r>
        <w:rPr>
          <w:rStyle w:val="MdStrong"/>
          <w:b/>
          <w:bCs/>
        </w:rPr>
        <w:t xml:space="preserve">Real-time Video/Voice Affective Computing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Functionality:</w:t>
      </w:r>
      <w:r>
        <w:t xml:space="preserve"> The AI Life Coach detects micro-expressions and vocal tremors during study sessions to identify "Silent Frustration" before the child gives up.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Innovation:</w:t>
      </w:r>
      <w:r>
        <w:t xml:space="preserve"> "Adaptive Scaffolding" that changes the AI's tone from "Encouraging Mentor" to "Strict Coach" based on the child's real-time emotional resilience profile.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Neuro-Pedagogy &amp; Cognitive Optimization</w:t>
      </w:r>
    </w:p>
    <w:p>
      <w:pPr>
        <w:pStyle w:val="MdParagraph"/>
      </w:pPr>
      <w:r>
        <w:t xml:space="preserve">Leveraging the latest in brain-computer interface (BCI) trends and cognitive science.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The "Flow State" Optimizer (Biometric 2.0)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Integration:</w:t>
      </w:r>
      <w:r>
        <w:t xml:space="preserve"> Partnership with wearable EEG/ECG providers (e.g., Oura, Muse, or future Apple Watch sensors).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Service:</w:t>
      </w:r>
      <w:r>
        <w:t xml:space="preserve"> The platform identifies the user's </w:t>
      </w:r>
      <w:r>
        <w:rPr>
          <w:rStyle w:val="MdStrong"/>
          <w:b/>
          <w:bCs/>
        </w:rPr>
        <w:t xml:space="preserve">"Cognitive Chronotype"</w:t>
      </w:r>
      <w:r>
        <w:t xml:space="preserve"> (when their brain is most plastic for specific tasks like logic vs. creativity) and dynamically reorders their LMS syllabus to match their biological peak.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Spaced Repetition via "Passive Environmental Cues"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Methodology:</w:t>
      </w:r>
      <w:r>
        <w:t xml:space="preserve"> Using the "Omni-Channel Agent" to inject micro-learning moments into non-educational activities (e.g., a math puzzle must be solved to unlock a 10-minute gaming session, tailored to the specific skill the child is currently struggling with).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Decentralized Skill Economies &amp; The "Creator-Preneur"</w:t>
      </w:r>
    </w:p>
    <w:p>
      <w:pPr>
        <w:pStyle w:val="MdParagraph"/>
      </w:pPr>
      <w:r>
        <w:t xml:space="preserve">The future of work is fragmented and project-based.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Skill-Collateralized Loans (SCLs)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Innovation:</w:t>
      </w:r>
      <w:r>
        <w:t xml:space="preserve"> For older users (18-23), their "Achievement NFTs" (SBTs) act as collateral. High-performing students can unlock "Micro-Grants" for their entrepreneurship projects based on their verifiable skill history.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Functionality:</w:t>
      </w:r>
      <w:r>
        <w:t xml:space="preserve"> A decentralized finance (DeFi) layer within the platform that rewards academic excellence with real-world startup capital.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Global Talent Arbitrage for Teens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Service:</w:t>
      </w:r>
      <w:r>
        <w:t xml:space="preserve"> A "Junior Freelance Marketplace" where 14-17 year olds can perform "AI-Human Hybrid" tasks for vetted global companies, building a professional resume before they even graduate high school.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Strategic Partnerships &amp; Emerging Standards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Partner 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Potential Partners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Integration 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Compute/IDE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Replit, GitHub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Direct "Sandbox-to-Market" pipeline for student projects.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Credentialing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LinkedIn, Coursera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Automatic verification of UDB Achievement NFTs on professional networks.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Hardware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Apple (Vision Pro), Meta (Quest)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Immersive "Joon World" 3D learning experiences.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Financial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Stripe, Mercury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Automated business banking for "Kid-Preneur" ventures.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Alignment with "Industry 5.0"</w:t>
      </w:r>
    </w:p>
    <w:p>
      <w:pPr>
        <w:pStyle w:val="MdParagraph"/>
      </w:pPr>
      <w:r>
        <w:t xml:space="preserve">Industry 5.0 focuses on the </w:t>
      </w:r>
      <w:r>
        <w:rPr>
          <w:rStyle w:val="MdStrong"/>
          <w:b/>
          <w:bCs/>
        </w:rPr>
        <w:t xml:space="preserve">Human-Robot Collaboration</w:t>
      </w:r>
      <w:r>
        <w:t xml:space="preserve">. Our platform aligns with this by: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Personalization at Scale:</w:t>
      </w:r>
      <w:r>
        <w:t xml:space="preserve"> Using AI to provide a "Private School Experience" for the cost of a SaaS subscription.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Hyper-Human Skills:</w:t>
      </w:r>
      <w:r>
        <w:t xml:space="preserve"> Prioritizing Ethics, Empathy, and Critical Thinking—skills that AI cannot easily replicate.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Sustainable Growth:</w:t>
      </w:r>
      <w:r>
        <w:t xml:space="preserve"> Using biometric data to ensure that the drive for success does not lead to childhood burnout.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Conclusion for Replit AI</w:t>
      </w:r>
    </w:p>
    <w:p>
      <w:pPr>
        <w:pStyle w:val="MdParagraph"/>
      </w:pPr>
      <w:r>
        <w:rPr>
          <w:rStyle w:val="MdStrong"/>
          <w:b/>
          <w:bCs/>
        </w:rPr>
        <w:t xml:space="preserve">Replit AI should treat this Annex as the "Visionary North Star."</w:t>
      </w:r>
      <w:r>
        <w:t xml:space="preserve"> While Phase 1-4 builds the functional backbone, this Annex defines the </w:t>
      </w:r>
      <w:r>
        <w:rPr>
          <w:rStyle w:val="MdStrong"/>
          <w:b/>
          <w:bCs/>
        </w:rPr>
        <w:t xml:space="preserve">Long-Term Competitive Moat</w:t>
      </w:r>
      <w:r>
        <w:t xml:space="preserve">.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Implementation Note:</w:t>
      </w:r>
      <w:r>
        <w:t xml:space="preserve"> Ensure the database schema for the </w:t>
      </w:r>
      <w:r>
        <w:rPr>
          <w:rStyle w:val="MdCode"/>
          <w:u w:val="single"/>
        </w:rPr>
        <w:t xml:space="preserve">Unified User Profile (UUP)</w:t>
      </w:r>
      <w:r>
        <w:t xml:space="preserve"> includes extensible metadata fields for </w:t>
      </w:r>
      <w:r>
        <w:rPr>
          <w:rStyle w:val="MdCode"/>
          <w:u w:val="single"/>
        </w:rPr>
        <w:t xml:space="preserve">biometric_eeg_data</w:t>
      </w:r>
      <w:r>
        <w:t xml:space="preserve"> and </w:t>
      </w:r>
      <w:r>
        <w:rPr>
          <w:rStyle w:val="MdCode"/>
          <w:u w:val="single"/>
        </w:rPr>
        <w:t xml:space="preserve">blockchain_wallet_address</w:t>
      </w:r>
      <w:r>
        <w:t xml:space="preserve"> to support these future integrations.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2026-05-02T07:53:11.581Z</dcterms:created>
  <dcterms:modified xsi:type="dcterms:W3CDTF">2026-05-02T07:53:11.581Z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