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NanumSquare" w:hAnsi="NanumSquare" w:eastAsia="NanumSquare"/>
          <w:b/>
          <w:color w:val="2F5597"/>
          <w:sz w:val="20"/>
        </w:rPr>
        <w:t>DELIVERABLE 01</w:t>
      </w:r>
    </w:p>
    <w:p>
      <w:pPr>
        <w:pStyle w:val="Title"/>
        <w:jc w:val="left"/>
      </w:pPr>
      <w:r>
        <w:rPr>
          <w:rFonts w:ascii="NanumSquare" w:hAnsi="NanumSquare" w:eastAsia="NanumSquare"/>
          <w:b/>
          <w:color w:val="17365D"/>
          <w:sz w:val="46"/>
        </w:rPr>
        <w:t>LLM 모델 비교 및 최종 선정 보고서</w:t>
      </w:r>
    </w:p>
    <w:p>
      <w:pPr>
        <w:pStyle w:val="Subtitle"/>
      </w:pPr>
      <w:r>
        <w:rPr>
          <w:rFonts w:ascii="NanumSquare" w:hAnsi="NanumSquare" w:eastAsia="NanumSquare"/>
          <w:color w:val="666666"/>
          <w:sz w:val="22"/>
        </w:rPr>
        <w:t>동일 업무 과업 프롬프트의 GPT·Gemini·Fable 실행 결과 비교</w:t>
      </w:r>
    </w:p>
    <w:p/>
    <w:tbl>
      <w:tblPr>
        <w:tblStyle w:val="TableGrid"/>
        <w:tblW w:type="auto" w:w="0"/>
        <w:jc w:val="left"/>
        <w:tblLook w:firstColumn="1" w:firstRow="1" w:lastColumn="0" w:lastRow="0" w:noHBand="0" w:noVBand="1" w:val="04A0"/>
      </w:tblPr>
      <w:tblGrid>
        <w:gridCol w:w="4819"/>
        <w:gridCol w:w="4819"/>
      </w:tblGrid>
      <w:tr>
        <w:tc>
          <w:tcPr>
            <w:tcW w:type="dxa" w:w="4819"/>
            <w:shd w:fill="EAF0F8"/>
            <w:vAlign w:val="center"/>
            <w:tcMar>
              <w:top w:w="80" w:type="dxa"/>
              <w:start w:w="100" w:type="dxa"/>
              <w:bottom w:w="80" w:type="dxa"/>
              <w:end w:w="100" w:type="dxa"/>
            </w:tcMar>
          </w:tcPr>
          <w:p>
            <w:r>
              <w:rPr>
                <w:rFonts w:ascii="NanumSquare" w:hAnsi="NanumSquare" w:eastAsia="NanumSquare"/>
                <w:b/>
                <w:sz w:val="18"/>
              </w:rPr>
              <w:t>미션</w:t>
            </w:r>
          </w:p>
        </w:tc>
        <w:tc>
          <w:tcPr>
            <w:tcW w:type="dxa" w:w="4819"/>
            <w:vAlign w:val="center"/>
            <w:tcMar>
              <w:top w:w="80" w:type="dxa"/>
              <w:start w:w="100" w:type="dxa"/>
              <w:bottom w:w="80" w:type="dxa"/>
              <w:end w:w="100" w:type="dxa"/>
            </w:tcMar>
          </w:tcPr>
          <w:p>
            <w:r>
              <w:rPr>
                <w:rFonts w:ascii="NanumSquare" w:hAnsi="NanumSquare" w:eastAsia="NanumSquare"/>
                <w:b w:val="0"/>
                <w:sz w:val="18"/>
              </w:rPr>
              <w:t>GenAI 기초 1 · LLM 기반 업무 자동화</w:t>
            </w:r>
          </w:p>
        </w:tc>
      </w:tr>
      <w:tr>
        <w:tc>
          <w:tcPr>
            <w:tcW w:type="dxa" w:w="4819"/>
            <w:shd w:fill="EAF0F8"/>
            <w:vAlign w:val="center"/>
            <w:tcMar>
              <w:top w:w="80" w:type="dxa"/>
              <w:start w:w="100" w:type="dxa"/>
              <w:bottom w:w="80" w:type="dxa"/>
              <w:end w:w="100" w:type="dxa"/>
            </w:tcMar>
          </w:tcPr>
          <w:p>
            <w:r>
              <w:rPr>
                <w:rFonts w:ascii="NanumSquare" w:hAnsi="NanumSquare" w:eastAsia="NanumSquare"/>
                <w:b/>
                <w:sz w:val="18"/>
              </w:rPr>
              <w:t>작성 기준일</w:t>
            </w:r>
          </w:p>
        </w:tc>
        <w:tc>
          <w:tcPr>
            <w:tcW w:type="dxa" w:w="4819"/>
            <w:vAlign w:val="center"/>
            <w:tcMar>
              <w:top w:w="80" w:type="dxa"/>
              <w:start w:w="100" w:type="dxa"/>
              <w:bottom w:w="80" w:type="dxa"/>
              <w:end w:w="100" w:type="dxa"/>
            </w:tcMar>
          </w:tcPr>
          <w:p>
            <w:r>
              <w:rPr>
                <w:rFonts w:ascii="NanumSquare" w:hAnsi="NanumSquare" w:eastAsia="NanumSquare"/>
                <w:b w:val="0"/>
                <w:sz w:val="18"/>
              </w:rPr>
              <w:t>2026년 7월 11일</w:t>
            </w:r>
          </w:p>
        </w:tc>
      </w:tr>
      <w:tr>
        <w:tc>
          <w:tcPr>
            <w:tcW w:type="dxa" w:w="4819"/>
            <w:shd w:fill="EAF0F8"/>
            <w:vAlign w:val="center"/>
            <w:tcMar>
              <w:top w:w="80" w:type="dxa"/>
              <w:start w:w="100" w:type="dxa"/>
              <w:bottom w:w="80" w:type="dxa"/>
              <w:end w:w="100" w:type="dxa"/>
            </w:tcMar>
          </w:tcPr>
          <w:p>
            <w:r>
              <w:rPr>
                <w:rFonts w:ascii="NanumSquare" w:hAnsi="NanumSquare" w:eastAsia="NanumSquare"/>
                <w:b/>
                <w:sz w:val="18"/>
              </w:rPr>
              <w:t>분석 자료</w:t>
            </w:r>
          </w:p>
        </w:tc>
        <w:tc>
          <w:tcPr>
            <w:tcW w:type="dxa" w:w="4819"/>
            <w:vAlign w:val="center"/>
            <w:tcMar>
              <w:top w:w="80" w:type="dxa"/>
              <w:start w:w="100" w:type="dxa"/>
              <w:bottom w:w="80" w:type="dxa"/>
              <w:end w:w="100" w:type="dxa"/>
            </w:tcMar>
          </w:tcPr>
          <w:p>
            <w:r>
              <w:rPr>
                <w:rFonts w:ascii="NanumSquare" w:hAnsi="NanumSquare" w:eastAsia="NanumSquare"/>
                <w:b w:val="0"/>
                <w:sz w:val="18"/>
              </w:rPr>
              <w:t>시스템 프롬프트 대화로그, GPT·Gemini·Fable 실행 로그</w:t>
            </w:r>
          </w:p>
        </w:tc>
      </w:tr>
    </w:tbl>
    <w:p/>
    <w:p>
      <w:r>
        <w:rPr>
          <w:rFonts w:ascii="NanumSquare" w:hAnsi="NanumSquare" w:eastAsia="NanumSquare"/>
          <w:b/>
          <w:color w:val="2F5597"/>
          <w:sz w:val="19"/>
        </w:rPr>
        <w:t>제출용 정리본</w:t>
      </w:r>
    </w:p>
    <w:p>
      <w:r>
        <w:br w:type="page"/>
      </w:r>
    </w:p>
    <w:p>
      <w:pPr>
        <w:pStyle w:val="Heading1"/>
      </w:pPr>
      <w:r>
        <w:t>요약</w:t>
      </w:r>
    </w:p>
    <w:tbl>
      <w:tblPr>
        <w:tblStyle w:val="TableGrid"/>
        <w:tblW w:type="auto" w:w="0"/>
        <w:jc w:val="center"/>
        <w:tblLook w:firstColumn="1" w:firstRow="1" w:lastColumn="0" w:lastRow="0" w:noHBand="0" w:noVBand="1" w:val="04A0"/>
      </w:tblPr>
      <w:tblGrid>
        <w:gridCol w:w="9638"/>
      </w:tblGrid>
      <w:tr>
        <w:tc>
          <w:tcPr>
            <w:tcW w:type="dxa" w:w="9638"/>
            <w:shd w:fill="E8F1FB"/>
            <w:tcMar>
              <w:top w:w="160" w:type="dxa"/>
              <w:start w:w="180" w:type="dxa"/>
              <w:bottom w:w="160" w:type="dxa"/>
              <w:end w:w="180" w:type="dxa"/>
            </w:tcMar>
          </w:tcPr>
          <w:p>
            <w:r>
              <w:rPr>
                <w:rFonts w:ascii="NanumSquare" w:hAnsi="NanumSquare" w:eastAsia="NanumSquare"/>
                <w:b/>
                <w:color w:val="17365D"/>
                <w:sz w:val="22"/>
              </w:rPr>
              <w:t>최종 선정: GPT</w:t>
              <w:br/>
            </w:r>
            <w:r>
              <w:rPr>
                <w:rFonts w:ascii="NanumSquare" w:hAnsi="NanumSquare" w:eastAsia="NanumSquare"/>
                <w:color w:val="1F1F1F"/>
                <w:sz w:val="19"/>
              </w:rPr>
              <w:t>GPT는 핵심 개념을 가장 안정적으로 유지하면서 기존 통제변수 대비 선택기회지수의 추가 설명력을 검증하는 연구모형을 제시하였다. Fable은 단계 설계와 감사가 강점이지만 최종 통합본에서 핵심 변수 체계가 변형되었고, Gemini는 구현 아이디어가 풍부하나 미검증 수치와 데이터 취득 가정이 많았다.</w:t>
            </w:r>
          </w:p>
        </w:tc>
      </w:tr>
    </w:tbl>
    <w:p/>
    <w:p>
      <w:r>
        <w:rPr>
          <w:rFonts w:ascii="NanumSquare" w:hAnsi="NanumSquare" w:eastAsia="NanumSquare"/>
          <w:sz w:val="20"/>
        </w:rPr>
        <w:t>최종 종합점수는 GPT 86.3점, Fable 80.1점, Gemini 58.0점이다. 최종 기준본은 GPT 산출물로 선정하되, Fable의 위험 등록부·모형 비교·감사 절차를 결합하고 Gemini의 GIS·영상분석 아이디어는 후속 확장안으로 제한적으로 활용하는 것이 적절하다.</w:t>
      </w:r>
    </w:p>
    <w:p>
      <w:pPr>
        <w:pStyle w:val="Heading1"/>
      </w:pPr>
      <w:r>
        <w:t>1. 평가 목적과 실험 범위</w:t>
      </w:r>
    </w:p>
    <w:p>
      <w:r>
        <w:rPr>
          <w:rFonts w:ascii="NanumSquare" w:hAnsi="NanumSquare" w:eastAsia="NanumSquare"/>
          <w:sz w:val="20"/>
        </w:rPr>
        <w:t>본 평가는 동일한 보고서·논문 자동화 시스템 프롬프트와 동일 연구 주제를 세 웹 LLM에 입력한 뒤, 실제 대화 과정과 최종 연구계획서 산출물을 비교하여 업무 자동화에 가장 적합한 모델을 선정하기 위한 것이다.</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381"/>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항목</w:t>
            </w:r>
          </w:p>
        </w:tc>
        <w:tc>
          <w:tcPr>
            <w:tcW w:type="dxa" w:w="6803"/>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실험 조건</w:t>
            </w:r>
          </w:p>
        </w:tc>
      </w:tr>
      <w:tr>
        <w:tc>
          <w:tcPr>
            <w:tcW w:type="dxa" w:w="2381"/>
            <w:tcMar>
              <w:top w:w="80" w:type="dxa"/>
              <w:start w:w="100" w:type="dxa"/>
              <w:bottom w:w="80" w:type="dxa"/>
              <w:end w:w="100" w:type="dxa"/>
            </w:tcMar>
            <w:vAlign w:val="center"/>
            <w:shd w:fill="EAF0F8"/>
          </w:tcPr>
          <w:p>
            <w:pPr>
              <w:spacing w:after="0"/>
            </w:pPr>
            <w:r>
              <w:rPr>
                <w:rFonts w:ascii="NanumSquare" w:hAnsi="NanumSquare" w:eastAsia="NanumSquare"/>
                <w:b/>
                <w:sz w:val="18"/>
              </w:rPr>
              <w:t>공통 시스템 프롬프트</w:t>
            </w:r>
          </w:p>
        </w:tc>
        <w:tc>
          <w:tcPr>
            <w:tcW w:type="dxa" w:w="6803"/>
            <w:tcMar>
              <w:top w:w="80" w:type="dxa"/>
              <w:start w:w="100" w:type="dxa"/>
              <w:bottom w:w="80" w:type="dxa"/>
              <w:end w:w="100" w:type="dxa"/>
            </w:tcMar>
            <w:vAlign w:val="center"/>
          </w:tcPr>
          <w:p>
            <w:pPr>
              <w:spacing w:after="0"/>
            </w:pPr>
            <w:r>
              <w:rPr>
                <w:rFonts w:ascii="NanumSquare" w:hAnsi="NanumSquare" w:eastAsia="NanumSquare"/>
                <w:b w:val="0"/>
                <w:sz w:val="18"/>
              </w:rPr>
              <w:t>규모 판정 → 구조 설계 → 스타일 → 생산계획 → 집필 → 감사 → 제출 판정</w:t>
            </w:r>
          </w:p>
        </w:tc>
      </w:tr>
      <w:tr>
        <w:tc>
          <w:tcPr>
            <w:tcW w:type="dxa" w:w="2381"/>
            <w:tcMar>
              <w:top w:w="80" w:type="dxa"/>
              <w:start w:w="100" w:type="dxa"/>
              <w:bottom w:w="80" w:type="dxa"/>
              <w:end w:w="100" w:type="dxa"/>
            </w:tcMar>
            <w:vAlign w:val="center"/>
            <w:shd w:fill="EAF0F8"/>
          </w:tcPr>
          <w:p>
            <w:pPr>
              <w:spacing w:after="0"/>
            </w:pPr>
            <w:r>
              <w:rPr>
                <w:rFonts w:ascii="NanumSquare" w:hAnsi="NanumSquare" w:eastAsia="NanumSquare"/>
                <w:b/>
                <w:sz w:val="18"/>
              </w:rPr>
              <w:t>공통 과업</w:t>
            </w:r>
          </w:p>
        </w:tc>
        <w:tc>
          <w:tcPr>
            <w:tcW w:type="dxa" w:w="6803"/>
            <w:tcMar>
              <w:top w:w="80" w:type="dxa"/>
              <w:start w:w="100" w:type="dxa"/>
              <w:bottom w:w="80" w:type="dxa"/>
              <w:end w:w="100" w:type="dxa"/>
            </w:tcMar>
            <w:vAlign w:val="center"/>
          </w:tcPr>
          <w:p>
            <w:pPr>
              <w:spacing w:after="0"/>
            </w:pPr>
            <w:r>
              <w:rPr>
                <w:rFonts w:ascii="NanumSquare" w:hAnsi="NanumSquare" w:eastAsia="NanumSquare"/>
                <w:b w:val="0"/>
                <w:sz w:val="18"/>
              </w:rPr>
              <w:t>보행자 선택기회지수 개발과 상권 유동인구 설명력 검증 연구계획서 작성</w:t>
            </w:r>
          </w:p>
        </w:tc>
      </w:tr>
      <w:tr>
        <w:tc>
          <w:tcPr>
            <w:tcW w:type="dxa" w:w="2381"/>
            <w:tcMar>
              <w:top w:w="80" w:type="dxa"/>
              <w:start w:w="100" w:type="dxa"/>
              <w:bottom w:w="80" w:type="dxa"/>
              <w:end w:w="100" w:type="dxa"/>
            </w:tcMar>
            <w:vAlign w:val="center"/>
            <w:shd w:fill="EAF0F8"/>
          </w:tcPr>
          <w:p>
            <w:pPr>
              <w:spacing w:after="0"/>
            </w:pPr>
            <w:r>
              <w:rPr>
                <w:rFonts w:ascii="NanumSquare" w:hAnsi="NanumSquare" w:eastAsia="NanumSquare"/>
                <w:b/>
                <w:sz w:val="18"/>
              </w:rPr>
              <w:t>공통 산출 형식</w:t>
            </w:r>
          </w:p>
        </w:tc>
        <w:tc>
          <w:tcPr>
            <w:tcW w:type="dxa" w:w="6803"/>
            <w:tcMar>
              <w:top w:w="80" w:type="dxa"/>
              <w:start w:w="100" w:type="dxa"/>
              <w:bottom w:w="80" w:type="dxa"/>
              <w:end w:w="100" w:type="dxa"/>
            </w:tcMar>
            <w:vAlign w:val="center"/>
          </w:tcPr>
          <w:p>
            <w:pPr>
              <w:spacing w:after="0"/>
            </w:pPr>
            <w:r>
              <w:rPr>
                <w:rFonts w:ascii="NanumSquare" w:hAnsi="NanumSquare" w:eastAsia="NanumSquare"/>
                <w:b w:val="0"/>
                <w:sz w:val="18"/>
              </w:rPr>
              <w:t>약 5쪽의 학술연구계획서, 최종 마크다운</w:t>
            </w:r>
          </w:p>
        </w:tc>
      </w:tr>
      <w:tr>
        <w:tc>
          <w:tcPr>
            <w:tcW w:type="dxa" w:w="2381"/>
            <w:tcMar>
              <w:top w:w="80" w:type="dxa"/>
              <w:start w:w="100" w:type="dxa"/>
              <w:bottom w:w="80" w:type="dxa"/>
              <w:end w:w="100" w:type="dxa"/>
            </w:tcMar>
            <w:vAlign w:val="center"/>
            <w:shd w:fill="EAF0F8"/>
          </w:tcPr>
          <w:p>
            <w:pPr>
              <w:spacing w:after="0"/>
            </w:pPr>
            <w:r>
              <w:rPr>
                <w:rFonts w:ascii="NanumSquare" w:hAnsi="NanumSquare" w:eastAsia="NanumSquare"/>
                <w:b/>
                <w:sz w:val="18"/>
              </w:rPr>
              <w:t>비교 대상</w:t>
            </w:r>
          </w:p>
        </w:tc>
        <w:tc>
          <w:tcPr>
            <w:tcW w:type="dxa" w:w="6803"/>
            <w:tcMar>
              <w:top w:w="80" w:type="dxa"/>
              <w:start w:w="100" w:type="dxa"/>
              <w:bottom w:w="80" w:type="dxa"/>
              <w:end w:w="100" w:type="dxa"/>
            </w:tcMar>
            <w:vAlign w:val="center"/>
          </w:tcPr>
          <w:p>
            <w:pPr>
              <w:spacing w:after="0"/>
            </w:pPr>
            <w:r>
              <w:rPr>
                <w:rFonts w:ascii="NanumSquare" w:hAnsi="NanumSquare" w:eastAsia="NanumSquare"/>
                <w:b w:val="0"/>
                <w:sz w:val="18"/>
              </w:rPr>
              <w:t>GPT, Gemini, Fable의 웹 대화 로그</w:t>
            </w:r>
          </w:p>
        </w:tc>
      </w:tr>
      <w:tr>
        <w:tc>
          <w:tcPr>
            <w:tcW w:type="dxa" w:w="2381"/>
            <w:tcMar>
              <w:top w:w="80" w:type="dxa"/>
              <w:start w:w="100" w:type="dxa"/>
              <w:bottom w:w="80" w:type="dxa"/>
              <w:end w:w="100" w:type="dxa"/>
            </w:tcMar>
            <w:vAlign w:val="center"/>
            <w:shd w:fill="EAF0F8"/>
          </w:tcPr>
          <w:p>
            <w:pPr>
              <w:spacing w:after="0"/>
            </w:pPr>
            <w:r>
              <w:rPr>
                <w:rFonts w:ascii="NanumSquare" w:hAnsi="NanumSquare" w:eastAsia="NanumSquare"/>
                <w:b/>
                <w:sz w:val="18"/>
              </w:rPr>
              <w:t>모델 버전</w:t>
            </w:r>
          </w:p>
        </w:tc>
        <w:tc>
          <w:tcPr>
            <w:tcW w:type="dxa" w:w="6803"/>
            <w:tcMar>
              <w:top w:w="80" w:type="dxa"/>
              <w:start w:w="100" w:type="dxa"/>
              <w:bottom w:w="80" w:type="dxa"/>
              <w:end w:w="100" w:type="dxa"/>
            </w:tcMar>
            <w:vAlign w:val="center"/>
          </w:tcPr>
          <w:p>
            <w:pPr>
              <w:spacing w:after="0"/>
            </w:pPr>
            <w:r>
              <w:rPr>
                <w:rFonts w:ascii="NanumSquare" w:hAnsi="NanumSquare" w:eastAsia="NanumSquare"/>
                <w:b w:val="0"/>
                <w:sz w:val="18"/>
              </w:rPr>
              <w:t>로그에 구체 버전이 기록되지 않아 브랜드·실행 세션 단위로 비교</w:t>
            </w:r>
          </w:p>
        </w:tc>
      </w:tr>
    </w:tbl>
    <w:p/>
    <w:tbl>
      <w:tblPr>
        <w:tblStyle w:val="TableGrid"/>
        <w:tblW w:type="auto" w:w="0"/>
        <w:jc w:val="center"/>
        <w:tblLook w:firstColumn="1" w:firstRow="1" w:lastColumn="0" w:lastRow="0" w:noHBand="0" w:noVBand="1" w:val="04A0"/>
      </w:tblPr>
      <w:tblGrid>
        <w:gridCol w:w="9638"/>
      </w:tblGrid>
      <w:tr>
        <w:tc>
          <w:tcPr>
            <w:tcW w:type="dxa" w:w="9638"/>
            <w:shd w:fill="FFF4E5"/>
            <w:tcMar>
              <w:top w:w="160" w:type="dxa"/>
              <w:start w:w="180" w:type="dxa"/>
              <w:bottom w:w="160" w:type="dxa"/>
              <w:end w:w="180" w:type="dxa"/>
            </w:tcMar>
          </w:tcPr>
          <w:p>
            <w:r>
              <w:rPr>
                <w:rFonts w:ascii="NanumSquare" w:hAnsi="NanumSquare" w:eastAsia="NanumSquare"/>
                <w:b/>
                <w:color w:val="92400E"/>
                <w:sz w:val="22"/>
              </w:rPr>
              <w:t>비교 가능성의 한계</w:t>
              <w:br/>
            </w:r>
            <w:r>
              <w:rPr>
                <w:rFonts w:ascii="NanumSquare" w:hAnsi="NanumSquare" w:eastAsia="NanumSquare"/>
                <w:color w:val="1F1F1F"/>
                <w:sz w:val="19"/>
              </w:rPr>
              <w:t>첫 시스템 프롬프트와 주제는 동일하지만 후속 사용자 발화가 완전히 같지는 않다. 따라서 이 결과는 통제된 단일턴 벤치마크가 아니라 실제 업무 수행 과정의 비교이다. 모델 고유 성능을 확정하려면 동일한 후속 스크립트로 재시험해야 한다.</w:t>
            </w:r>
          </w:p>
        </w:tc>
      </w:tr>
    </w:tbl>
    <w:p/>
    <w:p>
      <w:pPr>
        <w:pStyle w:val="Heading1"/>
      </w:pPr>
      <w:r>
        <w:t>2. 1차 평가: LLM 업무 자동화 기준</w:t>
      </w:r>
    </w:p>
    <w:p>
      <w:r>
        <w:rPr>
          <w:rFonts w:ascii="NanumSquare" w:hAnsi="NanumSquare" w:eastAsia="NanumSquare"/>
          <w:sz w:val="20"/>
        </w:rPr>
        <w:t>평가기준 파일의 20개 비교축 중 이 과업에서 로그로 관찰 가능한 8개를 선별하였다. 속도, 비용, 데이터 보안 정책, 동일 프롬프트 반복 재현성은 로그만으로 검증할 수 없어 점수에서 제외하였다.</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평가축</w:t>
            </w:r>
          </w:p>
        </w:tc>
        <w:tc>
          <w:tcPr>
            <w:tcW w:type="dxa" w:w="124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가중치</w:t>
            </w:r>
          </w:p>
        </w:tc>
        <w:tc>
          <w:tcPr>
            <w:tcW w:type="dxa" w:w="5783"/>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판정 기준</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지시 이행 충실도</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정확한 단계·게이트·금지사항 준수</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환각 저항성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근거 없는 사실·서지·수치 억제</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긴 문맥 유지</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초기 요구와 확정 결정을 끝까지 유지</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형식 준수</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지정 단계, 표, 마크다운, 감사 형식 준수</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추론·문제 해결</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연구 문제 구조화와 대안 비교의 깊이</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근거·출처 제시</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실재 확인 또는 확인 필요 표시</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수정 반응성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조건 변경 시 정확한 반영과 기존 조건 유지</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7"/>
              </w:rPr>
              <w:t>출력 활용성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5783"/>
            <w:tcMar>
              <w:top w:w="80" w:type="dxa"/>
              <w:start w:w="100" w:type="dxa"/>
              <w:bottom w:w="80" w:type="dxa"/>
              <w:end w:w="100" w:type="dxa"/>
            </w:tcMar>
            <w:vAlign w:val="center"/>
          </w:tcPr>
          <w:p>
            <w:pPr>
              <w:spacing w:after="0"/>
              <w:jc w:val="center"/>
            </w:pPr>
            <w:r>
              <w:rPr>
                <w:rFonts w:ascii="NanumSquare" w:hAnsi="NanumSquare" w:eastAsia="NanumSquare"/>
                <w:b w:val="0"/>
                <w:sz w:val="17"/>
              </w:rPr>
              <w:t>최종 결과의 즉시 사용 가능성</w:t>
            </w:r>
          </w:p>
        </w:tc>
      </w:tr>
    </w:tbl>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778"/>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평가축</w:t>
            </w:r>
          </w:p>
        </w:tc>
        <w:tc>
          <w:tcPr>
            <w:tcW w:type="dxa" w:w="124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가중치</w:t>
            </w:r>
          </w:p>
        </w:tc>
        <w:tc>
          <w:tcPr>
            <w:tcW w:type="dxa" w:w="158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GPT</w:t>
            </w:r>
          </w:p>
        </w:tc>
        <w:tc>
          <w:tcPr>
            <w:tcW w:type="dxa" w:w="158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Fable</w:t>
            </w:r>
          </w:p>
        </w:tc>
        <w:tc>
          <w:tcPr>
            <w:tcW w:type="dxa" w:w="158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Gemini</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지시 이행 충실도</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3.6</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3.3</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2.4</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환각 저항성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3.8</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2.1</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긴 문맥 유지</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4.3</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3.4</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3.2</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형식 준수</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4.1</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3.0</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추론·문제 해결</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4.6</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4.7</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3.5</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근거·출처 제시</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3.4</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3.6</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1.8</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수정 반응성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4.4</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3.4</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출력 활용성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4.2</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3.8</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3.1</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가중 총점</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81.1</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77.8</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54.8</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순위</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1위</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2위</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3위</w:t>
            </w:r>
          </w:p>
        </w:tc>
      </w:tr>
    </w:tbl>
    <w:p/>
    <w:p>
      <w:pPr>
        <w:pStyle w:val="Heading1"/>
      </w:pPr>
      <w:r>
        <w:t>3. 모델별 1차 평가 근거</w:t>
      </w:r>
    </w:p>
    <w:p>
      <w:pPr>
        <w:pStyle w:val="Heading2"/>
      </w:pPr>
      <w:r>
        <w:t>3.1 GPT</w:t>
      </w:r>
    </w:p>
    <w:p>
      <w:pPr>
        <w:pStyle w:val="ListBullet"/>
        <w:ind w:left="283"/>
      </w:pPr>
      <w:r>
        <w:rPr>
          <w:rFonts w:ascii="NanumSquare" w:hAnsi="NanumSquare" w:eastAsia="NanumSquare"/>
          <w:sz w:val="20"/>
        </w:rPr>
        <w:t>초기 사용자가 “계속해”라고 입력했을 때 정확한 “확정” 명령이 아니므로 다음 단계로 넘어가지 않았다. 세 모델 중 정지 게이트를 가장 명확하게 시험·준수한 사례다.</w:t>
      </w:r>
    </w:p>
    <w:p>
      <w:pPr>
        <w:pStyle w:val="ListBullet"/>
        <w:ind w:left="283"/>
      </w:pPr>
      <w:r>
        <w:rPr>
          <w:rFonts w:ascii="NanumSquare" w:hAnsi="NanumSquare" w:eastAsia="NanumSquare"/>
          <w:sz w:val="20"/>
        </w:rPr>
        <w:t>갈림길·출입구·상가노출성이라는 초기 구성요소를 최종 산출물까지 유지하였다.</w:t>
      </w:r>
    </w:p>
    <w:p>
      <w:pPr>
        <w:pStyle w:val="ListBullet"/>
        <w:ind w:left="283"/>
      </w:pPr>
      <w:r>
        <w:rPr>
          <w:rFonts w:ascii="NanumSquare" w:hAnsi="NanumSquare" w:eastAsia="NanumSquare"/>
          <w:sz w:val="20"/>
        </w:rPr>
        <w:t>확인되지 않은 선행연구는 [출처 필요]로 남겨 허구 서지를 만드는 위험을 억제하였다.</w:t>
      </w:r>
    </w:p>
    <w:p>
      <w:pPr>
        <w:pStyle w:val="ListBullet"/>
        <w:ind w:left="283"/>
      </w:pPr>
      <w:r>
        <w:rPr>
          <w:rFonts w:ascii="NanumSquare" w:hAnsi="NanumSquare" w:eastAsia="NanumSquare"/>
          <w:sz w:val="20"/>
        </w:rPr>
        <w:t>반면 최종 감사와 제출 판정을 수행하지 않고 1~5장 통합본으로 종료했으며, 최종 출력이 길이 제한으로 두 메시지에 분할되었다.</w:t>
      </w:r>
    </w:p>
    <w:p>
      <w:pPr>
        <w:pStyle w:val="ListBullet"/>
        <w:ind w:left="283"/>
      </w:pPr>
      <w:r>
        <w:rPr>
          <w:rFonts w:ascii="NanumSquare" w:hAnsi="NanumSquare" w:eastAsia="NanumSquare"/>
          <w:sz w:val="20"/>
        </w:rPr>
        <w:t>실제 문헌을 검색·검증하지 않았으므로 “근거가 검증된 보고서”라는 시스템 목표는 완전히 달성하지 못했다.</w:t>
      </w:r>
    </w:p>
    <w:p>
      <w:r>
        <w:rPr>
          <w:rFonts w:ascii="NanumSquare" w:hAnsi="NanumSquare" w:eastAsia="NanumSquare"/>
          <w:color w:val="2F5597"/>
          <w:sz w:val="21"/>
        </w:rPr>
        <w:t>종합 판정: WATCH — 최종 연구계획서의 기준본으로 적합하지만 출처 검증과 제출 게이트가 추가되어야 한다.</w:t>
      </w:r>
    </w:p>
    <w:p>
      <w:pPr>
        <w:pStyle w:val="Heading2"/>
      </w:pPr>
      <w:r>
        <w:t>3.2 Fable</w:t>
      </w:r>
    </w:p>
    <w:p>
      <w:pPr>
        <w:pStyle w:val="ListBullet"/>
        <w:ind w:left="283"/>
      </w:pPr>
      <w:r>
        <w:rPr>
          <w:rFonts w:ascii="NanumSquare" w:hAnsi="NanumSquare" w:eastAsia="NanumSquare"/>
          <w:sz w:val="20"/>
        </w:rPr>
        <w:t>구조 설계, 의존성 기반 집필 순서, 위험 등록부, 장별 완료 기준, 대안 분석모형 비교가 가장 정교했다.</w:t>
      </w:r>
    </w:p>
    <w:p>
      <w:pPr>
        <w:pStyle w:val="ListBullet"/>
        <w:ind w:left="283"/>
      </w:pPr>
      <w:r>
        <w:rPr>
          <w:rFonts w:ascii="NanumSquare" w:hAnsi="NanumSquare" w:eastAsia="NanumSquare"/>
          <w:sz w:val="20"/>
        </w:rPr>
        <w:t>위계적 회귀, 공간회귀, 구조방정식, 머신러닝, 포아송·음이항 회귀를 연구 목적과 표본 조건에 따라 비교하여 방법론 선택을 지원했다.</w:t>
      </w:r>
    </w:p>
    <w:p>
      <w:pPr>
        <w:pStyle w:val="ListBullet"/>
        <w:ind w:left="283"/>
      </w:pPr>
      <w:r>
        <w:rPr>
          <w:rFonts w:ascii="NanumSquare" w:hAnsi="NanumSquare" w:eastAsia="NanumSquare"/>
          <w:sz w:val="20"/>
        </w:rPr>
        <w:t>사용자의 “계속해줘”를 명시적 “확정”으로 처리하여 정지 게이트를 위반했다.</w:t>
      </w:r>
    </w:p>
    <w:p>
      <w:pPr>
        <w:pStyle w:val="ListBullet"/>
        <w:ind w:left="283"/>
      </w:pPr>
      <w:r>
        <w:rPr>
          <w:rFonts w:ascii="NanumSquare" w:hAnsi="NanumSquare" w:eastAsia="NanumSquare"/>
          <w:sz w:val="20"/>
        </w:rPr>
        <w:t>실시간 검색이 불가능하다고 밝힌 뒤 기억 기반 대표 문헌을 [검증 필요]로 제시했다. 무단 창작은 억제했지만 사용자의 “문헌을 찾아라”는 요구를 충족하지는 못했다.</w:t>
      </w:r>
    </w:p>
    <w:p>
      <w:pPr>
        <w:pStyle w:val="ListBullet"/>
        <w:ind w:left="283"/>
      </w:pPr>
      <w:r>
        <w:rPr>
          <w:rFonts w:ascii="NanumSquare" w:hAnsi="NanumSquare" w:eastAsia="NanumSquare"/>
          <w:sz w:val="20"/>
        </w:rPr>
        <w:t>최종 통합본에서 원래의 갈림길·출입구·상가노출성이 행위 선택(B)·환경 선택(E)·감각 선택(S)으로 재구성되어 핵심 개념이 변형되었다.</w:t>
      </w:r>
    </w:p>
    <w:p>
      <w:pPr>
        <w:pStyle w:val="ListBullet"/>
        <w:ind w:left="283"/>
      </w:pPr>
      <w:r>
        <w:rPr>
          <w:rFonts w:ascii="NanumSquare" w:hAnsi="NanumSquare" w:eastAsia="NanumSquare"/>
          <w:sz w:val="20"/>
        </w:rPr>
        <w:t>감사에서 외부 확인 의존 태그가 다수 남았음에도 “제출 가능 수준”이라고 평가하여 자체 제출 규칙과 충돌했다.</w:t>
      </w:r>
    </w:p>
    <w:p>
      <w:r>
        <w:rPr>
          <w:rFonts w:ascii="NanumSquare" w:hAnsi="NanumSquare" w:eastAsia="NanumSquare"/>
          <w:color w:val="B91C1C"/>
          <w:sz w:val="21"/>
        </w:rPr>
        <w:t>종합 판정: PATCH REQUIRED — 워크플로·감사 모듈은 우수하지만 개념 잠금과 제출 판정 규칙을 보강해야 한다.</w:t>
      </w:r>
    </w:p>
    <w:p>
      <w:pPr>
        <w:pStyle w:val="Heading2"/>
      </w:pPr>
      <w:r>
        <w:t>3.3 Gemini</w:t>
      </w:r>
    </w:p>
    <w:p>
      <w:pPr>
        <w:pStyle w:val="ListBullet"/>
        <w:ind w:left="283"/>
      </w:pPr>
      <w:r>
        <w:rPr>
          <w:rFonts w:ascii="NanumSquare" w:hAnsi="NanumSquare" w:eastAsia="NanumSquare"/>
          <w:sz w:val="20"/>
        </w:rPr>
        <w:t>GIS, 로드뷰, 컴퓨터 비전, 현장 검증을 결합한 데이터 구축 아이디어가 가장 구체적이었다.</w:t>
      </w:r>
    </w:p>
    <w:p>
      <w:pPr>
        <w:pStyle w:val="ListBullet"/>
        <w:ind w:left="283"/>
      </w:pPr>
      <w:r>
        <w:rPr>
          <w:rFonts w:ascii="NanumSquare" w:hAnsi="NanumSquare" w:eastAsia="NanumSquare"/>
          <w:sz w:val="20"/>
        </w:rPr>
        <w:t>필수 입력이 누락된 상태에서 사용자가 “확정”만 반복하자 보고서 유형, 분량, 기준시점을 임의 가정했다. 이후 사용자가 학술연구계획서 조건을 제시하여 수정되었다.</w:t>
      </w:r>
    </w:p>
    <w:p>
      <w:pPr>
        <w:pStyle w:val="ListBullet"/>
        <w:ind w:left="283"/>
      </w:pPr>
      <w:r>
        <w:rPr>
          <w:rFonts w:ascii="NanumSquare" w:hAnsi="NanumSquare" w:eastAsia="NanumSquare"/>
          <w:sz w:val="20"/>
        </w:rPr>
        <w:t>반경 50m, 10m 간격 이미지, 15% 현장 검증, 가상의 6개월 일정 등 근거가 없는 수치가 구체적으로 제시되었다.</w:t>
      </w:r>
    </w:p>
    <w:p>
      <w:pPr>
        <w:pStyle w:val="ListBullet"/>
        <w:ind w:left="283"/>
      </w:pPr>
      <w:r>
        <w:rPr>
          <w:rFonts w:ascii="NanumSquare" w:hAnsi="NanumSquare" w:eastAsia="NanumSquare"/>
          <w:sz w:val="20"/>
        </w:rPr>
        <w:t>2026년 현재라는 표현과 통신·금융 빅데이터의 발전을 출처 없이 단정하였다.</w:t>
      </w:r>
    </w:p>
    <w:p>
      <w:pPr>
        <w:pStyle w:val="ListBullet"/>
        <w:ind w:left="283"/>
      </w:pPr>
      <w:r>
        <w:rPr>
          <w:rFonts w:ascii="NanumSquare" w:hAnsi="NanumSquare" w:eastAsia="NanumSquare"/>
          <w:sz w:val="20"/>
        </w:rPr>
        <w:t>AHP와 PCA를 모두 가중치 산정 대안으로 나란히 제시했으나 두 방법의 목적 차이를 설명하지 않았다.</w:t>
      </w:r>
    </w:p>
    <w:p>
      <w:pPr>
        <w:pStyle w:val="ListBullet"/>
        <w:ind w:left="283"/>
      </w:pPr>
      <w:r>
        <w:rPr>
          <w:rFonts w:ascii="NanumSquare" w:hAnsi="NanumSquare" w:eastAsia="NanumSquare"/>
          <w:sz w:val="20"/>
        </w:rPr>
        <w:t>가설, 통제변수 기반 회귀식, 기존 모형 대비 추가 설명력 검증이 부족하며 최종 감사·제출 판정도 수행하지 않았다.</w:t>
      </w:r>
    </w:p>
    <w:p>
      <w:r>
        <w:rPr>
          <w:rFonts w:ascii="NanumSquare" w:hAnsi="NanumSquare" w:eastAsia="NanumSquare"/>
          <w:color w:val="B91C1C"/>
          <w:sz w:val="21"/>
        </w:rPr>
        <w:t>종합 판정: PATCH REQUIRED — 기술적 브레인스토밍 자료로는 유용하지만 제출용 연구계획서의 근거·방법 설계가 부족하다.</w:t>
      </w:r>
    </w:p>
    <w:p>
      <w:pPr>
        <w:pStyle w:val="Heading1"/>
      </w:pPr>
      <w:r>
        <w:t>4. 2차 평가: 연구계획서 자체의 품질</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778"/>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평가축</w:t>
            </w:r>
          </w:p>
        </w:tc>
        <w:tc>
          <w:tcPr>
            <w:tcW w:type="dxa" w:w="124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가중치</w:t>
            </w:r>
          </w:p>
        </w:tc>
        <w:tc>
          <w:tcPr>
            <w:tcW w:type="dxa" w:w="158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GPT</w:t>
            </w:r>
          </w:p>
        </w:tc>
        <w:tc>
          <w:tcPr>
            <w:tcW w:type="dxa" w:w="158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Fable</w:t>
            </w:r>
          </w:p>
        </w:tc>
        <w:tc>
          <w:tcPr>
            <w:tcW w:type="dxa" w:w="1587"/>
            <w:shd w:fill="17365D"/>
            <w:tcMar>
              <w:top w:w="80" w:type="dxa"/>
              <w:start w:w="100" w:type="dxa"/>
              <w:bottom w:w="80" w:type="dxa"/>
              <w:end w:w="100" w:type="dxa"/>
            </w:tcMar>
            <w:vAlign w:val="center"/>
          </w:tcPr>
          <w:p>
            <w:pPr>
              <w:jc w:val="center"/>
            </w:pPr>
            <w:r>
              <w:rPr>
                <w:rFonts w:ascii="NanumSquare" w:hAnsi="NanumSquare" w:eastAsia="NanumSquare"/>
                <w:b/>
                <w:color w:val="FFFFFF"/>
                <w:sz w:val="17"/>
              </w:rPr>
              <w:t>Gemini</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구성 및 기획성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20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4.6</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3.7</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현실 구현 가능성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20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4.1</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3.3</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2.4</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방법론 적정성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25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4.6</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4.3</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3.0</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논문 설명력 기여</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20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4.7</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2.7</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연구 방향성</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4.5</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4.2</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3.3</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가중 총점</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100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89.7</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81.7</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60.1</w:t>
            </w:r>
          </w:p>
        </w:tc>
      </w:tr>
      <w:tr>
        <w:tc>
          <w:tcPr>
            <w:tcW w:type="dxa" w:w="2778"/>
            <w:tcMar>
              <w:top w:w="80" w:type="dxa"/>
              <w:start w:w="100" w:type="dxa"/>
              <w:bottom w:w="80" w:type="dxa"/>
              <w:end w:w="100" w:type="dxa"/>
            </w:tcMar>
            <w:vAlign w:val="center"/>
            <w:shd w:fill="EAF0F8"/>
          </w:tcPr>
          <w:p>
            <w:pPr>
              <w:spacing w:after="0"/>
            </w:pPr>
            <w:r>
              <w:rPr>
                <w:rFonts w:ascii="NanumSquare" w:hAnsi="NanumSquare" w:eastAsia="NanumSquare"/>
                <w:b/>
                <w:sz w:val="17"/>
              </w:rPr>
              <w:t>순위</w:t>
            </w:r>
          </w:p>
        </w:tc>
        <w:tc>
          <w:tcPr>
            <w:tcW w:type="dxa" w:w="1247"/>
            <w:tcMar>
              <w:top w:w="80" w:type="dxa"/>
              <w:start w:w="100" w:type="dxa"/>
              <w:bottom w:w="80" w:type="dxa"/>
              <w:end w:w="100" w:type="dxa"/>
            </w:tcMar>
            <w:vAlign w:val="center"/>
          </w:tcPr>
          <w:p>
            <w:pPr>
              <w:spacing w:after="0"/>
            </w:pPr>
            <w:r>
              <w:rPr>
                <w:rFonts w:ascii="NanumSquare" w:hAnsi="NanumSquare" w:eastAsia="NanumSquare"/>
                <w:b w:val="0"/>
                <w:sz w:val="17"/>
              </w:rPr>
              <w:t>-</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1위</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2위</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7"/>
              </w:rPr>
              <w:t>3위</w:t>
            </w:r>
          </w:p>
        </w:tc>
      </w:tr>
    </w:tbl>
    <w:p/>
    <w:p>
      <w:pPr>
        <w:pStyle w:val="Heading2"/>
      </w:pPr>
      <w:r>
        <w:t>4.1 구성 및 기획성</w:t>
      </w:r>
    </w:p>
    <w:p>
      <w:r>
        <w:rPr>
          <w:rFonts w:ascii="NanumSquare" w:hAnsi="NanumSquare" w:eastAsia="NanumSquare"/>
          <w:sz w:val="20"/>
        </w:rPr>
        <w:t>Fable은 계획·감사 구조가 가장 풍부하나 최종 결과가 초기 구조와 달라졌다. GPT는 별도의 감사 단계는 누락했지만 연구 배경 → 연구 공백 → 지수 정의 → 가설 → 변수 → 분석 → 한계가 가장 일관되게 연결된다. Gemini는 구현방법은 상세하지만 연구 질문과 가설을 잇는 중간 논리가 약하다.</w:t>
      </w:r>
    </w:p>
    <w:p>
      <w:pPr>
        <w:pStyle w:val="Heading2"/>
      </w:pPr>
      <w:r>
        <w:t>4.2 현실 구현 가능성</w:t>
      </w:r>
    </w:p>
    <w:p>
      <w:r>
        <w:rPr>
          <w:rFonts w:ascii="NanumSquare" w:hAnsi="NanumSquare" w:eastAsia="NanumSquare"/>
          <w:sz w:val="20"/>
        </w:rPr>
        <w:t>GPT는 가로 구간·격자·블록의 장단점을 비교하고 실제 유동인구 자료의 해상도에 따라 분석 단위를 조정하도록 했다. Fable은 조사자 신뢰도와 대체 계측안을 제시했으나 표본 수와 관측시간을 근거 없이 고정했다. Gemini의 대량 로드뷰 취득과 영상 세그멘테이션은 API 권한·약관·인력·정확도 검증이 먼저 필요하다.</w:t>
      </w:r>
    </w:p>
    <w:p>
      <w:pPr>
        <w:pStyle w:val="Heading2"/>
      </w:pPr>
      <w:r>
        <w:t>4.3 방법론과 논문 설명력</w:t>
      </w:r>
    </w:p>
    <w:p>
      <w:r>
        <w:rPr>
          <w:rFonts w:ascii="NanumSquare" w:hAnsi="NanumSquare" w:eastAsia="NanumSquare"/>
          <w:sz w:val="20"/>
        </w:rPr>
        <w:t>GPT의 가장 강한 부분은 통제변수 모형, 통제변수+통합지수 모형, 통제변수+개별 구성요소 모형을 비교하는 설계다. 이는 신규 지수가 기존 변수와 별개로 추가 설명력을 가지는지 직접 검증한다. Fable도 증분 타당성을 중심으로 모형을 비교했지만 최종 지수의 구성 자체가 바뀌었다. Gemini는 지수 구축 방법은 있으나 설명력 검정모형이 충분히 제시되지 않았다.</w:t>
      </w:r>
    </w:p>
    <w:p>
      <w:pPr>
        <w:pStyle w:val="Heading1"/>
      </w:pPr>
      <w:r>
        <w:t>5. 최종 종합점수와 선정</w:t>
      </w:r>
    </w:p>
    <w:p>
      <w:r>
        <w:rPr>
          <w:rFonts w:ascii="NanumSquare" w:hAnsi="NanumSquare" w:eastAsia="NanumSquare"/>
          <w:sz w:val="20"/>
        </w:rPr>
        <w:t>실제 연구계획서 품질이 미션의 핵심이므로 1차 업무자동화 평가 40%, 2차 연구계획서 품질 평가 60%를 적용하였다.</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154"/>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모델</w:t>
            </w:r>
          </w:p>
        </w:tc>
        <w:tc>
          <w:tcPr>
            <w:tcW w:type="dxa" w:w="1814"/>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1차(40%)</w:t>
            </w:r>
          </w:p>
        </w:tc>
        <w:tc>
          <w:tcPr>
            <w:tcW w:type="dxa" w:w="1814"/>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2차(60%)</w:t>
            </w:r>
          </w:p>
        </w:tc>
        <w:tc>
          <w:tcPr>
            <w:tcW w:type="dxa" w:w="1814"/>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최종점수</w:t>
            </w:r>
          </w:p>
        </w:tc>
        <w:tc>
          <w:tcPr>
            <w:tcW w:type="dxa" w:w="1587"/>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순위</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8"/>
              </w:rPr>
              <w:t>GPT</w:t>
            </w:r>
          </w:p>
        </w:tc>
        <w:tc>
          <w:tcPr>
            <w:tcW w:type="dxa" w:w="1814"/>
            <w:tcMar>
              <w:top w:w="80" w:type="dxa"/>
              <w:start w:w="100" w:type="dxa"/>
              <w:bottom w:w="80" w:type="dxa"/>
              <w:end w:w="100" w:type="dxa"/>
            </w:tcMar>
            <w:vAlign w:val="center"/>
          </w:tcPr>
          <w:p>
            <w:pPr>
              <w:spacing w:after="0"/>
            </w:pPr>
            <w:r>
              <w:rPr>
                <w:rFonts w:ascii="NanumSquare" w:hAnsi="NanumSquare" w:eastAsia="NanumSquare"/>
                <w:b w:val="0"/>
                <w:sz w:val="18"/>
              </w:rPr>
              <w:t>81.1</w:t>
            </w:r>
          </w:p>
        </w:tc>
        <w:tc>
          <w:tcPr>
            <w:tcW w:type="dxa" w:w="1814"/>
            <w:tcMar>
              <w:top w:w="80" w:type="dxa"/>
              <w:start w:w="100" w:type="dxa"/>
              <w:bottom w:w="80" w:type="dxa"/>
              <w:end w:w="100" w:type="dxa"/>
            </w:tcMar>
            <w:vAlign w:val="center"/>
          </w:tcPr>
          <w:p>
            <w:pPr>
              <w:spacing w:after="0"/>
              <w:jc w:val="center"/>
            </w:pPr>
            <w:r>
              <w:rPr>
                <w:rFonts w:ascii="NanumSquare" w:hAnsi="NanumSquare" w:eastAsia="NanumSquare"/>
                <w:b w:val="0"/>
                <w:sz w:val="18"/>
              </w:rPr>
              <w:t>89.7</w:t>
            </w:r>
          </w:p>
        </w:tc>
        <w:tc>
          <w:tcPr>
            <w:tcW w:type="dxa" w:w="1814"/>
            <w:tcMar>
              <w:top w:w="80" w:type="dxa"/>
              <w:start w:w="100" w:type="dxa"/>
              <w:bottom w:w="80" w:type="dxa"/>
              <w:end w:w="100" w:type="dxa"/>
            </w:tcMar>
            <w:vAlign w:val="center"/>
          </w:tcPr>
          <w:p>
            <w:pPr>
              <w:spacing w:after="0"/>
              <w:jc w:val="center"/>
            </w:pPr>
            <w:r>
              <w:rPr>
                <w:rFonts w:ascii="NanumSquare" w:hAnsi="NanumSquare" w:eastAsia="NanumSquare"/>
                <w:b w:val="0"/>
                <w:sz w:val="18"/>
              </w:rPr>
              <w:t>86.3</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8"/>
              </w:rPr>
              <w:t>1위</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8"/>
              </w:rPr>
              <w:t>Fable</w:t>
            </w:r>
          </w:p>
        </w:tc>
        <w:tc>
          <w:tcPr>
            <w:tcW w:type="dxa" w:w="1814"/>
            <w:tcMar>
              <w:top w:w="80" w:type="dxa"/>
              <w:start w:w="100" w:type="dxa"/>
              <w:bottom w:w="80" w:type="dxa"/>
              <w:end w:w="100" w:type="dxa"/>
            </w:tcMar>
            <w:vAlign w:val="center"/>
          </w:tcPr>
          <w:p>
            <w:pPr>
              <w:spacing w:after="0"/>
            </w:pPr>
            <w:r>
              <w:rPr>
                <w:rFonts w:ascii="NanumSquare" w:hAnsi="NanumSquare" w:eastAsia="NanumSquare"/>
                <w:b w:val="0"/>
                <w:sz w:val="18"/>
              </w:rPr>
              <w:t>77.8</w:t>
            </w:r>
          </w:p>
        </w:tc>
        <w:tc>
          <w:tcPr>
            <w:tcW w:type="dxa" w:w="1814"/>
            <w:tcMar>
              <w:top w:w="80" w:type="dxa"/>
              <w:start w:w="100" w:type="dxa"/>
              <w:bottom w:w="80" w:type="dxa"/>
              <w:end w:w="100" w:type="dxa"/>
            </w:tcMar>
            <w:vAlign w:val="center"/>
          </w:tcPr>
          <w:p>
            <w:pPr>
              <w:spacing w:after="0"/>
              <w:jc w:val="center"/>
            </w:pPr>
            <w:r>
              <w:rPr>
                <w:rFonts w:ascii="NanumSquare" w:hAnsi="NanumSquare" w:eastAsia="NanumSquare"/>
                <w:b w:val="0"/>
                <w:sz w:val="18"/>
              </w:rPr>
              <w:t>81.7</w:t>
            </w:r>
          </w:p>
        </w:tc>
        <w:tc>
          <w:tcPr>
            <w:tcW w:type="dxa" w:w="1814"/>
            <w:tcMar>
              <w:top w:w="80" w:type="dxa"/>
              <w:start w:w="100" w:type="dxa"/>
              <w:bottom w:w="80" w:type="dxa"/>
              <w:end w:w="100" w:type="dxa"/>
            </w:tcMar>
            <w:vAlign w:val="center"/>
          </w:tcPr>
          <w:p>
            <w:pPr>
              <w:spacing w:after="0"/>
              <w:jc w:val="center"/>
            </w:pPr>
            <w:r>
              <w:rPr>
                <w:rFonts w:ascii="NanumSquare" w:hAnsi="NanumSquare" w:eastAsia="NanumSquare"/>
                <w:b w:val="0"/>
                <w:sz w:val="18"/>
              </w:rPr>
              <w:t>80.1</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8"/>
              </w:rPr>
              <w:t>2위</w:t>
            </w:r>
          </w:p>
        </w:tc>
      </w:tr>
      <w:tr>
        <w:tc>
          <w:tcPr>
            <w:tcW w:type="dxa" w:w="2154"/>
            <w:tcMar>
              <w:top w:w="80" w:type="dxa"/>
              <w:start w:w="100" w:type="dxa"/>
              <w:bottom w:w="80" w:type="dxa"/>
              <w:end w:w="100" w:type="dxa"/>
            </w:tcMar>
            <w:vAlign w:val="center"/>
            <w:shd w:fill="EAF0F8"/>
          </w:tcPr>
          <w:p>
            <w:pPr>
              <w:spacing w:after="0"/>
            </w:pPr>
            <w:r>
              <w:rPr>
                <w:rFonts w:ascii="NanumSquare" w:hAnsi="NanumSquare" w:eastAsia="NanumSquare"/>
                <w:b/>
                <w:sz w:val="18"/>
              </w:rPr>
              <w:t>Gemini</w:t>
            </w:r>
          </w:p>
        </w:tc>
        <w:tc>
          <w:tcPr>
            <w:tcW w:type="dxa" w:w="1814"/>
            <w:tcMar>
              <w:top w:w="80" w:type="dxa"/>
              <w:start w:w="100" w:type="dxa"/>
              <w:bottom w:w="80" w:type="dxa"/>
              <w:end w:w="100" w:type="dxa"/>
            </w:tcMar>
            <w:vAlign w:val="center"/>
          </w:tcPr>
          <w:p>
            <w:pPr>
              <w:spacing w:after="0"/>
            </w:pPr>
            <w:r>
              <w:rPr>
                <w:rFonts w:ascii="NanumSquare" w:hAnsi="NanumSquare" w:eastAsia="NanumSquare"/>
                <w:b w:val="0"/>
                <w:sz w:val="18"/>
              </w:rPr>
              <w:t>54.8</w:t>
            </w:r>
          </w:p>
        </w:tc>
        <w:tc>
          <w:tcPr>
            <w:tcW w:type="dxa" w:w="1814"/>
            <w:tcMar>
              <w:top w:w="80" w:type="dxa"/>
              <w:start w:w="100" w:type="dxa"/>
              <w:bottom w:w="80" w:type="dxa"/>
              <w:end w:w="100" w:type="dxa"/>
            </w:tcMar>
            <w:vAlign w:val="center"/>
          </w:tcPr>
          <w:p>
            <w:pPr>
              <w:spacing w:after="0"/>
              <w:jc w:val="center"/>
            </w:pPr>
            <w:r>
              <w:rPr>
                <w:rFonts w:ascii="NanumSquare" w:hAnsi="NanumSquare" w:eastAsia="NanumSquare"/>
                <w:b w:val="0"/>
                <w:sz w:val="18"/>
              </w:rPr>
              <w:t>60.1</w:t>
            </w:r>
          </w:p>
        </w:tc>
        <w:tc>
          <w:tcPr>
            <w:tcW w:type="dxa" w:w="1814"/>
            <w:tcMar>
              <w:top w:w="80" w:type="dxa"/>
              <w:start w:w="100" w:type="dxa"/>
              <w:bottom w:w="80" w:type="dxa"/>
              <w:end w:w="100" w:type="dxa"/>
            </w:tcMar>
            <w:vAlign w:val="center"/>
          </w:tcPr>
          <w:p>
            <w:pPr>
              <w:spacing w:after="0"/>
              <w:jc w:val="center"/>
            </w:pPr>
            <w:r>
              <w:rPr>
                <w:rFonts w:ascii="NanumSquare" w:hAnsi="NanumSquare" w:eastAsia="NanumSquare"/>
                <w:b w:val="0"/>
                <w:sz w:val="18"/>
              </w:rPr>
              <w:t>58.0</w:t>
            </w:r>
          </w:p>
        </w:tc>
        <w:tc>
          <w:tcPr>
            <w:tcW w:type="dxa" w:w="1587"/>
            <w:tcMar>
              <w:top w:w="80" w:type="dxa"/>
              <w:start w:w="100" w:type="dxa"/>
              <w:bottom w:w="80" w:type="dxa"/>
              <w:end w:w="100" w:type="dxa"/>
            </w:tcMar>
            <w:vAlign w:val="center"/>
          </w:tcPr>
          <w:p>
            <w:pPr>
              <w:spacing w:after="0"/>
              <w:jc w:val="center"/>
            </w:pPr>
            <w:r>
              <w:rPr>
                <w:rFonts w:ascii="NanumSquare" w:hAnsi="NanumSquare" w:eastAsia="NanumSquare"/>
                <w:b w:val="0"/>
                <w:sz w:val="18"/>
              </w:rPr>
              <w:t>3위</w:t>
            </w:r>
          </w:p>
        </w:tc>
      </w:tr>
    </w:tbl>
    <w:p/>
    <w:tbl>
      <w:tblPr>
        <w:tblStyle w:val="TableGrid"/>
        <w:tblW w:type="auto" w:w="0"/>
        <w:jc w:val="center"/>
        <w:tblLook w:firstColumn="1" w:firstRow="1" w:lastColumn="0" w:lastRow="0" w:noHBand="0" w:noVBand="1" w:val="04A0"/>
      </w:tblPr>
      <w:tblGrid>
        <w:gridCol w:w="9638"/>
      </w:tblGrid>
      <w:tr>
        <w:tc>
          <w:tcPr>
            <w:tcW w:type="dxa" w:w="9638"/>
            <w:shd w:fill="E8F5E9"/>
            <w:tcMar>
              <w:top w:w="160" w:type="dxa"/>
              <w:start w:w="180" w:type="dxa"/>
              <w:bottom w:w="160" w:type="dxa"/>
              <w:end w:w="180" w:type="dxa"/>
            </w:tcMar>
          </w:tcPr>
          <w:p>
            <w:r>
              <w:rPr>
                <w:rFonts w:ascii="NanumSquare" w:hAnsi="NanumSquare" w:eastAsia="NanumSquare"/>
                <w:b/>
                <w:color w:val="166534"/>
                <w:sz w:val="22"/>
              </w:rPr>
              <w:t>선정 결론</w:t>
              <w:br/>
            </w:r>
            <w:r>
              <w:rPr>
                <w:rFonts w:ascii="NanumSquare" w:hAnsi="NanumSquare" w:eastAsia="NanumSquare"/>
                <w:color w:val="1F1F1F"/>
                <w:sz w:val="19"/>
              </w:rPr>
              <w:t>GPT를 기본 모델로 선정한다. 핵심 개념 유지, 추가 설명력 검증, 공간 단위 불일치 인식, 역인과·측정오차·공간자기상관에 대한 한계 인식이 가장 안정적이었다.</w:t>
            </w:r>
          </w:p>
        </w:tc>
      </w:tr>
    </w:tbl>
    <w:p/>
    <w:p>
      <w:pPr>
        <w:pStyle w:val="Heading1"/>
      </w:pPr>
      <w:r>
        <w:t>6. 선정 모델의 보완 조건</w:t>
      </w:r>
    </w:p>
    <w:p>
      <w:pPr>
        <w:ind w:left="0" w:firstLine="0"/>
      </w:pPr>
      <w:r>
        <w:rPr>
          <w:rFonts w:ascii="NanumSquare" w:hAnsi="NanumSquare" w:eastAsia="NanumSquare"/>
          <w:sz w:val="20"/>
        </w:rPr>
        <w:t>1.  실재 선행연구를 웹 검색 또는 업로드 자료로 검증하고 서지정보를 확정한다.</w:t>
      </w:r>
    </w:p>
    <w:p>
      <w:pPr>
        <w:ind w:left="0" w:firstLine="0"/>
      </w:pPr>
      <w:r>
        <w:rPr>
          <w:rFonts w:ascii="NanumSquare" w:hAnsi="NanumSquare" w:eastAsia="NanumSquare"/>
          <w:sz w:val="20"/>
        </w:rPr>
        <w:t>2.  최종 감사와 제출 판정을 반드시 실행하며, 미해결 출처가 있으면 제출 승인을 금지한다.</w:t>
      </w:r>
    </w:p>
    <w:p>
      <w:pPr>
        <w:ind w:left="0" w:firstLine="0"/>
      </w:pPr>
      <w:r>
        <w:rPr>
          <w:rFonts w:ascii="NanumSquare" w:hAnsi="NanumSquare" w:eastAsia="NanumSquare"/>
          <w:sz w:val="20"/>
        </w:rPr>
        <w:t>3.  긴 최종본은 자동으로 청크 번호와 연속성 표지를 붙여 누락 없이 출력한다.</w:t>
      </w:r>
    </w:p>
    <w:p>
      <w:pPr>
        <w:ind w:left="0" w:firstLine="0"/>
      </w:pPr>
      <w:r>
        <w:rPr>
          <w:rFonts w:ascii="NanumSquare" w:hAnsi="NanumSquare" w:eastAsia="NanumSquare"/>
          <w:sz w:val="20"/>
        </w:rPr>
        <w:t>4.  분석 대상지와 유동인구 데이터의 공간 해상도를 먼저 확인한 뒤 가로 구간 또는 격자를 확정한다.</w:t>
      </w:r>
    </w:p>
    <w:p>
      <w:pPr>
        <w:ind w:left="0" w:firstLine="0"/>
      </w:pPr>
      <w:r>
        <w:rPr>
          <w:rFonts w:ascii="NanumSquare" w:hAnsi="NanumSquare" w:eastAsia="NanumSquare"/>
          <w:sz w:val="20"/>
        </w:rPr>
        <w:t>5.  갈림길 효과가 정(+)이라고 미리 단정하지 않고 구성요소별·비선형 모형을 병행 검토한다.</w:t>
      </w:r>
    </w:p>
    <w:p>
      <w:pPr>
        <w:ind w:left="0" w:firstLine="0"/>
      </w:pPr>
      <w:r>
        <w:rPr>
          <w:rFonts w:ascii="NanumSquare" w:hAnsi="NanumSquare" w:eastAsia="NanumSquare"/>
          <w:sz w:val="20"/>
        </w:rPr>
        <w:t>6.  출입구와 상가노출성의 코딩 규칙, 조사자 간 일치도, 예비조사 절차를 명시한다.</w:t>
      </w:r>
    </w:p>
    <w:p>
      <w:pPr>
        <w:pStyle w:val="Heading1"/>
      </w:pPr>
      <w:r>
        <w:t>7. 권장 운영 조합</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기능</w:t>
            </w:r>
          </w:p>
        </w:tc>
        <w:tc>
          <w:tcPr>
            <w:tcW w:type="dxa" w:w="1984"/>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권장 출처</w:t>
            </w:r>
          </w:p>
        </w:tc>
        <w:tc>
          <w:tcPr>
            <w:tcW w:type="dxa" w:w="4932"/>
            <w:shd w:fill="17365D"/>
            <w:tcMar>
              <w:top w:w="80" w:type="dxa"/>
              <w:start w:w="100" w:type="dxa"/>
              <w:bottom w:w="80" w:type="dxa"/>
              <w:end w:w="100" w:type="dxa"/>
            </w:tcMar>
            <w:vAlign w:val="center"/>
          </w:tcPr>
          <w:p>
            <w:pPr>
              <w:jc w:val="center"/>
            </w:pPr>
            <w:r>
              <w:rPr>
                <w:rFonts w:ascii="NanumSquare" w:hAnsi="NanumSquare" w:eastAsia="NanumSquare"/>
                <w:b/>
                <w:color w:val="FFFFFF"/>
                <w:sz w:val="18"/>
              </w:rPr>
              <w:t>적용 방식</w:t>
            </w:r>
          </w:p>
        </w:tc>
      </w:tr>
      <w:tr>
        <w:tc>
          <w:tcPr>
            <w:tcW w:type="dxa" w:w="2268"/>
            <w:tcMar>
              <w:top w:w="80" w:type="dxa"/>
              <w:start w:w="100" w:type="dxa"/>
              <w:bottom w:w="80" w:type="dxa"/>
              <w:end w:w="100" w:type="dxa"/>
            </w:tcMar>
            <w:vAlign w:val="center"/>
            <w:shd w:fill="EAF0F8"/>
          </w:tcPr>
          <w:p>
            <w:pPr>
              <w:spacing w:after="0"/>
            </w:pPr>
            <w:r>
              <w:rPr>
                <w:rFonts w:ascii="NanumSquare" w:hAnsi="NanumSquare" w:eastAsia="NanumSquare"/>
                <w:b/>
                <w:sz w:val="18"/>
              </w:rPr>
              <w:t>기준 연구계획서</w:t>
            </w:r>
          </w:p>
        </w:tc>
        <w:tc>
          <w:tcPr>
            <w:tcW w:type="dxa" w:w="1984"/>
            <w:tcMar>
              <w:top w:w="80" w:type="dxa"/>
              <w:start w:w="100" w:type="dxa"/>
              <w:bottom w:w="80" w:type="dxa"/>
              <w:end w:w="100" w:type="dxa"/>
            </w:tcMar>
            <w:vAlign w:val="center"/>
          </w:tcPr>
          <w:p>
            <w:pPr>
              <w:spacing w:after="0"/>
            </w:pPr>
            <w:r>
              <w:rPr>
                <w:rFonts w:ascii="NanumSquare" w:hAnsi="NanumSquare" w:eastAsia="NanumSquare"/>
                <w:b w:val="0"/>
                <w:sz w:val="18"/>
              </w:rPr>
              <w:t>GPT</w:t>
            </w:r>
          </w:p>
        </w:tc>
        <w:tc>
          <w:tcPr>
            <w:tcW w:type="dxa" w:w="4932"/>
            <w:tcMar>
              <w:top w:w="80" w:type="dxa"/>
              <w:start w:w="100" w:type="dxa"/>
              <w:bottom w:w="80" w:type="dxa"/>
              <w:end w:w="100" w:type="dxa"/>
            </w:tcMar>
            <w:vAlign w:val="center"/>
          </w:tcPr>
          <w:p>
            <w:pPr>
              <w:spacing w:after="0"/>
              <w:jc w:val="center"/>
            </w:pPr>
            <w:r>
              <w:rPr>
                <w:rFonts w:ascii="NanumSquare" w:hAnsi="NanumSquare" w:eastAsia="NanumSquare"/>
                <w:b w:val="0"/>
                <w:sz w:val="18"/>
              </w:rPr>
              <w:t>변수·가설·위계적 모형 구조를 기준본으로 사용</w:t>
            </w:r>
          </w:p>
        </w:tc>
      </w:tr>
      <w:tr>
        <w:tc>
          <w:tcPr>
            <w:tcW w:type="dxa" w:w="2268"/>
            <w:tcMar>
              <w:top w:w="80" w:type="dxa"/>
              <w:start w:w="100" w:type="dxa"/>
              <w:bottom w:w="80" w:type="dxa"/>
              <w:end w:w="100" w:type="dxa"/>
            </w:tcMar>
            <w:vAlign w:val="center"/>
            <w:shd w:fill="EAF0F8"/>
          </w:tcPr>
          <w:p>
            <w:pPr>
              <w:spacing w:after="0"/>
            </w:pPr>
            <w:r>
              <w:rPr>
                <w:rFonts w:ascii="NanumSquare" w:hAnsi="NanumSquare" w:eastAsia="NanumSquare"/>
                <w:b/>
                <w:sz w:val="18"/>
              </w:rPr>
              <w:t>워크플로 통제</w:t>
            </w:r>
          </w:p>
        </w:tc>
        <w:tc>
          <w:tcPr>
            <w:tcW w:type="dxa" w:w="1984"/>
            <w:tcMar>
              <w:top w:w="80" w:type="dxa"/>
              <w:start w:w="100" w:type="dxa"/>
              <w:bottom w:w="80" w:type="dxa"/>
              <w:end w:w="100" w:type="dxa"/>
            </w:tcMar>
            <w:vAlign w:val="center"/>
          </w:tcPr>
          <w:p>
            <w:pPr>
              <w:spacing w:after="0"/>
            </w:pPr>
            <w:r>
              <w:rPr>
                <w:rFonts w:ascii="NanumSquare" w:hAnsi="NanumSquare" w:eastAsia="NanumSquare"/>
                <w:b w:val="0"/>
                <w:sz w:val="18"/>
              </w:rPr>
              <w:t>Fable</w:t>
            </w:r>
          </w:p>
        </w:tc>
        <w:tc>
          <w:tcPr>
            <w:tcW w:type="dxa" w:w="4932"/>
            <w:tcMar>
              <w:top w:w="80" w:type="dxa"/>
              <w:start w:w="100" w:type="dxa"/>
              <w:bottom w:w="80" w:type="dxa"/>
              <w:end w:w="100" w:type="dxa"/>
            </w:tcMar>
            <w:vAlign w:val="center"/>
          </w:tcPr>
          <w:p>
            <w:pPr>
              <w:spacing w:after="0"/>
              <w:jc w:val="center"/>
            </w:pPr>
            <w:r>
              <w:rPr>
                <w:rFonts w:ascii="NanumSquare" w:hAnsi="NanumSquare" w:eastAsia="NanumSquare"/>
                <w:b w:val="0"/>
                <w:sz w:val="18"/>
              </w:rPr>
              <w:t>위험 등록부, 대안모형 비교, 감사 체크리스트를 이식</w:t>
            </w:r>
          </w:p>
        </w:tc>
      </w:tr>
      <w:tr>
        <w:tc>
          <w:tcPr>
            <w:tcW w:type="dxa" w:w="2268"/>
            <w:tcMar>
              <w:top w:w="80" w:type="dxa"/>
              <w:start w:w="100" w:type="dxa"/>
              <w:bottom w:w="80" w:type="dxa"/>
              <w:end w:w="100" w:type="dxa"/>
            </w:tcMar>
            <w:vAlign w:val="center"/>
            <w:shd w:fill="EAF0F8"/>
          </w:tcPr>
          <w:p>
            <w:pPr>
              <w:spacing w:after="0"/>
            </w:pPr>
            <w:r>
              <w:rPr>
                <w:rFonts w:ascii="NanumSquare" w:hAnsi="NanumSquare" w:eastAsia="NanumSquare"/>
                <w:b/>
                <w:sz w:val="18"/>
              </w:rPr>
              <w:t>기술 확장 아이디어</w:t>
            </w:r>
          </w:p>
        </w:tc>
        <w:tc>
          <w:tcPr>
            <w:tcW w:type="dxa" w:w="1984"/>
            <w:tcMar>
              <w:top w:w="80" w:type="dxa"/>
              <w:start w:w="100" w:type="dxa"/>
              <w:bottom w:w="80" w:type="dxa"/>
              <w:end w:w="100" w:type="dxa"/>
            </w:tcMar>
            <w:vAlign w:val="center"/>
          </w:tcPr>
          <w:p>
            <w:pPr>
              <w:spacing w:after="0"/>
            </w:pPr>
            <w:r>
              <w:rPr>
                <w:rFonts w:ascii="NanumSquare" w:hAnsi="NanumSquare" w:eastAsia="NanumSquare"/>
                <w:b w:val="0"/>
                <w:sz w:val="18"/>
              </w:rPr>
              <w:t>Gemini</w:t>
            </w:r>
          </w:p>
        </w:tc>
        <w:tc>
          <w:tcPr>
            <w:tcW w:type="dxa" w:w="4932"/>
            <w:tcMar>
              <w:top w:w="80" w:type="dxa"/>
              <w:start w:w="100" w:type="dxa"/>
              <w:bottom w:w="80" w:type="dxa"/>
              <w:end w:w="100" w:type="dxa"/>
            </w:tcMar>
            <w:vAlign w:val="center"/>
          </w:tcPr>
          <w:p>
            <w:pPr>
              <w:spacing w:after="0"/>
              <w:jc w:val="center"/>
            </w:pPr>
            <w:r>
              <w:rPr>
                <w:rFonts w:ascii="NanumSquare" w:hAnsi="NanumSquare" w:eastAsia="NanumSquare"/>
                <w:b w:val="0"/>
                <w:sz w:val="18"/>
              </w:rPr>
              <w:t>GIS·영상분석은 API·인력·정확도 검증 후 후속 연구로 적용</w:t>
            </w:r>
          </w:p>
        </w:tc>
      </w:tr>
    </w:tbl>
    <w:p/>
    <w:p>
      <w:pPr>
        <w:pStyle w:val="Heading1"/>
      </w:pPr>
      <w:r>
        <w:t>8. 후속 검증 권고</w:t>
      </w:r>
    </w:p>
    <w:p>
      <w:pPr>
        <w:pStyle w:val="ListBullet"/>
        <w:ind w:left="283"/>
      </w:pPr>
      <w:r>
        <w:rPr>
          <w:rFonts w:ascii="NanumSquare" w:hAnsi="NanumSquare" w:eastAsia="NanumSquare"/>
          <w:sz w:val="20"/>
        </w:rPr>
        <w:t>세 모델에 동일한 후속 발화 스크립트를 적용해 게이트 준수, 수정 반응성, 최종 감사까지 재실행한다.</w:t>
      </w:r>
    </w:p>
    <w:p>
      <w:pPr>
        <w:pStyle w:val="ListBullet"/>
        <w:ind w:left="283"/>
      </w:pPr>
      <w:r>
        <w:rPr>
          <w:rFonts w:ascii="NanumSquare" w:hAnsi="NanumSquare" w:eastAsia="NanumSquare"/>
          <w:sz w:val="20"/>
        </w:rPr>
        <w:t>각 모델을 동일 프롬프트로 3회 반복하여 형식·점수 편차를 측정한다.</w:t>
      </w:r>
    </w:p>
    <w:p>
      <w:pPr>
        <w:pStyle w:val="ListBullet"/>
        <w:ind w:left="283"/>
      </w:pPr>
      <w:r>
        <w:rPr>
          <w:rFonts w:ascii="NanumSquare" w:hAnsi="NanumSquare" w:eastAsia="NanumSquare"/>
          <w:sz w:val="20"/>
        </w:rPr>
        <w:t>문헌 검색 가능/불가능 조건을 분리해 환각 저항성과 근거 제시 능력을 재평가한다.</w:t>
      </w:r>
    </w:p>
    <w:p>
      <w:pPr>
        <w:pStyle w:val="ListBullet"/>
        <w:ind w:left="283"/>
      </w:pPr>
      <w:r>
        <w:rPr>
          <w:rFonts w:ascii="NanumSquare" w:hAnsi="NanumSquare" w:eastAsia="NanumSquare"/>
          <w:sz w:val="20"/>
        </w:rPr>
        <w:t>v2.0 최종 프롬프트의 회귀 테스트 결과를 시스템 설계문서에 추가한다.</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66666"/>
        <w:sz w:val="16"/>
      </w:rPr>
      <w:t xml:space="preserve">– </w:t>
      <w:fldChar w:fldCharType="begin"/>
      <w:instrText xml:space="preserve">PAGE</w:instrText>
      <w:fldChar w:fldCharType="end"/>
    </w:r>
    <w:r>
      <w:rPr>
        <w:rFonts w:ascii="NanumSquare" w:hAnsi="NanumSquare" w:eastAsia="NanumSquare"/>
        <w:color w:val="666666"/>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666666"/>
        <w:sz w:val="17"/>
      </w:rPr>
      <w:t>LLM 모델 비교·선정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NanumSquare" w:hAnsi="NanumSquare" w:eastAsia="NanumSquare"/>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anumSquare" w:hAnsi="NanumSquare" w:eastAsia="NanumSquare"/>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anumSquare" w:hAnsi="NanumSquare" w:eastAsia="NanumSquare"/>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anumSquare" w:hAnsi="NanumSquare" w:eastAsia="NanumSquare"/>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NanumSquare" w:hAnsi="NanumSquare" w:eastAsia="NanumSquare"/>
      <w:b/>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