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方正小标宋_GBK" w:hAnsi="黑体" w:eastAsia="方正小标宋_GBK" w:cs="黑体"/>
          <w:sz w:val="44"/>
          <w:szCs w:val="44"/>
        </w:rPr>
      </w:pPr>
      <w:r>
        <w:rPr>
          <w:rFonts w:hint="eastAsia" w:ascii="方正小标宋_GBK" w:hAnsi="黑体" w:eastAsia="方正小标宋_GBK" w:cs="黑体"/>
          <w:sz w:val="44"/>
          <w:szCs w:val="44"/>
        </w:rPr>
        <w:t>学生实验守则</w:t>
      </w:r>
    </w:p>
    <w:p>
      <w:pPr>
        <w:spacing w:line="560" w:lineRule="exact"/>
        <w:ind w:firstLine="640" w:firstLineChars="200"/>
        <w:rPr>
          <w:rFonts w:ascii="仿宋_GB2312" w:hAnsi="仿宋_GB2312" w:eastAsia="仿宋_GB2312" w:cs="仿宋_GB2312"/>
          <w:sz w:val="32"/>
          <w:szCs w:val="32"/>
        </w:rPr>
      </w:pP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1.按照规定时间、到规定的实验室上课，不得无故迟到、早退。特殊情况事先向指导教师请假，并在规定时间内完成实验补做，否则视为旷课。</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2.认真预习实验，明确实验目的、原理</w:t>
      </w:r>
      <w:bookmarkStart w:id="0" w:name="_GoBack"/>
      <w:bookmarkEnd w:id="0"/>
      <w:r>
        <w:rPr>
          <w:rFonts w:hint="eastAsia" w:ascii="仿宋_GB2312" w:hAnsi="仿宋_GB2312" w:eastAsia="仿宋_GB2312" w:cs="仿宋_GB2312"/>
          <w:sz w:val="32"/>
          <w:szCs w:val="32"/>
        </w:rPr>
        <w:t>、方法、步骤、实验安全要求和紧急情况应急处置方法，经指导教师同意方可参加实验。</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实验前，检查实验所用的仪器设备、药品、工具、元器件及材料等是否符合实验要求的名称、型号规格、数量及技术状态，若有不符，要及时向指导教师报告，未经允许不得擅自动用与本实验无关的器材。严格按照实验分组表进行实验，不得擅自调整分组。</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4.遵守课堂纪律，保持安静整洁的实验环境。严禁吸烟、吃东西、随地吐痰、乱扔杂物、大声喧哗等不文明行为。除课程要求外不得使用音响设备、手机等，不得做与实验无关的事情。</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5.实验中要注意节约用水、用电和实验材料。</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6.爱护仪器，严格按仪器说明书或操作规程操作，仪器用具发生故障、损坏或丢失等特殊情况，要立即向指导教师报告，严禁擅自拆卸、搬动仪器。</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7.注意实验安全，如仪器设备出现异常气味、打火、冒烟、发热、异响、振动等现象，要立即切断电源关闭仪器，并向指导教师报告。</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8.认真观察实验现象并及时做好实验记录，原始记录要完整、真实、准确、清楚。</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9.实验完毕，须关闭水、电、热源，将仪器设备工具等整理好放回原处，做好清洁卫生，经指导教师允许后方可离开。实验室中任何仪器用具、试剂耗材不得带出实验室。</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10.</w:t>
      </w:r>
      <w:r>
        <w:rPr>
          <w:rFonts w:hint="eastAsia" w:ascii="仿宋" w:hAnsi="仿宋" w:eastAsia="仿宋_GB2312" w:cs="仿宋"/>
          <w:sz w:val="32"/>
          <w:szCs w:val="32"/>
        </w:rPr>
        <w:t>独立完成实验报告，实验报告要做到内容完整，图表清晰、字迹工整、表达清楚，讨论和分析问题简明扼要，测试结果及数据处理正确，并在规定的时间内提交。</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11</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因违规操作或其他主观原因，造成设备器材损坏或安全事故的，当事人须写出书面检查，并由实验指导教师和实验教学中心负责人根据有关规定做出处理意见，经学院和学校批准后，对其批评教育、处罚和追究相关责任。</w:t>
      </w:r>
    </w:p>
    <w:p>
      <w:pPr>
        <w:spacing w:line="560" w:lineRule="exact"/>
        <w:rPr>
          <w:sz w:val="32"/>
          <w:szCs w:val="32"/>
        </w:rPr>
      </w:pPr>
    </w:p>
    <w:p/>
    <w:sectPr>
      <w:footerReference r:id="rId3" w:type="default"/>
      <w:pgSz w:w="11906" w:h="16838"/>
      <w:pgMar w:top="2098" w:right="1474" w:bottom="1984" w:left="1587"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3000509000000000000"/>
    <w:charset w:val="86"/>
    <w:family w:val="script"/>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NkYTYwMTYyNzg4YTY1ZjdhMTkwODY2OTA2YjI1MmUifQ=="/>
  </w:docVars>
  <w:rsids>
    <w:rsidRoot w:val="57107083"/>
    <w:rsid w:val="57107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2022-12-30T02:31:00Z</dcterms:created>
  <dc:creator>李月</dc:creator>
  <cp:lastModifiedBy>李月</cp:lastModifiedBy>
  <dcterms:modified xsi:type="dcterms:W3CDTF">2022-12-30T02:32:37Z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E349F74BEA604DD1B1A8F44CCBC044EC</vt:lpwstr>
  </property>
</Properties>
</file>