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There are substantial grounds to believe that an International Armed Conflict (IAC) existed from about 15 March 2025</w:t>
      </w:r>
    </w:p>
    <w:p>
      <w:pPr>
        <w:spacing w:after="200" w:line="360" w:lineRule="auto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Both counts require an international armed conflict; as neither the Statute nor the Elements defines it, the Geneva Conventions apply.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They cover armed conflict “between two or more of the High Contracting Parties”, such as Damaroi and Pallavon.</w:t>
      </w:r>
      <w:r>
        <w:rPr>
          <w:rStyle w:val="FootnoteReference"/>
        </w:rPr>
        <w:footnoteReference w:id="2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Any “resort to armed force between States” suffices,</w:t>
      </w:r>
      <w:r>
        <w:rPr>
          <w:rStyle w:val="FootnoteReference"/>
        </w:rPr>
        <w:footnoteReference w:id="3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whatever its intensity or duration and even if unresisted.</w:t>
      </w:r>
      <w:r>
        <w:rPr>
          <w:rStyle w:val="FootnoteReference"/>
        </w:rPr>
        <w:footnoteReference w:id="4"/>
      </w:r>
    </w:p>
    <w:p>
      <w:pPr>
        <w:spacing w:after="200" w:line="360" w:lineRule="auto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On 3 February, President Veyar tasked General Thorn “to dismantle Pallavon’s aerial defence systems” so that Damaroi could “take control of the country”.</w:t>
      </w:r>
      <w:r>
        <w:rPr>
          <w:rStyle w:val="FootnoteReference"/>
        </w:rPr>
        <w:footnoteReference w:id="5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About 15 March, Thorn led 50 elite soldiers, the Titans, into Pallavon by stealth.</w:t>
      </w:r>
      <w:r>
        <w:rPr>
          <w:rStyle w:val="FootnoteReference"/>
        </w:rPr>
        <w:footnoteReference w:id="6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Retreating on 19 March, he burned the Pallavon bank for “easier access next time”; five Titans sent ahead never returned.</w:t>
      </w:r>
      <w:r>
        <w:rPr>
          <w:rStyle w:val="FootnoteReference"/>
        </w:rPr>
        <w:footnoteReference w:id="7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This unconsented deployment of Damaroi’s armed forces was a resort to armed force between States. Pallavon’s failure to detect it is irrelevant: classification depends on the facts, and the Head of State deliberately ordered it.</w:t>
      </w:r>
      <w:r>
        <w:rPr>
          <w:rStyle w:val="FootnoteReference"/>
        </w:rPr>
        <w:footnoteReference w:id="8"/>
      </w:r>
    </w:p>
    <w:p>
      <w:pPr>
        <w:spacing w:after="200" w:line="360" w:lineRule="auto"/>
        <w:ind w:left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IHL applies “in the whole territory of the warring States … whether or not actual combat takes place there” until “the general close of military operations”.</w:t>
      </w:r>
      <w:r>
        <w:rPr>
          <w:rStyle w:val="FootnoteReference"/>
        </w:rPr>
        <w:footnoteReference w:id="9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The operation was paused, not closed: Thorn said “When we go back in, we need to be stronger”, and Operation Titan 2.0 re-entered on 1 June.</w:t>
      </w:r>
      <w:r>
        <w:rPr>
          <w:rStyle w:val="FootnoteReference"/>
        </w:rPr>
        <w:footnoteReference w:id="10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Hostilities then escalated,</w:t>
      </w:r>
      <w:r>
        <w:rPr>
          <w:rStyle w:val="FootnoteReference"/>
        </w:rPr>
        <w:footnoteReference w:id="11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and peace talks began only after the Titans’ capture on 31 July.</w:t>
      </w:r>
      <w:r>
        <w:rPr>
          <w:rStyle w:val="FootnoteReference"/>
        </w:rPr>
        <w:footnoteReference w:id="12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The injections in Damaroi (2–10 April) and the 22 July strike thus both occurred within the IAC,</w:t>
      </w:r>
      <w:r>
        <w:rPr>
          <w:rStyle w:val="FootnoteReference"/>
        </w:rPr>
        <w:footnoteReference w:id="13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which there are substantial grounds to believe existed throughout both counts.</w:t>
      </w:r>
      <w:r>
        <w:rPr>
          <w:rStyle w:val="FootnoteReference"/>
        </w:rPr>
        <w:footnoteReference w:id="14"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Nexus and awareness are argued under each count.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Elements of Crimes, Art. 8(2)(a)(ii)-3, element 6, and Art. 8(2)(b)(ii), element 4; Rome Statute, Art. 21(1)(b).</w:t>
      </w:r>
    </w:p>
  </w:footnote>
  <w:footnote w:id="2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GC I–IV, common Art. 2(1); AP I, Art. 1(3); Instructions, [7] and Annex III.</w:t>
      </w:r>
    </w:p>
  </w:footnote>
  <w:footnote w:id="3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Prosecutor v. Duško Tadić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Decision on the Defence Motion for Interlocutory Appeal on Jurisdiction, ICTY Appeals Chamber, IT-94-1-AR72, 2 October 1995, para. 70 (“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Tadić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Jurisdiction Decision”);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Prosecutor v. Thomas Lubanga Dyilo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Decision on the Confirmation of Charges, ICC Pre-Trial Chamber I, ICC-01/04-01/06-803-tEN, 29 January 2007,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highlight w:val="yellow"/>
        </w:rPr>
        <w:t xml:space="preserve">para. 209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</w:t>
      </w:r>
    </w:p>
  </w:footnote>
  <w:footnote w:id="4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ICRC,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Commentary on the First Geneva Convention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(2nd edn, 2016), Art. 2,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highlight w:val="yellow"/>
        </w:rPr>
        <w:t xml:space="preserve">paras 236–237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; GC I–IV, common Art. 2(2).</w:t>
      </w:r>
    </w:p>
  </w:footnote>
  <w:footnote w:id="5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[11].</w:t>
      </w:r>
    </w:p>
  </w:footnote>
  <w:footnote w:id="6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[11]–[12].</w:t>
      </w:r>
    </w:p>
  </w:footnote>
  <w:footnote w:id="7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[13], [21], [53].</w:t>
      </w:r>
    </w:p>
  </w:footnote>
  <w:footnote w:id="8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[11], [14]; GC I–IV, common Art. 2(1)–(2).</w:t>
      </w:r>
    </w:p>
  </w:footnote>
  <w:footnote w:id="9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Tadić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Jurisdiction Decision, para. 70; AP I, Art. 3(b).</w:t>
      </w:r>
    </w:p>
  </w:footnote>
  <w:footnote w:id="10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[16], [21], [24].</w:t>
      </w:r>
    </w:p>
  </w:footnote>
  <w:footnote w:id="11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[26]–[28], [31], [34], [40], [43], [48].</w:t>
      </w:r>
    </w:p>
  </w:footnote>
  <w:footnote w:id="12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[52]–[54].</w:t>
      </w:r>
    </w:p>
  </w:footnote>
  <w:footnote w:id="13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Facts, [13], [15], [18], [20], [43].</w:t>
      </w:r>
    </w:p>
  </w:footnote>
  <w:footnote w:id="14">
    <w:p>
      <w:pPr>
        <w:spacing w:after="0" w:line="240" w:lineRule="auto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Rome Statute, Art. 61(7)(a).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Existence of an International Armed Conflict (IAC)</dc:title>
  <dc:creator>Moot team</dc:creator>
  <cp:lastModifiedBy>Un-named</cp:lastModifiedBy>
  <cp:revision>1</cp:revision>
  <dcterms:created xsi:type="dcterms:W3CDTF">2026-10-07T09:28:40.775Z</dcterms:created>
  <dcterms:modified xsi:type="dcterms:W3CDTF">2026-10-07T09:28:40.775Z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