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MDPI12title"/>
      </w:pPr>
      <w:r>
        <w:t xml:space="preserve">Supplementary Materials</w:t>
      </w:r>
    </w:p>
    <w:p>
      <w:pPr>
        <w:pStyle w:val="MDPI31text"/>
        <w:jc w:val="left"/>
      </w:pPr>
      <w:r>
        <w:rPr>
          <w:b/>
        </w:rPr>
        <w:t xml:space="preserve">Manuscript:</w:t>
      </w:r>
      <w:r>
        <w:t xml:space="preserve"> Strict Unseen-Domain Evaluation of Pressure-Based Smart-Mat Temperature and Humidity Estimation against Simple Level Baselines</w:t>
      </w:r>
    </w:p>
    <w:p>
      <w:pPr>
        <w:pStyle w:val="MDPI16affiliation"/>
      </w:pPr>
      <w:r>
        <w:rPr>
          <w:b/>
        </w:rPr>
        <w:t xml:space="preserve">Note: </w:t>
      </w:r>
      <w:r>
        <w:t xml:space="preserve">Tables S1–S44 are provided in full, at full precision, in the accompanying workbook Supplementary_Tables_S1-S44.xlsx (one worksheet per table part; the worksheet names are listed below). Table S19, a reproduction record, is reproduced in this document. Figures S1–S4 follow. No calendar date is included.</w:t>
      </w:r>
    </w:p>
    <w:p>
      <w:pPr>
        <w:pStyle w:val="MDPI21heading1"/>
        <w:keepNext/>
        <w:keepLines/>
      </w:pPr>
      <w:r>
        <w:t xml:space="preserve">Supplementary Tables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S1.</w:t>
      </w:r>
      <w:r>
        <w:t xml:space="preserve"> Strict LOSO per seed and training-mean predictor per fold (worksheets S01a_p3_tcn_outer_by_seed, S01b_p3_training_mean_by_fold).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S2.</w:t>
      </w:r>
      <w:r>
        <w:t xml:space="preserve"> Strict LOSO device and phase strata (worksheets S02_p3_secondary_strata).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S3.</w:t>
      </w:r>
      <w:r>
        <w:t xml:space="preserve"> Selected configurations and inner-selection score ranges (selection records) (worksheets S03a_p3_selected_configs, S03b_p4_selected_configs, S03c_p4_inner_score_range).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S4.</w:t>
      </w:r>
      <w:r>
        <w:t xml:space="preserve"> Feature families per seed (worksheets S04_p4_outer_by_seed).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S5.</w:t>
      </w:r>
      <w:r>
        <w:t xml:space="preserve"> Feature families versus the training-mean predictor (worksheets S05_p4_vs_training_mean).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S6.</w:t>
      </w:r>
      <w:r>
        <w:t xml:space="preserve"> Feature families: per-subject summary, versus RAW and the pre-declared comparisons A-E (worksheets S06a_p4_vs_raw, S06b_p4_incremental_effects, S06c_p4_seed_consistency, S06d_p4_primary_summary).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S7.</w:t>
      </w:r>
      <w:r>
        <w:t xml:space="preserve"> Bias and offset by feature family (worksheets S07_p4_bias_offset).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S8.</w:t>
      </w:r>
      <w:r>
        <w:t xml:space="preserve"> Feature-family device and phase strata (worksheets S08_p4_secondary_strata).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S9.</w:t>
      </w:r>
      <w:r>
        <w:t xml:space="preserve"> Adaptation gain and error decomposition (worksheets S09_p5_adaptation_gain).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S10.</w:t>
      </w:r>
      <w:r>
        <w:t xml:space="preserve"> Personalization RMSE and bias by budget (worksheets S10a_p5_primary_rmse, S10b_p5_primary_bias).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S11.</w:t>
      </w:r>
      <w:r>
        <w:t xml:space="preserve"> Personalization on the per-budget later span (secondary) (worksheets S11_p5_later_span_mae).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S12.</w:t>
      </w:r>
      <w:r>
        <w:t xml:space="preserve"> Personalization per seed (worksheets S12_p5_by_seed).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S13.</w:t>
      </w:r>
      <w:r>
        <w:t xml:space="preserve"> Budgets, nights and windows (night ordinals) (worksheets S13_p5_budget_counts).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S14.</w:t>
      </w:r>
      <w:r>
        <w:t xml:space="preserve"> User02 mat strata and User01 sensor-phase strata (worksheets S14a_p5_user02_device_strata, S14b_p5_user01_sensor_phase).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S15.</w:t>
      </w:r>
      <w:r>
        <w:t xml:space="preserve"> Temporal level mismatch (post hoc, descriptive) (worksheets S15a_p5_level_diagnostic, S15b_p6_level_mismatch_consiste, S15c_p6_level_mismatch_spans, S15d_p6_level_mismatch_trajecto).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S16.</w:t>
      </w:r>
      <w:r>
        <w:t xml:space="preserve"> Night-level bootstrap of RMSE and bias, and seed sensitivity (worksheets S16a_p6_bootstrap_rmse, S16b_p6_bootstrap_bias, S16c_p6_bootstrap_seed_sensitiv).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S17.</w:t>
      </w:r>
      <w:r>
        <w:t xml:space="preserve"> Start-span sensitivity (post hoc) (worksheets S17_p6_drift_sensitivity).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S18.</w:t>
      </w:r>
      <w:r>
        <w:t xml:space="preserve"> User02 device, quality-phase and heater-context strata (worksheets S18a_p6_user02_device_context, S18b_p6_user02_device_context_b).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S19.</w:t>
      </w:r>
      <w:r>
        <w:t xml:space="preserve"> Reproduction record (P7 report §6, §8–§10) (this document).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S20.</w:t>
      </w:r>
      <w:r>
        <w:t xml:space="preserve"> Post-hoc calibration comparators A–E on the primary span (seed summary) (worksheets S20_p8_calibration_main).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S21.</w:t>
      </w:r>
      <w:r>
        <w:t xml:space="preserve"> Post-hoc calibration comparators per seed (worksheets S21_p8_calibration_by_seed).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S22.</w:t>
      </w:r>
      <w:r>
        <w:t xml:space="preserve"> User02 per-mat calibration diagnostic (post hoc, added after the primary results were known) (worksheets S22_p8_calibration_user02_per_m).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S23.</w:t>
      </w:r>
      <w:r>
        <w:t xml:space="preserve"> Residual variation: target SD, error SD and R (post hoc) (worksheets S23_p8_residual_variation).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S24.</w:t>
      </w:r>
      <w:r>
        <w:t xml:space="preserve"> Initialization control at b = 14 (post hoc) (worksheets S24_p8_initialization_control).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S25.</w:t>
      </w:r>
      <w:r>
        <w:t xml:space="preserve"> Night-level bootstrap of the comparator differences, all budgets and seeds (post hoc) (worksheets S25_p8_comparator_bootstrap).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S26.</w:t>
      </w:r>
      <w:r>
        <w:t xml:space="preserve"> Pre-registered interpretation map: cases per subject, target and budget (post hoc) (worksheets S26_p8_interpretation_cases).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S27.</w:t>
      </w:r>
      <w:r>
        <w:t xml:space="preserve"> Dynamic-signal diagnostic: R, Q, pooled and within-night correlations, oracle ratio (seed summary; second-order post hoc) (worksheets S27_p8_dynamic_summary).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S28.</w:t>
      </w:r>
      <w:r>
        <w:t xml:space="preserve"> Dynamic-signal diagnostic per seed (second-order post hoc) (worksheets S28_p8_dynamic_by_seed).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S29.</w:t>
      </w:r>
      <w:r>
        <w:t xml:space="preserve"> Dynamic-signal diagnostic: night-cluster bootstrap of the correlations (second-order post hoc) (worksheets S29_p8_dynamic_bootstrap).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S30.</w:t>
      </w:r>
      <w:r>
        <w:t xml:space="preserve"> Retrospective oracle affine ratio and the affine-calibration trigger (second-order post hoc) (worksheets S30a_p8_dynamic_oracle_affine, S30b_p8_dynamic_trigger).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S31.</w:t>
      </w:r>
      <w:r>
        <w:t xml:space="preserve"> Pre-registered dynamic-signal cases J1–J8 and headlines (second-order post hoc) (worksheets S31a_p8_dynamic_cases, S31b_p8_dynamic_headlines).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S32.</w:t>
      </w:r>
      <w:r>
        <w:t xml:space="preserve"> Additional external validation: source reconciliation coverage and windows (post hoc) (worksheets S32a_p9_user03_qa_coverage, S32b_p9_user03_qa_nights, S32c_p9_user03_qa_totals).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S33.</w:t>
      </w:r>
      <w:r>
        <w:t xml:space="preserve"> Additional external validation: results per predictor, configuration and seed (post hoc) (worksheets S33a_p9_user03_summary, S33b_p9_user03_by_seed).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S34.</w:t>
      </w:r>
      <w:r>
        <w:t xml:space="preserve"> Additional external validation: per-night results and the pre-registered interpretation (post hoc) (worksheets S34a_p9_user03_per_night_summar, S34b_p9_user03_interpretation).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S35.</w:t>
      </w:r>
      <w:r>
        <w:t xml:space="preserve"> Median constants, strict leave-one-subject-out and primary span (exploratory) (worksheets S35a_p10_loso_constants, S35b_p10_loso_metrics, S35c_p10_rq2_constants, S35d_p10_rq2_summary).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S36.</w:t>
      </w:r>
      <w:r>
        <w:t xml:space="preserve"> Point-estimate counts of constants versus networks (exploratory) (worksheets S36_p10_point_counts).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S37.</w:t>
      </w:r>
      <w:r>
        <w:t xml:space="preserve"> Endpoint availability by history (exploratory) (worksheets S37_p10_history_availability).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S38.</w:t>
      </w:r>
      <w:r>
        <w:t xml:space="preserve"> Pressure-summary models on the common endpoints: all histories, ridge regression, bias, R and correlations, night-level intervals, selections and the pre-specified reading; the RAW-TCN trained on all 40-s windows as a training-pool sensitivity reference (exploratory) (worksheets S38a_p10_history_metrics, S38b_p10_history_bootstrap, S38c_p10_history_interpretation, S38d_p10_history_selection, S38e_p11_model_comparison_train).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S39.</w:t>
      </w:r>
      <w:r>
        <w:t xml:space="preserve"> RAW-TCN retrained on the common endpoints: per seed and seed mean, epoch selection and pool counts (exploratory) (worksheets S39a_p11_tcn_per_seed, S39b_p11_tcn_seed_mean, S39c_p11_epoch_selection, S39d_p11_pool_counts).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S40.</w:t>
      </w:r>
      <w:r>
        <w:t xml:space="preserve"> RAW-TCN retrained on the common endpoints: night-level paired bootstrap against the constants, the boosted models and the network trained on all 40-s windows, and the pre-specified reading (exploratory) (worksheets S40a_p11_bootstrap, S40b_p11_interpretation).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S41.</w:t>
      </w:r>
      <w:r>
        <w:t xml:space="preserve"> Heater-context diagnostic: control-code audit and heater-context coverage by state, span and mat (post hoc, descriptive) (worksheets S41a_p12_code_audit, S41b_p12_context_counts).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S42.</w:t>
      </w:r>
      <w:r>
        <w:t xml:space="preserve"> Heater-context diagnostic: target level by heater context (post hoc, descriptive) (worksheets S42_p12_target_summary).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S43.</w:t>
      </w:r>
      <w:r>
        <w:t xml:space="preserve"> Heater-context diagnostic: eta squared for both targets, raw, night-centred and night × mat-centred, three states and on/off only, both spans, with night-level intervals (post hoc, descriptive) (worksheets S43_p12_eta_squared).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Table S44.</w:t>
      </w:r>
      <w:r>
        <w:t xml:space="preserve"> Heater-context diagnostic: heater-conditioned source constant on both spans, night-level paired bootstrap, source composition, pre-specified reading, and errors of the constants and pressure models by heater context (post hoc, descriptive) (worksheets S44a_p12_constant_metrics_full, S44b_p12_constant_metrics_commo, S44c_p12_bootstrap_full, S44d_p12_bootstrap_common, S44e_p12_source_composition, S44f_p12_interpretation, S44g_p12_errors_by_context).</w:t>
      </w:r>
    </w:p>
    <w:p>
      <w:pPr>
        <w:pStyle w:val="MDPI21heading1"/>
        <w:keepNext/>
        <w:keepLines/>
      </w:pPr>
      <w:r>
        <w:t xml:space="preserve">Reproduction Record (Table S19)</w:t>
      </w:r>
    </w:p>
    <w:p>
      <w:pPr>
        <w:pStyle w:val="MDPI32textnoindent"/>
        <w:jc w:val="left"/>
      </w:pPr>
      <w:r>
        <w:t xml:space="preserve">Verbatim copy of sections 6 and 8–10 of the P7 reproducibility report (</w:t>
      </w:r>
      <w:r>
        <w:t xml:space="preserve">docs/P7_REPRODUCIBILITY_PUBLIC_RELEASE_REPORT.md</w:t>
      </w:r>
      <w:r>
        <w:t xml:space="preserve">): release manifest and checksums, core and extended reproduction, and clean-checkout results. Commit identifiers refer to the version-controlled research repository.</w:t>
      </w:r>
    </w:p>
    <w:p>
      <w:pPr>
        <w:pStyle w:val="MDPI23heading3"/>
        <w:keepNext/>
        <w:keepLines/>
      </w:pPr>
      <w:r>
        <w:t xml:space="preserve">6. Release manifest and checksums</w:t>
      </w:r>
    </w:p>
    <w:tbl>
      <w:tblPr>
        <w:tblStyle w:val="MDPI41threelinetable"/>
        <w:tblW w:w="10464" w:type="dxa"/>
        <w:tblLayout w:type="fixed"/>
      </w:tblPr>
      <w:tblGrid>
        <w:gridCol w:w="6118"/>
        <w:gridCol w:w="1648"/>
        <w:gridCol w:w="2698"/>
      </w:tblGrid>
      <w:tr>
        <w:trPr>
          <w:cantSplit/>
          <w:tblHeader/>
        </w:trPr>
        <w:tc>
          <w:tcPr>
            <w:tcW w:w="6118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File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Bytes</w:t>
            </w:r>
          </w:p>
        </w:tc>
        <w:tc>
          <w:tcPr>
            <w:tcW w:w="2698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SHA</w:t>
              <w:noBreakHyphen/>
              <w:t xml:space="preserve">256 (first 16)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windows.parquet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29,955,714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79fdf6cd80eb2cac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splits/v1.0_loso/outer_folds.csv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128,717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6f2fc7d22925d9a3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splits/v1.0_loso/inner_folds.csv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182,258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a25e6efa9b1aa740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splits/v1.0_personalization/chronological.csv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243,641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129c37e6c0e63752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control_events.csv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13,309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63a1ec18e2f6a4c0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p5_plan_public.yaml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17,083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ff769d7673ad2a78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reference_digests.json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24,295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8ebb401ec26760ec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schema.json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16,063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7bf0919fdb3fc1f6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excluded_sources.csv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486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954c468953687d11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README.md</w:t>
            </w:r>
          </w:p>
        </w:tc>
        <w:tc>
          <w:tcPr>
            <w:tcW w:w="164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5,567</w:t>
            </w:r>
          </w:p>
        </w:tc>
        <w:tc>
          <w:tcPr>
            <w:tcW w:w="269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4c6685c8b7c7b2c2</w:t>
            </w:r>
          </w:p>
        </w:tc>
      </w:tr>
      <w:tr>
        <w:trPr>
          <w:cantSplit/>
        </w:trPr>
        <w:tc>
          <w:tcPr>
            <w:tcW w:w="6118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manifest.json</w:t>
            </w:r>
          </w:p>
        </w:tc>
        <w:tc>
          <w:tcPr>
            <w:tcW w:w="1648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8,186</w:t>
            </w:r>
          </w:p>
        </w:tc>
        <w:tc>
          <w:tcPr>
            <w:tcW w:w="2698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72ac8cf347696d92</w:t>
            </w:r>
          </w:p>
        </w:tc>
      </w:tr>
    </w:tbl>
    <w:p>
      <w:pPr>
        <w:pStyle w:val="MDPI38bullet"/>
        <w:numPr>
          <w:ilvl w:val="0"/>
          <w:numId w:val="20"/>
        </w:numPr>
        <w:spacing w:before="120"/>
        <w:jc w:val="left"/>
      </w:pPr>
      <w:r>
        <w:rPr>
          <w:b/>
        </w:rPr>
        <w:t xml:space="preserve">The manifest records: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release version, protocol version and hash, split hashes and the split manifest hash;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source-dataset identity (canonical_v1 primary content and file hashes);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base tag </w:t>
      </w:r>
      <w:r>
        <w:t xml:space="preserve">p6-robustness</w:t>
      </w:r>
      <w:r>
        <w:t xml:space="preserve"> → </w:t>
      </w:r>
      <w:r>
        <w:t xml:space="preserve">16980ae</w:t>
      </w:r>
      <w:r>
        <w:t xml:space="preserve">, builder commit </w:t>
      </w:r>
      <w:r>
        <w:t xml:space="preserve">402c1ff</w:t>
      </w:r>
      <w:r>
        <w:t xml:space="preserve"> and the builder file hashes;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P5 plan hash, window rule, subjects, streams and counts;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target, pressure, time, split and window-set representation;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excluded sources with reason, confirmation and decision (DATA_POLICY §5.4);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public/private primary-window digests, the equivalence result, the privacy checks passed;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SHA-256 of every other file.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Determinism:</w:t>
      </w:r>
      <w:r>
        <w:t xml:space="preserve"> an in-place rebuild and a rebuild into a fresh directory are byte-identical for all 11 files, including the manifest.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Byte-exact Git storage:</w:t>
      </w:r>
      <w:r>
        <w:t xml:space="preserve"> </w:t>
      </w:r>
      <w:r>
        <w:t xml:space="preserve">.gitattributes</w:t>
      </w:r>
      <w:r>
        <w:t xml:space="preserve"> keeps </w:t>
      </w:r>
      <w:r>
        <w:t xml:space="preserve">data/release/**</w:t>
      </w:r>
      <w:r>
        <w:t xml:space="preserve"> free of line-ending conversion. Two of the CSVs use CRLF (</w:t>
      </w:r>
      <w:r>
        <w:t xml:space="preserve">write_csv</w:t>
      </w:r>
      <w:r>
        <w:t xml:space="preserve">), and a Windows checkout with </w:t>
      </w:r>
      <w:r>
        <w:t xml:space="preserve">core.autocrlf=true</w:t>
      </w:r>
      <w:r>
        <w:t xml:space="preserve"> would otherwise change their bytes.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Builder fixes found while building and reproducing.</w:t>
      </w:r>
      <w:r>
        <w:t xml:space="preserve"> Each was committed before the rebuild that used it, so the manifest records a clean builder commit: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public plan's description now mentions the removed run ids; split copies are verified on load (</w:t>
      </w:r>
      <w:r>
        <w:t xml:space="preserve">ad97599</w:t>
      </w:r>
      <w:r>
        <w:t xml:space="preserve">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a stale manifest in the output directory entered the build checks (</w:t>
      </w:r>
      <w:r>
        <w:t xml:space="preserve">33c68f8</w:t>
      </w:r>
      <w:r>
        <w:t xml:space="preserve">), and its deletion now goes through </w:t>
      </w:r>
      <w:r>
        <w:t xml:space="preserve">io_guard</w:t>
      </w:r>
      <w:r>
        <w:t xml:space="preserve"> (</w:t>
      </w:r>
      <w:r>
        <w:t xml:space="preserve">b8b6696</w:t>
      </w:r>
      <w:r>
        <w:t xml:space="preserve">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rPr>
          <w:b/>
        </w:rPr>
        <w:t xml:space="preserve">the public plan had lost its integer budget and seed keys</w:t>
      </w:r>
      <w:r>
        <w:t xml:space="preserve"> through a JSON round trip, which would have broken every public P5 run; a new build check compares the public plan with the private plan key by key (</w:t>
      </w:r>
      <w:r>
        <w:t xml:space="preserve">2e9ec9c</w:t>
      </w:r>
      <w:r>
        <w:t xml:space="preserve">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manifest's excluded-source list gains </w:t>
      </w:r>
      <w:r>
        <w:t xml:space="preserve">exclusion_confirmed_by</w:t>
      </w:r>
      <w:r>
        <w:t xml:space="preserve"> (</w:t>
      </w:r>
      <w:r>
        <w:t xml:space="preserve">5ff6a52</w:t>
      </w:r>
      <w:r>
        <w:t xml:space="preserve">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validator scans for secrets (</w:t>
      </w:r>
      <w:r>
        <w:t xml:space="preserve">402c1ff</w:t>
      </w:r>
      <w:r>
        <w:t xml:space="preserve">). Every fix left </w:t>
      </w:r>
      <w:r>
        <w:t xml:space="preserve">windows.parquet</w:t>
      </w:r>
      <w:r>
        <w:t xml:space="preserve"> and the other data files byte-identical.</w:t>
      </w:r>
    </w:p>
    <w:p>
      <w:pPr>
        <w:pStyle w:val="MDPI23heading3"/>
        <w:keepNext/>
        <w:keepLines/>
      </w:pPr>
      <w:r>
        <w:t xml:space="preserve">8. Core reproduction workflow</w:t>
      </w:r>
    </w:p>
    <w:p>
      <w:pPr>
        <w:pStyle w:val="MDPI32textnoindent"/>
        <w:jc w:val="left"/>
      </w:pPr>
      <w:r>
        <w:t xml:space="preserve">python scripts/reproduce_public_release.py --data data/release/public_release_v1 --tier core</w:t>
      </w:r>
      <w:r>
        <w:t xml:space="preserve">: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Release:</w:t>
      </w:r>
      <w:r>
        <w:t xml:space="preserve"> the privacy/integrity validator and the manifest hashes (24 checks). Nothing runs if one fails.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Public mode</w:t>
      </w:r>
      <w:r>
        <w:t xml:space="preserve"> (</w:t>
      </w:r>
      <w:r>
        <w:t xml:space="preserve">src/evaluation/public_reproduction.py</w:t>
      </w:r>
      <w:r>
        <w:t xml:space="preserve">):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unchanged P3/P4/P5/P6 code reads the release through </w:t>
      </w:r>
      <w:r>
        <w:t xml:space="preserve">PublicSession</w:t>
      </w:r>
      <w:r>
        <w:t xml:space="preserve">.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canonical_v1, the raw data and the private split files raise if touched.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Runs and tables go under </w:t>
      </w:r>
      <w:r>
        <w:t xml:space="preserve">outputs/p7/reproduction/</w:t>
      </w:r>
      <w:r>
        <w:t xml:space="preserve">.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Every run passes the public leakage gate before training. This is the P2 gate on the public split copies: split-level L2/L4/L5/L6/L8, run-level L1/L3/L4/L9/L10/L11, and the release manifest in place of the canonical-data check L7.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P3: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training-mean for folds 1–3;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9 RAW-TCN finals from the committed P3 selection;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prediction digests, and weights against the P5 plan's base-checkpoint digests;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P3 tables.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P5: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reproduced P3 models reload and predict bitwise;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45 runs from the public plan (b = 0 base evaluation; b &gt; 0 fine-tuning with the frozen recipe);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prediction digests;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aggregation, the level diagnostic, and the P5 tables and figures.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P6:</w:t>
      </w:r>
      <w:r>
        <w:t xml:space="preserve"> the unchanged analysis on the reproduced P5 tables and predictions, then the P6 tables and figures.</w:t>
      </w:r>
    </w:p>
    <w:p>
      <w:pPr>
        <w:pStyle w:val="MDPI37itemize"/>
        <w:numPr>
          <w:ilvl w:val="0"/>
          <w:numId w:val="900"/>
        </w:numPr>
        <w:jc w:val="left"/>
      </w:pPr>
      <w:r>
        <w:rPr>
          <w:b/>
        </w:rPr>
        <w:t xml:space="preserve">Comparison:</w:t>
      </w:r>
      <w:r>
        <w:t xml:space="preserve"> every paper table against the committed one (§5 rule). The figures are compared for information. The summary goes to </w:t>
      </w:r>
      <w:r>
        <w:t xml:space="preserve">outputs/p7/reproduction/p7_reproduction_summary.json</w:t>
      </w:r>
      <w:r>
        <w:t xml:space="preserve">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Not reproduced by design</w:t>
      </w:r>
      <w:r>
        <w:t xml:space="preserve"> (D-050): the inner searches. </w:t>
      </w:r>
      <w:r>
        <w:t xml:space="preserve">p3_selected_configs.csv</w:t>
      </w:r>
      <w:r>
        <w:t xml:space="preserve">, </w:t>
      </w:r>
      <w:r>
        <w:t xml:space="preserve">p4_selected_configs.csv</w:t>
      </w:r>
      <w:r>
        <w:t xml:space="preserve"> and </w:t>
      </w:r>
      <w:r>
        <w:t xml:space="preserve">p4_inner_score_range.csv</w:t>
      </w:r>
      <w:r>
        <w:t xml:space="preserve"> are selection records; the frozen selections are inputs of both tiers.</w:t>
      </w:r>
    </w:p>
    <w:p>
      <w:pPr>
        <w:pStyle w:val="MDPI32textnoindent"/>
        <w:jc w:val="left"/>
      </w:pPr>
      <w:r>
        <w:t xml:space="preserve">Local core result (release manifest of </w:t>
      </w:r>
      <w:r>
        <w:t xml:space="preserve">de590f9</w:t>
      </w:r>
      <w:r>
        <w:t xml:space="preserve">; data files identical to the final release):</w:t>
      </w:r>
    </w:p>
    <w:tbl>
      <w:tblPr>
        <w:tblStyle w:val="MDPI41threelinetable"/>
        <w:tblW w:w="10465" w:type="dxa"/>
        <w:tblLayout w:type="fixed"/>
      </w:tblPr>
      <w:tblGrid>
        <w:gridCol w:w="2147"/>
        <w:gridCol w:w="6509"/>
        <w:gridCol w:w="1809"/>
      </w:tblGrid>
      <w:tr>
        <w:trPr>
          <w:cantSplit/>
          <w:tblHeader/>
        </w:trPr>
        <w:tc>
          <w:tcPr>
            <w:tcW w:w="2147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Stage</w:t>
            </w:r>
          </w:p>
        </w:tc>
        <w:tc>
          <w:tcPr>
            <w:tcW w:w="6509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Checks</w:t>
            </w:r>
          </w:p>
        </w:tc>
        <w:tc>
          <w:tcPr>
            <w:tcW w:w="1809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release</w:t>
            </w:r>
          </w:p>
        </w:tc>
        <w:tc>
          <w:tcPr>
            <w:tcW w:w="65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8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w="65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3 training</w:t>
              <w:noBreakHyphen/>
              <w:t xml:space="preserve">mean + 9 final prediction digests, 9 weight digests, 4 tables</w:t>
            </w:r>
          </w:p>
        </w:tc>
        <w:tc>
          <w:tcPr>
            <w:tcW w:w="18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25/25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w="65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base reload 9/9, 45 prediction digests, 12 tables</w:t>
            </w:r>
          </w:p>
        </w:tc>
        <w:tc>
          <w:tcPr>
            <w:tcW w:w="18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58/58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w="65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11 tables</w:t>
            </w:r>
          </w:p>
        </w:tc>
        <w:tc>
          <w:tcPr>
            <w:tcW w:w="1809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11/11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6509" w:type="dxa"/>
          </w:tcPr>
          <w:p>
            <w:pPr>
              <w:pStyle w:val="MDPI42tablebody"/>
              <w:keepNext/>
              <w:suppressAutoHyphens/>
            </w:pPr>
          </w:p>
        </w:tc>
        <w:tc>
          <w:tcPr>
            <w:tcW w:w="1809" w:type="dxa"/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118/118 PASS</w:t>
            </w:r>
          </w:p>
        </w:tc>
      </w:tr>
      <w:tr>
        <w:trPr>
          <w:cantSplit/>
        </w:trPr>
        <w:tc>
          <w:tcPr>
            <w:tcW w:w="2147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figures (information)</w:t>
            </w:r>
          </w:p>
        </w:tc>
        <w:tc>
          <w:tcPr>
            <w:tcW w:w="6509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9 PNG</w:t>
            </w:r>
          </w:p>
        </w:tc>
        <w:tc>
          <w:tcPr>
            <w:tcW w:w="1809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9/9 byte</w:t>
              <w:noBreakHyphen/>
              <w:t xml:space="preserve">identical</w:t>
            </w:r>
          </w:p>
        </w:tc>
      </w:tr>
    </w:tbl>
    <w:p>
      <w:pPr>
        <w:pStyle w:val="MDPI38bullet"/>
        <w:numPr>
          <w:ilvl w:val="0"/>
          <w:numId w:val="20"/>
        </w:numPr>
        <w:spacing w:before="120"/>
        <w:jc w:val="left"/>
      </w:pPr>
      <w:r>
        <w:rPr>
          <w:b/>
        </w:rPr>
        <w:t xml:space="preserve">Tables:</w:t>
      </w:r>
      <w:r>
        <w:t xml:space="preserve"> 25 of 28 are byte-identical. The other 3 are identical except for night-key cells (§5).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Run time:</w:t>
      </w:r>
      <w:r>
        <w:t xml:space="preserve"> 467 s (P3 256 s, P5 201 s, P6 9 s).</w:t>
      </w:r>
    </w:p>
    <w:p>
      <w:pPr>
        <w:pStyle w:val="MDPI23heading3"/>
        <w:keepNext/>
        <w:keepLines/>
      </w:pPr>
      <w:r>
        <w:t xml:space="preserve">9. Extended P4 reproduction</w:t>
      </w:r>
    </w:p>
    <w:p>
      <w:pPr>
        <w:pStyle w:val="MDPI32textnoindent"/>
        <w:jc w:val="left"/>
      </w:pPr>
      <w:r>
        <w:t xml:space="preserve">--tier extended</w:t>
      </w:r>
      <w:r>
        <w:t xml:space="preserve"> runs the core tier, skipping complete runs but re-checking everything, and then the P4 stage: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Runs:</w:t>
      </w:r>
      <w:r>
        <w:t xml:space="preserve"> the 45 P4 finals (5 families × 3 folds × 3 seeds) from the committed P4 selection, in public mode with the public gate. The derived MOVEMENT/CONTACT inputs are computed from the released pressure values by the committed feature code.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Checks: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every prediction file against its reference digest;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p4_ablation.aggregate</w:t>
      </w:r>
      <w:r>
        <w:t xml:space="preserve"> on the reproduced P4 runs, with the RAW reference taken from the </w:t>
      </w:r>
      <w:r>
        <w:rPr>
          <w:b/>
        </w:rPr>
        <w:t xml:space="preserve">reproduced</w:t>
      </w:r>
      <w:r>
        <w:t xml:space="preserve"> P3 tables (not the committed ones);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the 8 P4 result tables compared with the committed tables.</w:t>
      </w:r>
    </w:p>
    <w:p>
      <w:pPr>
        <w:pStyle w:val="MDPI32textnoindent"/>
        <w:jc w:val="left"/>
      </w:pPr>
      <w:r>
        <w:t xml:space="preserve">Local extended result (release manifest of </w:t>
      </w:r>
      <w:r>
        <w:t xml:space="preserve">96f78a8</w:t>
      </w:r>
      <w:r>
        <w:t xml:space="preserve">; data files identical to the final release):</w:t>
      </w:r>
    </w:p>
    <w:tbl>
      <w:tblPr>
        <w:tblStyle w:val="MDPI41threelinetable"/>
        <w:tblW w:w="10465" w:type="dxa"/>
        <w:tblLayout w:type="fixed"/>
      </w:tblPr>
      <w:tblGrid>
        <w:gridCol w:w="2974"/>
        <w:gridCol w:w="4036"/>
        <w:gridCol w:w="3455"/>
      </w:tblGrid>
      <w:tr>
        <w:trPr>
          <w:cantSplit/>
          <w:tblHeader/>
        </w:trPr>
        <w:tc>
          <w:tcPr>
            <w:tcW w:w="2974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Stage</w:t>
            </w:r>
          </w:p>
        </w:tc>
        <w:tc>
          <w:tcPr>
            <w:tcW w:w="4036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Checks</w:t>
            </w:r>
          </w:p>
        </w:tc>
        <w:tc>
          <w:tcPr>
            <w:tcW w:w="3455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release, P3, P5, P6</w:t>
            </w:r>
          </w:p>
        </w:tc>
        <w:tc>
          <w:tcPr>
            <w:tcW w:w="4036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as in §8</w:t>
            </w:r>
          </w:p>
        </w:tc>
        <w:tc>
          <w:tcPr>
            <w:tcW w:w="345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 + 25/25 + 58/58 + 11/11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w="4036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45 prediction digests, 8 tables</w:t>
            </w:r>
          </w:p>
        </w:tc>
        <w:tc>
          <w:tcPr>
            <w:tcW w:w="345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53/53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4036" w:type="dxa"/>
          </w:tcPr>
          <w:p>
            <w:pPr>
              <w:pStyle w:val="MDPI42tablebody"/>
              <w:keepNext/>
              <w:suppressAutoHyphens/>
            </w:pPr>
          </w:p>
        </w:tc>
        <w:tc>
          <w:tcPr>
            <w:tcW w:w="3455" w:type="dxa"/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171/171 PASS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figures (information)</w:t>
            </w:r>
          </w:p>
        </w:tc>
        <w:tc>
          <w:tcPr>
            <w:tcW w:w="4036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9 PNG</w:t>
            </w:r>
          </w:p>
        </w:tc>
        <w:tc>
          <w:tcPr>
            <w:tcW w:w="3455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9/9 byte</w:t>
              <w:noBreakHyphen/>
              <w:t xml:space="preserve">identical</w:t>
            </w:r>
          </w:p>
        </w:tc>
      </w:tr>
    </w:tbl>
    <w:p>
      <w:pPr>
        <w:pStyle w:val="MDPI38bullet"/>
        <w:numPr>
          <w:ilvl w:val="0"/>
          <w:numId w:val="20"/>
        </w:numPr>
        <w:spacing w:before="120"/>
        <w:jc w:val="left"/>
      </w:pPr>
      <w:r>
        <w:rPr>
          <w:b/>
        </w:rPr>
        <w:t xml:space="preserve">Tables:</w:t>
      </w:r>
      <w:r>
        <w:t xml:space="preserve"> all 8 P4 tables are byte-identical: </w:t>
      </w:r>
      <w:r>
        <w:t xml:space="preserve">p4_primary_summary</w:t>
      </w:r>
      <w:r>
        <w:t xml:space="preserve">, </w:t>
      </w:r>
      <w:r>
        <w:t xml:space="preserve">p4_outer_by_seed</w:t>
      </w:r>
      <w:r>
        <w:t xml:space="preserve">, </w:t>
      </w:r>
      <w:r>
        <w:t xml:space="preserve">p4_vs_raw</w:t>
      </w:r>
      <w:r>
        <w:t xml:space="preserve">, </w:t>
      </w:r>
      <w:r>
        <w:t xml:space="preserve">p4_vs_training_mean</w:t>
      </w:r>
      <w:r>
        <w:t xml:space="preserve">, </w:t>
      </w:r>
      <w:r>
        <w:t xml:space="preserve">p4_incremental_effects</w:t>
      </w:r>
      <w:r>
        <w:t xml:space="preserve">, </w:t>
      </w:r>
      <w:r>
        <w:t xml:space="preserve">p4_seed_consistency</w:t>
      </w:r>
      <w:r>
        <w:t xml:space="preserve">, </w:t>
      </w:r>
      <w:r>
        <w:t xml:space="preserve">p4_bias_offset</w:t>
      </w:r>
      <w:r>
        <w:t xml:space="preserve">, </w:t>
      </w:r>
      <w:r>
        <w:t xml:space="preserve">p4_secondary_strata</w:t>
      </w:r>
      <w:r>
        <w:t xml:space="preserve">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Run time:</w:t>
      </w:r>
      <w:r>
        <w:t xml:space="preserve"> P4 stage 1,808 s. The core stages took 44 s because their runs were already complete and only re-checked.</w:t>
      </w:r>
    </w:p>
    <w:p>
      <w:pPr>
        <w:pStyle w:val="MDPI23heading3"/>
        <w:keepNext/>
        <w:keepLines/>
      </w:pPr>
      <w:r>
        <w:t xml:space="preserve">10. Clean-checkout results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Setup: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a detached git worktree at </w:t>
      </w:r>
      <w:r>
        <w:t xml:space="preserve">59f903e</w:t>
      </w:r>
      <w:r>
        <w:t xml:space="preserve">: the final release metadata, manifest </w:t>
      </w:r>
      <w:r>
        <w:t xml:space="preserve">72ac8cf3…</w:t>
      </w:r>
      <w:r>
        <w:t xml:space="preserve">, builder </w:t>
      </w:r>
      <w:r>
        <w:t xml:space="preserve">402c1ff</w:t>
      </w:r>
      <w:r>
        <w:t xml:space="preserve">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windows.parquet</w:t>
      </w:r>
      <w:r>
        <w:t xml:space="preserve"> copied into </w:t>
      </w:r>
      <w:r>
        <w:t xml:space="preserve">data/release/public_release_v1/</w:t>
      </w:r>
      <w:r>
        <w:t xml:space="preserve"> (the manifest verifies it);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nothing else: no canonical_v1, no raw data (only </w:t>
      </w:r>
      <w:r>
        <w:t xml:space="preserve">data/raw/README.md</w:t>
      </w:r>
      <w:r>
        <w:t xml:space="preserve">), no </w:t>
      </w:r>
      <w:r>
        <w:t xml:space="preserve">outputs/</w:t>
      </w:r>
      <w:r>
        <w:t xml:space="preserve">.</w:t>
      </w:r>
    </w:p>
    <w:p>
      <w:pPr>
        <w:pStyle w:val="MDPI38bullet"/>
        <w:numPr>
          <w:ilvl w:val="0"/>
          <w:numId w:val="20"/>
        </w:numPr>
        <w:ind w:left="3458" w:hanging="425"/>
        <w:jc w:val="left"/>
      </w:pPr>
      <w:r>
        <w:t xml:space="preserve">To prove the private split files are not needed, the committed </w:t>
      </w:r>
      <w:r>
        <w:t xml:space="preserve">data/splits/v1.0_*</w:t>
      </w:r>
      <w:r>
        <w:t xml:space="preserve"> files were deleted from the worktree before the runs. That is a working-tree deletion only, which is why the run records a dirty tree.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Sequence:</w:t>
      </w:r>
      <w:r>
        <w:t xml:space="preserve"> full test suite → public validator → </w:t>
      </w:r>
      <w:r>
        <w:t xml:space="preserve">--tier core</w:t>
      </w:r>
      <w:r>
        <w:t xml:space="preserve"> → </w:t>
      </w:r>
      <w:r>
        <w:t xml:space="preserve">--tier extended</w:t>
      </w:r>
      <w:r>
        <w:t xml:space="preserve">, into the worktree's own </w:t>
      </w:r>
      <w:r>
        <w:t xml:space="preserve">outputs/p7/reproduction/</w:t>
      </w:r>
      <w:r>
        <w:t xml:space="preserve">.</w:t>
      </w:r>
    </w:p>
    <w:tbl>
      <w:tblPr>
        <w:tblStyle w:val="MDPI41threelinetable"/>
        <w:tblW w:w="10465" w:type="dxa"/>
        <w:tblLayout w:type="fixed"/>
      </w:tblPr>
      <w:tblGrid>
        <w:gridCol w:w="3438"/>
        <w:gridCol w:w="4885"/>
        <w:gridCol w:w="2142"/>
      </w:tblGrid>
      <w:tr>
        <w:trPr>
          <w:cantSplit/>
          <w:tblHeader/>
        </w:trPr>
        <w:tc>
          <w:tcPr>
            <w:tcW w:w="3438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Step</w:t>
            </w:r>
          </w:p>
        </w:tc>
        <w:tc>
          <w:tcPr>
            <w:tcW w:w="4885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Result</w:t>
            </w:r>
          </w:p>
        </w:tc>
        <w:tc>
          <w:tcPr>
            <w:tcW w:w="2142" w:type="dxa"/>
            <w:tcBorders>
              <w:bottom w:val="single" w:sz="4" w:space="0" w:color="auto"/>
            </w:tcBorders>
          </w:tcPr>
          <w:p>
            <w:pPr>
              <w:pStyle w:val="MDPI42tablebody"/>
              <w:keepNext/>
              <w:suppressAutoHyphens/>
            </w:pPr>
            <w:r>
              <w:rPr>
                <w:b/>
                <w:sz w:val="18"/>
                <w:szCs w:val="18"/>
              </w:rPr>
              <w:t xml:space="preserve">Time</w:t>
            </w:r>
          </w:p>
        </w:tc>
      </w:tr>
      <w:tr>
        <w:trPr>
          <w:cantSplit/>
        </w:trPr>
        <w:tc>
          <w:tcPr>
            <w:tcW w:w="343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w="488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328 passed, 8 skipped (tests that need raw data or canonical_v1)</w:t>
            </w:r>
          </w:p>
        </w:tc>
        <w:tc>
          <w:tcPr>
            <w:tcW w:w="2142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49 s</w:t>
            </w:r>
          </w:p>
        </w:tc>
      </w:tr>
      <w:tr>
        <w:trPr>
          <w:cantSplit/>
        </w:trPr>
        <w:tc>
          <w:tcPr>
            <w:tcW w:w="343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validate_public_release.py</w:t>
            </w:r>
          </w:p>
        </w:tc>
        <w:tc>
          <w:tcPr>
            <w:tcW w:w="488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24/24 PASS</w:t>
            </w:r>
          </w:p>
        </w:tc>
        <w:tc>
          <w:tcPr>
            <w:tcW w:w="2142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343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core: release / P3 / P5 / P6</w:t>
            </w:r>
          </w:p>
        </w:tc>
        <w:tc>
          <w:tcPr>
            <w:tcW w:w="488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 / 25/25 / 58/58 / 11/11 → </w:t>
            </w:r>
            <w:r>
              <w:rPr>
                <w:b/>
                <w:sz w:val="18"/>
                <w:szCs w:val="18"/>
              </w:rPr>
              <w:t xml:space="preserve">118/118 PASS</w:t>
            </w:r>
          </w:p>
        </w:tc>
        <w:tc>
          <w:tcPr>
            <w:tcW w:w="2142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469 s (P3 260, P5 198, P6 9)</w:t>
            </w:r>
          </w:p>
        </w:tc>
      </w:tr>
      <w:tr>
        <w:trPr>
          <w:cantSplit/>
        </w:trPr>
        <w:tc>
          <w:tcPr>
            <w:tcW w:w="3438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extended: core stages re</w:t>
              <w:noBreakHyphen/>
              <w:t xml:space="preserve">checked, then P4</w:t>
            </w:r>
          </w:p>
        </w:tc>
        <w:tc>
          <w:tcPr>
            <w:tcW w:w="4885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24 / 25 / 58 / 11 / 53/53 → </w:t>
            </w:r>
            <w:r>
              <w:rPr>
                <w:b/>
                <w:sz w:val="18"/>
                <w:szCs w:val="18"/>
              </w:rPr>
              <w:t xml:space="preserve">171/171 PASS</w:t>
            </w:r>
          </w:p>
        </w:tc>
        <w:tc>
          <w:tcPr>
            <w:tcW w:w="2142" w:type="dxa"/>
          </w:tcPr>
          <w:p>
            <w:pPr>
              <w:pStyle w:val="MDPI42tablebody"/>
              <w:keepNext/>
              <w:suppressAutoHyphens/>
            </w:pPr>
            <w:r>
              <w:rPr>
                <w:sz w:val="18"/>
                <w:szCs w:val="18"/>
              </w:rPr>
              <w:t xml:space="preserve">1,873 s (P4 1,829)</w:t>
            </w:r>
          </w:p>
        </w:tc>
      </w:tr>
      <w:tr>
        <w:trPr>
          <w:cantSplit/>
        </w:trPr>
        <w:tc>
          <w:tcPr>
            <w:tcW w:w="3438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figures (information)</w:t>
            </w:r>
          </w:p>
        </w:tc>
        <w:tc>
          <w:tcPr>
            <w:tcW w:w="4885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9/9 PNG byte</w:t>
              <w:noBreakHyphen/>
              <w:t xml:space="preserve">identical, in both tiers</w:t>
            </w:r>
          </w:p>
        </w:tc>
        <w:tc>
          <w:tcPr>
            <w:tcW w:w="2142" w:type="dxa"/>
          </w:tcPr>
          <w:p>
            <w:pPr>
              <w:pStyle w:val="MDPI42tablebody"/>
              <w:suppressAutoHyphens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MDPI38bullet"/>
        <w:numPr>
          <w:ilvl w:val="0"/>
          <w:numId w:val="20"/>
        </w:numPr>
        <w:spacing w:before="120"/>
        <w:jc w:val="left"/>
      </w:pPr>
      <w:r>
        <w:rPr>
          <w:b/>
        </w:rPr>
        <w:t xml:space="preserve">Across local and clean runs,</w:t>
      </w:r>
      <w:r>
        <w:t xml:space="preserve"> every one of the 102 frozen prediction files (3 P3 training-mean, 9 P3 final, 45 P4 final, 45 P5) matched its reference digest bitwise, and the 9 P3 weight digests equal the frozen P5 plan.</w:t>
      </w:r>
    </w:p>
    <w:p>
      <w:pPr>
        <w:pStyle w:val="MDPI38bullet"/>
        <w:numPr>
          <w:ilvl w:val="0"/>
          <w:numId w:val="20"/>
        </w:numPr>
        <w:jc w:val="left"/>
      </w:pPr>
      <w:r>
        <w:rPr>
          <w:b/>
        </w:rPr>
        <w:t xml:space="preserve">All 35 compared tables pass</w:t>
      </w:r>
      <w:r>
        <w:t xml:space="preserve"> (4 P3, 8 P4, 12 P5, 11 P6). 32 are byte-identical, and 3 differ only in night-key cells, under one consistent day shift per subject.</w:t>
      </w:r>
    </w:p>
    <w:p>
      <w:pPr>
        <w:pStyle w:val="MDPI38bullet"/>
        <w:numPr>
          <w:ilvl w:val="0"/>
          <w:numId w:val="20"/>
        </w:numPr>
        <w:jc w:val="left"/>
      </w:pPr>
      <w:r>
        <w:t xml:space="preserve">The public-mode guards (§8) would have raised on any access to canonical_v1 or the private splits. None was raised.</w:t>
      </w:r>
    </w:p>
    <w:p>
      <w:pPr>
        <w:pStyle w:val="MDPI21heading1"/>
        <w:keepNext/>
        <w:keepLines/>
      </w:pPr>
      <w:r>
        <w:t xml:space="preserve">Supplementary Figures</w:t>
      </w:r>
    </w:p>
    <w:p>
      <w:pPr>
        <w:pStyle w:val="MDPI52figure"/>
        <w:keepNext/>
      </w:pPr>
      <w:r>
        <w:drawing>
          <wp:inline distT="0" distB="0" distL="0" distR="0">
            <wp:extent cx="6050280" cy="2798063"/>
            <wp:docPr id="1001" nam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figureS1_abs_bias.png"/>
                    <pic:cNvPicPr/>
                  </pic:nvPicPr>
                  <pic:blipFill>
                    <a:blip r:embed="rIdP8Fig1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PI51figurecaption"/>
      </w:pPr>
      <w:r>
        <w:rPr>
          <w:b/>
        </w:rPr>
        <w:t xml:space="preserve">Figure S1. </w:t>
      </w:r>
      <w:r>
        <w:t xml:space="preserve">Absolute bias versus the adaptation budget b: (a) temperature, (b) humidity</w:t>
      </w:r>
    </w:p>
    <w:p>
      <w:pPr>
        <w:pStyle w:val="MDPI52figure"/>
        <w:keepNext/>
      </w:pPr>
      <w:r>
        <w:drawing>
          <wp:inline distT="0" distB="0" distL="0" distR="0">
            <wp:extent cx="6044184" cy="3992880"/>
            <wp:docPr id="1002" nam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figureS2_start_span_sensitivity.png"/>
                    <pic:cNvPicPr/>
                  </pic:nvPicPr>
                  <pic:blipFill>
                    <a:blip r:embed="rIdP8Fig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PI51figurecaption"/>
      </w:pPr>
      <w:r>
        <w:rPr>
          <w:b/>
        </w:rPr>
        <w:t xml:space="preserve">Figure S2. </w:t>
      </w:r>
      <w:r>
        <w:t xml:space="preserve">Start-span sensitivity of the adaptation gain, post hoc: (a) temperature, (b) humidity, for b = 1, 3, 7 and 14 (for b = 14 only start nights ≥ 16 are defined)</w:t>
      </w:r>
    </w:p>
    <w:p>
      <w:pPr>
        <w:pStyle w:val="MDPI52figure"/>
        <w:keepNext/>
      </w:pPr>
      <w:r>
        <w:drawing>
          <wp:inline distT="0" distB="0" distL="0" distR="0">
            <wp:extent cx="6047232" cy="2667000"/>
            <wp:docPr id="1003" nam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figureS3_level_trajectory.png"/>
                    <pic:cNvPicPr/>
                  </pic:nvPicPr>
                  <pic:blipFill>
                    <a:blip r:embed="rIdP8Fig3"/>
                    <a:stretch>
                      <a:fillRect/>
                    </a:stretch>
                  </pic:blipFill>
                  <pic:spPr>
                    <a:xfrm>
                      <a:off x="0" y="0"/>
                      <a:ext cx="604723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PI51figurecaption"/>
      </w:pPr>
      <w:r>
        <w:rPr>
          <w:b/>
        </w:rPr>
        <w:t xml:space="preserve">Figure S3. </w:t>
      </w:r>
      <w:r>
        <w:t xml:space="preserve">Target-level trajectories over night ordinals for User07 temperature, User01 humidity and User02 temperature, post hoc and descriptive</w:t>
      </w:r>
    </w:p>
    <w:p>
      <w:pPr>
        <w:pStyle w:val="MDPI52figure"/>
        <w:keepNext/>
      </w:pPr>
      <w:r>
        <w:drawing>
          <wp:inline distT="0" distB="0" distL="0" distR="0">
            <wp:extent cx="6050280" cy="2798063"/>
            <wp:docPr id="1004" name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figureS4_user02_mats.png"/>
                    <pic:cNvPicPr/>
                  </pic:nvPicPr>
                  <pic:blipFill>
                    <a:blip r:embed="rIdP8Fig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PI51figurecaption"/>
      </w:pPr>
      <w:r>
        <w:rPr>
          <w:b/>
        </w:rPr>
        <w:t xml:space="preserve">Figure S4. </w:t>
      </w:r>
      <w:r>
        <w:t xml:space="preserve">User02 MAE by mat (22480, 22482) versus the adaptation budget b: (a) temperature, (b) humidity</w:t>
      </w:r>
    </w:p>
    <w:sectPr w:rsidR="00FF0BD6" w:rsidRPr="00027FFA" w:rsidSect="006F3D6A">
      <w:headerReference w:type="even" r:id="rId10"/>
      <w:headerReference w:type="default" r:id="rId11"/>
      <w:headerReference w:type="first" r:id="rId12"/>
      <w:footerReference w:type="first" r:id="rId13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8C99" w14:textId="77777777" w:rsidR="00B4422D" w:rsidRPr="008927EE" w:rsidRDefault="00B4422D">
      <w:pPr>
        <w:spacing w:line="240" w:lineRule="auto"/>
      </w:pPr>
      <w:r w:rsidRPr="008927EE">
        <w:separator/>
      </w:r>
    </w:p>
  </w:endnote>
  <w:endnote w:type="continuationSeparator" w:id="0">
    <w:p w14:paraId="4E4BCD1D" w14:textId="77777777" w:rsidR="00B4422D" w:rsidRPr="008927EE" w:rsidRDefault="00B4422D">
      <w:pPr>
        <w:spacing w:line="240" w:lineRule="auto"/>
      </w:pPr>
      <w:r w:rsidRPr="008927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RWPalladioL-Ita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8999" w14:textId="77777777" w:rsidR="002D55BA" w:rsidRPr="008927EE" w:rsidRDefault="002D55BA" w:rsidP="0098452D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70857D48" w14:textId="77777777" w:rsidR="0067215B" w:rsidRPr="008927EE" w:rsidRDefault="0067215B" w:rsidP="00532CF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8927EE">
      <w:rPr>
        <w:i/>
        <w:sz w:val="16"/>
        <w:szCs w:val="16"/>
      </w:rPr>
      <w:t>Appl. Sci.</w:t>
    </w:r>
    <w:r w:rsidRPr="008927EE">
      <w:rPr>
        <w:sz w:val="16"/>
        <w:szCs w:val="16"/>
      </w:rPr>
      <w:t xml:space="preserve"> </w:t>
    </w:r>
    <w:r w:rsidR="006F3D6A" w:rsidRPr="008927EE">
      <w:rPr>
        <w:b/>
        <w:bCs/>
        <w:iCs/>
        <w:sz w:val="16"/>
        <w:szCs w:val="16"/>
      </w:rPr>
      <w:t>2025</w:t>
    </w:r>
    <w:r w:rsidR="0041236F" w:rsidRPr="008927EE">
      <w:rPr>
        <w:bCs/>
        <w:iCs/>
        <w:sz w:val="16"/>
        <w:szCs w:val="16"/>
      </w:rPr>
      <w:t>,</w:t>
    </w:r>
    <w:r w:rsidR="006F3D6A" w:rsidRPr="008927EE">
      <w:rPr>
        <w:bCs/>
        <w:i/>
        <w:iCs/>
        <w:sz w:val="16"/>
        <w:szCs w:val="16"/>
      </w:rPr>
      <w:t xml:space="preserve"> 15</w:t>
    </w:r>
    <w:r w:rsidR="0041236F" w:rsidRPr="008927EE">
      <w:rPr>
        <w:bCs/>
        <w:iCs/>
        <w:sz w:val="16"/>
        <w:szCs w:val="16"/>
      </w:rPr>
      <w:t xml:space="preserve">, </w:t>
    </w:r>
    <w:r w:rsidR="00690722" w:rsidRPr="008927EE">
      <w:rPr>
        <w:bCs/>
        <w:iCs/>
        <w:sz w:val="16"/>
        <w:szCs w:val="16"/>
      </w:rPr>
      <w:t>x</w:t>
    </w:r>
    <w:r w:rsidR="00532CFE" w:rsidRPr="008927EE">
      <w:rPr>
        <w:sz w:val="16"/>
        <w:szCs w:val="16"/>
      </w:rPr>
      <w:tab/>
    </w:r>
    <w:r w:rsidR="006F3D6A" w:rsidRPr="008927EE">
      <w:rPr>
        <w:sz w:val="16"/>
        <w:szCs w:val="16"/>
      </w:rPr>
      <w:t>https://doi.org/10.3390/xxxxx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CF42" w14:textId="77777777" w:rsidR="00B4422D" w:rsidRPr="008927EE" w:rsidRDefault="00B4422D">
      <w:pPr>
        <w:spacing w:line="240" w:lineRule="auto"/>
      </w:pPr>
      <w:r w:rsidRPr="008927EE">
        <w:separator/>
      </w:r>
    </w:p>
  </w:footnote>
  <w:footnote w:type="continuationSeparator" w:id="0">
    <w:p w14:paraId="34B3E3D3" w14:textId="77777777" w:rsidR="00B4422D" w:rsidRPr="008927EE" w:rsidRDefault="00B4422D">
      <w:pPr>
        <w:spacing w:line="240" w:lineRule="auto"/>
      </w:pPr>
      <w:r w:rsidRPr="008927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6580" w14:textId="77777777" w:rsidR="0067215B" w:rsidRPr="008927EE" w:rsidRDefault="0067215B" w:rsidP="0067215B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BD66" w14:textId="77777777" w:rsidR="002D55BA" w:rsidRPr="008927EE" w:rsidRDefault="0067215B" w:rsidP="00532CF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8927EE">
      <w:rPr>
        <w:i/>
        <w:sz w:val="16"/>
      </w:rPr>
      <w:t xml:space="preserve">Appl. Sci. </w:t>
    </w:r>
    <w:r w:rsidR="006F3D6A" w:rsidRPr="008927EE">
      <w:rPr>
        <w:b/>
        <w:sz w:val="16"/>
      </w:rPr>
      <w:t>2025</w:t>
    </w:r>
    <w:r w:rsidR="0041236F" w:rsidRPr="008927EE">
      <w:rPr>
        <w:sz w:val="16"/>
      </w:rPr>
      <w:t>,</w:t>
    </w:r>
    <w:r w:rsidR="006F3D6A" w:rsidRPr="008927EE">
      <w:rPr>
        <w:i/>
        <w:sz w:val="16"/>
      </w:rPr>
      <w:t xml:space="preserve"> 15</w:t>
    </w:r>
    <w:r w:rsidR="00690722" w:rsidRPr="008927EE">
      <w:rPr>
        <w:sz w:val="16"/>
      </w:rPr>
      <w:t xml:space="preserve">, x </w:t>
    </w:r>
    <w:r w:rsidR="006F3D6A" w:rsidRPr="008927EE">
      <w:rPr>
        <w:sz w:val="16"/>
      </w:rPr>
      <w:t>FOR PEER REVIEW</w:t>
    </w:r>
    <w:r w:rsidR="006F3D6A" w:rsidRPr="008927EE">
      <w:rPr>
        <w:sz w:val="16"/>
      </w:rPr>
      <w:ptab w:relativeTo="margin" w:alignment="right" w:leader="none"/>
    </w:r>
    <w:r w:rsidR="006F3D6A" w:rsidRPr="008927EE">
      <w:rPr>
        <w:sz w:val="16"/>
      </w:rPr>
      <w:fldChar w:fldCharType="begin"/>
    </w:r>
    <w:r w:rsidR="006F3D6A" w:rsidRPr="008927EE">
      <w:rPr>
        <w:sz w:val="16"/>
      </w:rPr>
      <w:instrText xml:space="preserve"> PAGE   \* MERGEFORMAT </w:instrText>
    </w:r>
    <w:r w:rsidR="006F3D6A" w:rsidRPr="008927EE">
      <w:rPr>
        <w:sz w:val="16"/>
      </w:rPr>
      <w:fldChar w:fldCharType="separate"/>
    </w:r>
    <w:r w:rsidR="006F3D6A" w:rsidRPr="008927EE">
      <w:rPr>
        <w:sz w:val="16"/>
      </w:rPr>
      <w:t>2</w:t>
    </w:r>
    <w:r w:rsidR="006F3D6A" w:rsidRPr="008927EE">
      <w:rPr>
        <w:sz w:val="16"/>
      </w:rPr>
      <w:fldChar w:fldCharType="end"/>
    </w:r>
    <w:r w:rsidR="006F3D6A" w:rsidRPr="008927EE">
      <w:rPr>
        <w:sz w:val="16"/>
      </w:rPr>
      <w:t xml:space="preserve"> of </w:t>
    </w:r>
    <w:r w:rsidR="006F3D6A" w:rsidRPr="008927EE">
      <w:rPr>
        <w:sz w:val="16"/>
      </w:rPr>
      <w:fldChar w:fldCharType="begin"/>
    </w:r>
    <w:r w:rsidR="006F3D6A" w:rsidRPr="008927EE">
      <w:rPr>
        <w:sz w:val="16"/>
      </w:rPr>
      <w:instrText xml:space="preserve"> NUMPAGES   \* MERGEFORMAT </w:instrText>
    </w:r>
    <w:r w:rsidR="006F3D6A" w:rsidRPr="008927EE">
      <w:rPr>
        <w:sz w:val="16"/>
      </w:rPr>
      <w:fldChar w:fldCharType="separate"/>
    </w:r>
    <w:r w:rsidR="006F3D6A" w:rsidRPr="008927EE">
      <w:rPr>
        <w:sz w:val="16"/>
      </w:rPr>
      <w:t>7</w:t>
    </w:r>
    <w:r w:rsidR="006F3D6A" w:rsidRPr="008927EE">
      <w:rPr>
        <w:sz w:val="16"/>
      </w:rPr>
      <w:fldChar w:fldCharType="end"/>
    </w:r>
  </w:p>
  <w:p w14:paraId="2F42B138" w14:textId="77777777" w:rsidR="0067215B" w:rsidRPr="008927EE" w:rsidRDefault="0067215B" w:rsidP="0098452D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2D55BA" w:rsidRPr="008927EE" w14:paraId="385FE4D1" w14:textId="77777777" w:rsidTr="009A5321">
      <w:trPr>
        <w:trHeight w:val="686"/>
      </w:trPr>
      <w:tc>
        <w:tcPr>
          <w:tcW w:w="3679" w:type="dxa"/>
          <w:vAlign w:val="center"/>
        </w:tcPr>
        <w:p w14:paraId="00BE739A" w14:textId="77777777" w:rsidR="002D55BA" w:rsidRPr="008927EE" w:rsidRDefault="00F03557" w:rsidP="00532CFE">
          <w:pPr>
            <w:pStyle w:val="a3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8927EE">
            <w:rPr>
              <w:rFonts w:eastAsia="DengXian"/>
              <w:b/>
              <w:bCs/>
              <w:noProof/>
            </w:rPr>
            <w:drawing>
              <wp:inline distT="0" distB="0" distL="0" distR="0" wp14:anchorId="4A557CB9" wp14:editId="583E0D04">
                <wp:extent cx="2004845" cy="432000"/>
                <wp:effectExtent l="0" t="0" r="0" b="6350"/>
                <wp:docPr id="20247263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72630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845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14:paraId="256596E4" w14:textId="77777777" w:rsidR="002D55BA" w:rsidRPr="008927EE" w:rsidRDefault="002D55BA" w:rsidP="00532CFE">
          <w:pPr>
            <w:pStyle w:val="a3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455A684B" w14:textId="77777777" w:rsidR="002D55BA" w:rsidRPr="008927EE" w:rsidRDefault="009A5321" w:rsidP="009A5321">
          <w:pPr>
            <w:pStyle w:val="a3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  <w:r w:rsidRPr="008927EE">
            <w:rPr>
              <w:rFonts w:eastAsia="DengXian"/>
              <w:b/>
              <w:bCs/>
              <w:noProof/>
            </w:rPr>
            <w:drawing>
              <wp:inline distT="0" distB="0" distL="0" distR="0" wp14:anchorId="69C32E0B" wp14:editId="54610E0E">
                <wp:extent cx="540000" cy="360000"/>
                <wp:effectExtent l="0" t="0" r="0" b="2540"/>
                <wp:docPr id="157819402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19402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1DA06BB" w14:textId="77777777" w:rsidR="0067215B" w:rsidRPr="008927EE" w:rsidRDefault="0067215B" w:rsidP="006F3D6A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E1B"/>
    <w:multiLevelType w:val="hybridMultilevel"/>
    <w:tmpl w:val="C0366CA0"/>
    <w:lvl w:ilvl="0" w:tplc="A0788C52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AAD08FD8"/>
    <w:lvl w:ilvl="0" w:tplc="F4029D00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62D16"/>
    <w:multiLevelType w:val="hybridMultilevel"/>
    <w:tmpl w:val="90047C0A"/>
    <w:lvl w:ilvl="0" w:tplc="F19216EA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7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 w15:restartNumberingAfterBreak="0">
    <w:nsid w:val="5F742C34"/>
    <w:multiLevelType w:val="hybridMultilevel"/>
    <w:tmpl w:val="2EAC081C"/>
    <w:lvl w:ilvl="0" w:tplc="FDA2F9AE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419067">
    <w:abstractNumId w:val="4"/>
  </w:num>
  <w:num w:numId="2" w16cid:durableId="964117083">
    <w:abstractNumId w:val="7"/>
  </w:num>
  <w:num w:numId="3" w16cid:durableId="1567690153">
    <w:abstractNumId w:val="3"/>
  </w:num>
  <w:num w:numId="4" w16cid:durableId="617179123">
    <w:abstractNumId w:val="5"/>
  </w:num>
  <w:num w:numId="5" w16cid:durableId="2014600276">
    <w:abstractNumId w:val="9"/>
  </w:num>
  <w:num w:numId="6" w16cid:durableId="1447236061">
    <w:abstractNumId w:val="2"/>
  </w:num>
  <w:num w:numId="7" w16cid:durableId="1109279766">
    <w:abstractNumId w:val="9"/>
  </w:num>
  <w:num w:numId="8" w16cid:durableId="708142159">
    <w:abstractNumId w:val="2"/>
  </w:num>
  <w:num w:numId="9" w16cid:durableId="1544053010">
    <w:abstractNumId w:val="9"/>
  </w:num>
  <w:num w:numId="10" w16cid:durableId="1644888965">
    <w:abstractNumId w:val="2"/>
  </w:num>
  <w:num w:numId="11" w16cid:durableId="1734114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8247455">
    <w:abstractNumId w:val="11"/>
  </w:num>
  <w:num w:numId="13" w16cid:durableId="2007049933">
    <w:abstractNumId w:val="9"/>
  </w:num>
  <w:num w:numId="14" w16cid:durableId="606699459">
    <w:abstractNumId w:val="2"/>
  </w:num>
  <w:num w:numId="15" w16cid:durableId="2145461709">
    <w:abstractNumId w:val="1"/>
  </w:num>
  <w:num w:numId="16" w16cid:durableId="1576356490">
    <w:abstractNumId w:val="8"/>
  </w:num>
  <w:num w:numId="17" w16cid:durableId="388457672">
    <w:abstractNumId w:val="0"/>
  </w:num>
  <w:num w:numId="18" w16cid:durableId="1819570726">
    <w:abstractNumId w:val="9"/>
  </w:num>
  <w:num w:numId="19" w16cid:durableId="1536504514">
    <w:abstractNumId w:val="2"/>
  </w:num>
  <w:num w:numId="20" w16cid:durableId="1118258880">
    <w:abstractNumId w:val="1"/>
  </w:num>
  <w:num w:numId="21" w16cid:durableId="1866869813">
    <w:abstractNumId w:val="0"/>
  </w:num>
  <w:num w:numId="22" w16cid:durableId="87387402">
    <w:abstractNumId w:val="6"/>
  </w:num>
  <w:num w:numId="23" w16cid:durableId="197284984">
    <w:abstractNumId w:val="10"/>
  </w:num>
  <w:num w:numId="90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B1"/>
    <w:rsid w:val="00016DAD"/>
    <w:rsid w:val="00027FFA"/>
    <w:rsid w:val="000C295F"/>
    <w:rsid w:val="000D139F"/>
    <w:rsid w:val="000E02D7"/>
    <w:rsid w:val="000E4A57"/>
    <w:rsid w:val="00103DD9"/>
    <w:rsid w:val="001102C0"/>
    <w:rsid w:val="00110C44"/>
    <w:rsid w:val="0012423C"/>
    <w:rsid w:val="001320B2"/>
    <w:rsid w:val="001353A3"/>
    <w:rsid w:val="001649FC"/>
    <w:rsid w:val="00191958"/>
    <w:rsid w:val="001A242A"/>
    <w:rsid w:val="001A4927"/>
    <w:rsid w:val="001E18D0"/>
    <w:rsid w:val="001E2AEB"/>
    <w:rsid w:val="001F373C"/>
    <w:rsid w:val="00205AE5"/>
    <w:rsid w:val="00216129"/>
    <w:rsid w:val="002254A8"/>
    <w:rsid w:val="002259EB"/>
    <w:rsid w:val="00250520"/>
    <w:rsid w:val="002650E7"/>
    <w:rsid w:val="002722EE"/>
    <w:rsid w:val="002765F1"/>
    <w:rsid w:val="002822C2"/>
    <w:rsid w:val="00295161"/>
    <w:rsid w:val="00295522"/>
    <w:rsid w:val="002969DF"/>
    <w:rsid w:val="002A1E5F"/>
    <w:rsid w:val="002D55BA"/>
    <w:rsid w:val="002E2C56"/>
    <w:rsid w:val="002F498F"/>
    <w:rsid w:val="003156FD"/>
    <w:rsid w:val="0031744E"/>
    <w:rsid w:val="00326141"/>
    <w:rsid w:val="003350E5"/>
    <w:rsid w:val="00345623"/>
    <w:rsid w:val="0035340B"/>
    <w:rsid w:val="0036255D"/>
    <w:rsid w:val="00394815"/>
    <w:rsid w:val="003A5D62"/>
    <w:rsid w:val="003D0525"/>
    <w:rsid w:val="003D1B18"/>
    <w:rsid w:val="003D73D7"/>
    <w:rsid w:val="003E1DF7"/>
    <w:rsid w:val="003F36C1"/>
    <w:rsid w:val="003F4D0E"/>
    <w:rsid w:val="00401D30"/>
    <w:rsid w:val="00410F35"/>
    <w:rsid w:val="0041236F"/>
    <w:rsid w:val="0045200E"/>
    <w:rsid w:val="00454A4A"/>
    <w:rsid w:val="00457A76"/>
    <w:rsid w:val="004867DA"/>
    <w:rsid w:val="00493033"/>
    <w:rsid w:val="004B489C"/>
    <w:rsid w:val="004C0CC6"/>
    <w:rsid w:val="004C207F"/>
    <w:rsid w:val="004D2716"/>
    <w:rsid w:val="004D5BEC"/>
    <w:rsid w:val="004D79C7"/>
    <w:rsid w:val="00502F97"/>
    <w:rsid w:val="0050416D"/>
    <w:rsid w:val="00525541"/>
    <w:rsid w:val="00527EA5"/>
    <w:rsid w:val="00532CFE"/>
    <w:rsid w:val="00545B32"/>
    <w:rsid w:val="005614F2"/>
    <w:rsid w:val="00564626"/>
    <w:rsid w:val="0057700E"/>
    <w:rsid w:val="0057771E"/>
    <w:rsid w:val="00583C3B"/>
    <w:rsid w:val="00591CFA"/>
    <w:rsid w:val="005930C7"/>
    <w:rsid w:val="005B215D"/>
    <w:rsid w:val="005C0EAE"/>
    <w:rsid w:val="005C542D"/>
    <w:rsid w:val="005D4019"/>
    <w:rsid w:val="005E3796"/>
    <w:rsid w:val="005E3936"/>
    <w:rsid w:val="006224DB"/>
    <w:rsid w:val="00623A78"/>
    <w:rsid w:val="006303B8"/>
    <w:rsid w:val="00630EB5"/>
    <w:rsid w:val="00655194"/>
    <w:rsid w:val="00661DCA"/>
    <w:rsid w:val="0066549E"/>
    <w:rsid w:val="0067215B"/>
    <w:rsid w:val="00690705"/>
    <w:rsid w:val="00690722"/>
    <w:rsid w:val="00692393"/>
    <w:rsid w:val="006B1856"/>
    <w:rsid w:val="006C452E"/>
    <w:rsid w:val="006D4D40"/>
    <w:rsid w:val="006D6039"/>
    <w:rsid w:val="006E5DD2"/>
    <w:rsid w:val="006F0403"/>
    <w:rsid w:val="006F3D6A"/>
    <w:rsid w:val="007065E6"/>
    <w:rsid w:val="00713AAE"/>
    <w:rsid w:val="00732758"/>
    <w:rsid w:val="0078256A"/>
    <w:rsid w:val="00790BBC"/>
    <w:rsid w:val="00792F99"/>
    <w:rsid w:val="007E704A"/>
    <w:rsid w:val="007F2286"/>
    <w:rsid w:val="00804EE0"/>
    <w:rsid w:val="00817168"/>
    <w:rsid w:val="00832F6A"/>
    <w:rsid w:val="0083661F"/>
    <w:rsid w:val="00865AC6"/>
    <w:rsid w:val="008836D5"/>
    <w:rsid w:val="008927EE"/>
    <w:rsid w:val="008B011A"/>
    <w:rsid w:val="008B384B"/>
    <w:rsid w:val="008C2D58"/>
    <w:rsid w:val="008C41A6"/>
    <w:rsid w:val="008E61FF"/>
    <w:rsid w:val="008F08FD"/>
    <w:rsid w:val="008F2374"/>
    <w:rsid w:val="009039D6"/>
    <w:rsid w:val="00907533"/>
    <w:rsid w:val="00914E4B"/>
    <w:rsid w:val="00945D40"/>
    <w:rsid w:val="009567EF"/>
    <w:rsid w:val="00981349"/>
    <w:rsid w:val="0098452D"/>
    <w:rsid w:val="00994B56"/>
    <w:rsid w:val="00996743"/>
    <w:rsid w:val="009A5321"/>
    <w:rsid w:val="009C3665"/>
    <w:rsid w:val="009C4836"/>
    <w:rsid w:val="009D5A9B"/>
    <w:rsid w:val="009E3D8E"/>
    <w:rsid w:val="009F70E6"/>
    <w:rsid w:val="00A04886"/>
    <w:rsid w:val="00A1446C"/>
    <w:rsid w:val="00A17241"/>
    <w:rsid w:val="00A20793"/>
    <w:rsid w:val="00A237D9"/>
    <w:rsid w:val="00A426CF"/>
    <w:rsid w:val="00A44F77"/>
    <w:rsid w:val="00A929C7"/>
    <w:rsid w:val="00A95BD3"/>
    <w:rsid w:val="00AC5CA0"/>
    <w:rsid w:val="00AD375F"/>
    <w:rsid w:val="00AD5051"/>
    <w:rsid w:val="00AE1BDD"/>
    <w:rsid w:val="00AE4EA6"/>
    <w:rsid w:val="00AE6DC8"/>
    <w:rsid w:val="00AF59A1"/>
    <w:rsid w:val="00B26101"/>
    <w:rsid w:val="00B4422D"/>
    <w:rsid w:val="00B83ED3"/>
    <w:rsid w:val="00B8583D"/>
    <w:rsid w:val="00B91FA6"/>
    <w:rsid w:val="00BA779B"/>
    <w:rsid w:val="00BB39F7"/>
    <w:rsid w:val="00BD1491"/>
    <w:rsid w:val="00C02026"/>
    <w:rsid w:val="00C1271D"/>
    <w:rsid w:val="00C13B6F"/>
    <w:rsid w:val="00C17083"/>
    <w:rsid w:val="00C253C4"/>
    <w:rsid w:val="00C33344"/>
    <w:rsid w:val="00C335B9"/>
    <w:rsid w:val="00C34BE3"/>
    <w:rsid w:val="00C54227"/>
    <w:rsid w:val="00C56C95"/>
    <w:rsid w:val="00C64034"/>
    <w:rsid w:val="00C850DA"/>
    <w:rsid w:val="00C92C70"/>
    <w:rsid w:val="00CA271A"/>
    <w:rsid w:val="00CA5E70"/>
    <w:rsid w:val="00CC1804"/>
    <w:rsid w:val="00CC3714"/>
    <w:rsid w:val="00CC45B1"/>
    <w:rsid w:val="00CC7D3A"/>
    <w:rsid w:val="00D11046"/>
    <w:rsid w:val="00D12809"/>
    <w:rsid w:val="00D2458F"/>
    <w:rsid w:val="00D32270"/>
    <w:rsid w:val="00D328E3"/>
    <w:rsid w:val="00D37E19"/>
    <w:rsid w:val="00D4418F"/>
    <w:rsid w:val="00D60258"/>
    <w:rsid w:val="00D648D7"/>
    <w:rsid w:val="00D7071C"/>
    <w:rsid w:val="00D76CB8"/>
    <w:rsid w:val="00D76F4C"/>
    <w:rsid w:val="00D91849"/>
    <w:rsid w:val="00DB5BD0"/>
    <w:rsid w:val="00DC4E4E"/>
    <w:rsid w:val="00DD4714"/>
    <w:rsid w:val="00DE56DB"/>
    <w:rsid w:val="00DF5BDC"/>
    <w:rsid w:val="00E04904"/>
    <w:rsid w:val="00E301E2"/>
    <w:rsid w:val="00E7454A"/>
    <w:rsid w:val="00E76435"/>
    <w:rsid w:val="00E84142"/>
    <w:rsid w:val="00E86BCE"/>
    <w:rsid w:val="00E96A25"/>
    <w:rsid w:val="00EB4B25"/>
    <w:rsid w:val="00ED5717"/>
    <w:rsid w:val="00EE62CD"/>
    <w:rsid w:val="00EF2209"/>
    <w:rsid w:val="00EF4CBD"/>
    <w:rsid w:val="00F03557"/>
    <w:rsid w:val="00F050BE"/>
    <w:rsid w:val="00F0572B"/>
    <w:rsid w:val="00F244AB"/>
    <w:rsid w:val="00F33DEF"/>
    <w:rsid w:val="00F34FEE"/>
    <w:rsid w:val="00F475A6"/>
    <w:rsid w:val="00F569B3"/>
    <w:rsid w:val="00F65CE6"/>
    <w:rsid w:val="00F76183"/>
    <w:rsid w:val="00F90432"/>
    <w:rsid w:val="00FC185A"/>
    <w:rsid w:val="00FC5768"/>
    <w:rsid w:val="00FF0BD6"/>
    <w:rsid w:val="00FF5856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B1DF98"/>
  <w15:chartTrackingRefBased/>
  <w15:docId w15:val="{619D4B6D-1BE6-4E34-A31E-E3CC687D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BD6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PI11articletype">
    <w:name w:val="MDPI_1.1_article_type"/>
    <w:next w:val="a"/>
    <w:qFormat/>
    <w:rsid w:val="00FF0BD6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a"/>
    <w:qFormat/>
    <w:rsid w:val="00FF0BD6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a"/>
    <w:qFormat/>
    <w:rsid w:val="00FF0BD6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a"/>
    <w:next w:val="a"/>
    <w:qFormat/>
    <w:rsid w:val="00FF0BD6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FF0BD6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a"/>
    <w:qFormat/>
    <w:rsid w:val="00FF0BD6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a"/>
    <w:qFormat/>
    <w:rsid w:val="00FF0BD6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FF0BD6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a3">
    <w:name w:val="header"/>
    <w:basedOn w:val="a"/>
    <w:link w:val="Char"/>
    <w:uiPriority w:val="99"/>
    <w:rsid w:val="00FF0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Char">
    <w:name w:val="머리글 Char"/>
    <w:link w:val="a3"/>
    <w:uiPriority w:val="99"/>
    <w:rsid w:val="00FF0BD6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FF0BD6"/>
    <w:pPr>
      <w:ind w:firstLine="0"/>
    </w:pPr>
  </w:style>
  <w:style w:type="paragraph" w:customStyle="1" w:styleId="MDPI31text">
    <w:name w:val="MDPI_3.1_text"/>
    <w:qFormat/>
    <w:rsid w:val="006303B8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FF0BD6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FF0BD6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FF0BD6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527EA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527EA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FF0BD6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FF0BD6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FF0BD6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C56C95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FF0BD6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FF0BD6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FF0BD6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FF0BD6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FF0BD6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8F2374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a4">
    <w:name w:val="Balloon Text"/>
    <w:basedOn w:val="a"/>
    <w:link w:val="Char0"/>
    <w:uiPriority w:val="99"/>
    <w:rsid w:val="00FF0BD6"/>
    <w:rPr>
      <w:rFonts w:cs="Tahoma"/>
      <w:szCs w:val="18"/>
    </w:rPr>
  </w:style>
  <w:style w:type="character" w:customStyle="1" w:styleId="Char0">
    <w:name w:val="풍선 도움말 텍스트 Char"/>
    <w:link w:val="a4"/>
    <w:uiPriority w:val="99"/>
    <w:rsid w:val="00FF0BD6"/>
    <w:rPr>
      <w:rFonts w:ascii="Palatino Linotype" w:hAnsi="Palatino Linotype" w:cs="Tahoma"/>
      <w:noProof/>
      <w:color w:val="000000"/>
      <w:szCs w:val="18"/>
    </w:rPr>
  </w:style>
  <w:style w:type="character" w:styleId="a5">
    <w:name w:val="line number"/>
    <w:uiPriority w:val="99"/>
    <w:rsid w:val="0057771E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a1"/>
    <w:uiPriority w:val="99"/>
    <w:rsid w:val="00FF0BD6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a6">
    <w:name w:val="Hyperlink"/>
    <w:uiPriority w:val="99"/>
    <w:rsid w:val="00FF0BD6"/>
    <w:rPr>
      <w:color w:val="0000FF"/>
      <w:u w:val="single"/>
    </w:rPr>
  </w:style>
  <w:style w:type="character" w:styleId="a7">
    <w:name w:val="Unresolved Mention"/>
    <w:uiPriority w:val="99"/>
    <w:semiHidden/>
    <w:unhideWhenUsed/>
    <w:rsid w:val="00B91FA6"/>
    <w:rPr>
      <w:color w:val="605E5C"/>
      <w:shd w:val="clear" w:color="auto" w:fill="E1DFDD"/>
    </w:rPr>
  </w:style>
  <w:style w:type="paragraph" w:styleId="a8">
    <w:name w:val="footer"/>
    <w:basedOn w:val="a"/>
    <w:link w:val="Char1"/>
    <w:uiPriority w:val="99"/>
    <w:rsid w:val="00FF0BD6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Char1">
    <w:name w:val="바닥글 Char"/>
    <w:link w:val="a8"/>
    <w:uiPriority w:val="99"/>
    <w:rsid w:val="00FF0BD6"/>
    <w:rPr>
      <w:rFonts w:ascii="Palatino Linotype" w:hAnsi="Palatino Linotype"/>
      <w:noProof/>
      <w:color w:val="000000"/>
      <w:szCs w:val="18"/>
    </w:rPr>
  </w:style>
  <w:style w:type="table" w:styleId="a9">
    <w:name w:val="Table Grid"/>
    <w:basedOn w:val="a1"/>
    <w:uiPriority w:val="59"/>
    <w:rsid w:val="00FF0BD6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4123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FF0BD6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FF0BD6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FF0BD6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FF0BD6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FF0BD6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6F040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FF0BD6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FF0BD6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A1446C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a1"/>
    <w:uiPriority w:val="99"/>
    <w:rsid w:val="00FF0BD6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FF0BD6"/>
  </w:style>
  <w:style w:type="paragraph" w:styleId="aa">
    <w:name w:val="Bibliography"/>
    <w:basedOn w:val="a"/>
    <w:next w:val="a"/>
    <w:uiPriority w:val="37"/>
    <w:semiHidden/>
    <w:unhideWhenUsed/>
    <w:rsid w:val="00FF0BD6"/>
  </w:style>
  <w:style w:type="paragraph" w:styleId="ab">
    <w:name w:val="Body Text"/>
    <w:link w:val="Char2"/>
    <w:rsid w:val="00FF0BD6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Char2">
    <w:name w:val="본문 Char"/>
    <w:link w:val="ab"/>
    <w:rsid w:val="00FF0BD6"/>
    <w:rPr>
      <w:rFonts w:ascii="Palatino Linotype" w:hAnsi="Palatino Linotype"/>
      <w:color w:val="000000"/>
      <w:sz w:val="24"/>
      <w:lang w:eastAsia="de-DE"/>
    </w:rPr>
  </w:style>
  <w:style w:type="character" w:styleId="ac">
    <w:name w:val="annotation reference"/>
    <w:rsid w:val="00FF0BD6"/>
    <w:rPr>
      <w:sz w:val="21"/>
      <w:szCs w:val="21"/>
    </w:rPr>
  </w:style>
  <w:style w:type="paragraph" w:styleId="ad">
    <w:name w:val="annotation text"/>
    <w:basedOn w:val="a"/>
    <w:link w:val="Char3"/>
    <w:rsid w:val="00FF0BD6"/>
  </w:style>
  <w:style w:type="character" w:customStyle="1" w:styleId="Char3">
    <w:name w:val="메모 텍스트 Char"/>
    <w:link w:val="ad"/>
    <w:rsid w:val="00FF0BD6"/>
    <w:rPr>
      <w:rFonts w:ascii="Palatino Linotype" w:hAnsi="Palatino Linotype"/>
      <w:noProof/>
      <w:color w:val="000000"/>
    </w:rPr>
  </w:style>
  <w:style w:type="paragraph" w:styleId="ae">
    <w:name w:val="annotation subject"/>
    <w:basedOn w:val="ad"/>
    <w:next w:val="ad"/>
    <w:link w:val="Char4"/>
    <w:rsid w:val="00FF0BD6"/>
    <w:rPr>
      <w:b/>
      <w:bCs/>
    </w:rPr>
  </w:style>
  <w:style w:type="character" w:customStyle="1" w:styleId="Char4">
    <w:name w:val="메모 주제 Char"/>
    <w:link w:val="ae"/>
    <w:rsid w:val="00FF0BD6"/>
    <w:rPr>
      <w:rFonts w:ascii="Palatino Linotype" w:hAnsi="Palatino Linotype"/>
      <w:b/>
      <w:bCs/>
      <w:noProof/>
      <w:color w:val="000000"/>
    </w:rPr>
  </w:style>
  <w:style w:type="character" w:styleId="af">
    <w:name w:val="endnote reference"/>
    <w:rsid w:val="00FF0BD6"/>
    <w:rPr>
      <w:vertAlign w:val="superscript"/>
    </w:rPr>
  </w:style>
  <w:style w:type="paragraph" w:styleId="af0">
    <w:name w:val="endnote text"/>
    <w:basedOn w:val="a"/>
    <w:link w:val="Char5"/>
    <w:semiHidden/>
    <w:unhideWhenUsed/>
    <w:rsid w:val="00FF0BD6"/>
    <w:pPr>
      <w:spacing w:line="240" w:lineRule="auto"/>
    </w:pPr>
  </w:style>
  <w:style w:type="character" w:customStyle="1" w:styleId="Char5">
    <w:name w:val="미주 텍스트 Char"/>
    <w:link w:val="af0"/>
    <w:semiHidden/>
    <w:rsid w:val="00FF0BD6"/>
    <w:rPr>
      <w:rFonts w:ascii="Palatino Linotype" w:hAnsi="Palatino Linotype"/>
      <w:noProof/>
      <w:color w:val="000000"/>
    </w:rPr>
  </w:style>
  <w:style w:type="character" w:styleId="af1">
    <w:name w:val="FollowedHyperlink"/>
    <w:rsid w:val="00FF0BD6"/>
    <w:rPr>
      <w:color w:val="954F72"/>
      <w:u w:val="single"/>
    </w:rPr>
  </w:style>
  <w:style w:type="paragraph" w:styleId="af2">
    <w:name w:val="footnote text"/>
    <w:basedOn w:val="a"/>
    <w:link w:val="Char6"/>
    <w:semiHidden/>
    <w:unhideWhenUsed/>
    <w:rsid w:val="00FF0BD6"/>
    <w:pPr>
      <w:spacing w:line="240" w:lineRule="auto"/>
    </w:pPr>
  </w:style>
  <w:style w:type="character" w:customStyle="1" w:styleId="Char6">
    <w:name w:val="각주 텍스트 Char"/>
    <w:link w:val="af2"/>
    <w:semiHidden/>
    <w:rsid w:val="00FF0BD6"/>
    <w:rPr>
      <w:rFonts w:ascii="Palatino Linotype" w:hAnsi="Palatino Linotype"/>
      <w:noProof/>
      <w:color w:val="000000"/>
    </w:rPr>
  </w:style>
  <w:style w:type="paragraph" w:styleId="af3">
    <w:name w:val="Normal (Web)"/>
    <w:basedOn w:val="a"/>
    <w:uiPriority w:val="99"/>
    <w:rsid w:val="00FF0BD6"/>
    <w:rPr>
      <w:szCs w:val="24"/>
    </w:rPr>
  </w:style>
  <w:style w:type="paragraph" w:customStyle="1" w:styleId="MsoFootnoteText0">
    <w:name w:val="MsoFootnoteText"/>
    <w:basedOn w:val="af3"/>
    <w:qFormat/>
    <w:rsid w:val="00FF0BD6"/>
    <w:rPr>
      <w:rFonts w:ascii="Times New Roman" w:hAnsi="Times New Roman"/>
    </w:rPr>
  </w:style>
  <w:style w:type="character" w:styleId="af4">
    <w:name w:val="page number"/>
    <w:rsid w:val="00FF0BD6"/>
  </w:style>
  <w:style w:type="character" w:styleId="af5">
    <w:name w:val="Placeholder Text"/>
    <w:uiPriority w:val="99"/>
    <w:semiHidden/>
    <w:rsid w:val="00FF0BD6"/>
    <w:rPr>
      <w:color w:val="808080"/>
    </w:rPr>
  </w:style>
  <w:style w:type="paragraph" w:customStyle="1" w:styleId="MDPI71footnotes">
    <w:name w:val="MDPI_7.1_footnotes"/>
    <w:qFormat/>
    <w:rsid w:val="00981349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af6">
    <w:name w:val="Strong"/>
    <w:basedOn w:val="a0"/>
    <w:uiPriority w:val="22"/>
    <w:qFormat/>
    <w:rsid w:val="00AD5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mg.mdpi.org/data/contributor-role-instruction.pdf" TargetMode="External"/><Relationship Id="rId14" Type="http://schemas.openxmlformats.org/officeDocument/2006/relationships/fontTable" Target="fontTable.xml"/><Relationship Id="rIdP8Fig1" Type="http://schemas.openxmlformats.org/officeDocument/2006/relationships/image" Target="media/p8_figure1.png"/><Relationship Id="rIdP8Fig2" Type="http://schemas.openxmlformats.org/officeDocument/2006/relationships/image" Target="media/p8_figure2.png"/><Relationship Id="rIdP8Fig3" Type="http://schemas.openxmlformats.org/officeDocument/2006/relationships/image" Target="media/p8_figure3.png"/><Relationship Id="rIdP8Fig4" Type="http://schemas.openxmlformats.org/officeDocument/2006/relationships/image" Target="media/p8_figur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</cp:coreProperties>
</file>