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Jornada do Usuário — SIPGS | Simulador Orçamentário (MVP 1)</w:t>
      </w:r>
    </w:p>
    <w:p>
      <w:pPr/>
      <w:r>
        <w:t xml:space="preserve">Oct 27, 2026</w:t>
      </w:r>
      <w:r>
        <w:t xml:space="preserve"> · </w:t>
      </w:r>
      <w:r>
        <w:t xml:space="preserve">@Whisney</w:t>
      </w:r>
    </w:p>
    <w:p>
      <w:pPr>
        <w:pStyle w:val="Heading2"/>
      </w:pPr>
      <w:r>
        <w:t xml:space="preserve">1. Objetivo e como usar este documento</w:t>
      </w:r>
    </w:p>
    <w:p>
      <w:pPr/>
      <w:r>
        <w:t xml:space="preserve">Este documento descreve, tela a tela, o caminho que cada perfil percorre no Simulador Orçamentário do SIPGS: o que o usuário faz, para onde o sistema o leva e o que ele deve ver em cada ponto. Ele liga o protótipo às Histórias de Usuário (HUs), deixando explícito o que as HUs isoladamente não mostram: qual tela chama qual.</w:t>
      </w:r>
    </w:p>
    <w:p>
      <w:pPr/>
      <w:r>
        <w:t xml:space="preserve">O documento também serve como </w:t>
      </w:r>
      <w:r>
        <w:rPr>
          <w:b/>
        </w:rPr>
        <w:t xml:space="preserve">roteiro de homologação</w:t>
      </w:r>
      <w:r>
        <w:t xml:space="preserve"> para a unidade gestora. Em cada passo da jornada há um resultado esperado e um campo de validação. Quem homologa segue o roteiro, confere o comportamento e registra OK, NOK ou observação.</w:t>
      </w:r>
    </w:p>
    <w:p>
      <w:pPr/>
      <w:r>
        <w:t xml:space="preserve">Como ler cada jornada: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Passo</w:t>
      </w:r>
      <w:r>
        <w:t xml:space="preserve">: ordem da ação dentro da jornada.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Tela</w:t>
      </w:r>
      <w:r>
        <w:t xml:space="preserve">: onde o usuário está.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Ação do usuário</w:t>
      </w:r>
      <w:r>
        <w:t xml:space="preserve">: o que ele faz.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Resultado esperado</w:t>
      </w:r>
      <w:r>
        <w:t xml:space="preserve">: como o sistema deve responder.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Referência</w:t>
      </w:r>
      <w:r>
        <w:t xml:space="preserve">: documento e requisito que sustentam o passo.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Homologação</w:t>
      </w:r>
      <w:r>
        <w:t xml:space="preserve">: OK, NOK ou observação, preenchido pela unidade gestora.</w:t>
      </w:r>
    </w:p>
    <w:p>
      <w:pPr/>
      <w:r>
        <w:t xml:space="preserve">A entrega é incremental: cada perfil ganha sua jornada, que é apresentada, ajustada com as considerações do gestor e só então seguimos para o próximo perfil.</w:t>
      </w:r>
    </w:p>
    <w:p>
      <w:pPr>
        <w:pStyle w:val="Heading2"/>
      </w:pPr>
      <w:r>
        <w:t xml:space="preserve">2. Escopo e fontes</w:t>
      </w:r>
    </w:p>
    <w:p>
      <w:pPr/>
      <w:r>
        <w:t xml:space="preserve">Esta versão cobre o </w:t>
      </w:r>
      <w:r>
        <w:rPr>
          <w:b/>
        </w:rPr>
        <w:t xml:space="preserve">MVP 1 do Simulador Orçamentário</w:t>
      </w:r>
      <w:r>
        <w:t xml:space="preserve">, com o </w:t>
      </w:r>
      <w:r>
        <w:rPr>
          <w:b/>
        </w:rPr>
        <w:t xml:space="preserve">Bolsa Família</w:t>
      </w:r>
      <w:r>
        <w:t xml:space="preserve"> como único programa habilitado para simulação, e a entrada na plataforma que antecede o simulador. Os demais módulos e programas entram em versões futuras deste documento.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8"/>
        <w:gridCol w:w="4912"/>
      </w:tblGrid>
      <w:tr>
        <w:trPr>
          <w:tblHeader/>
        </w:trPr>
        <w:tc>
          <w:tcPr>
            <w:tcW w:w="4448" w:type="dxa"/>
            <w:shd w:val="clear" w:color="auto" w:fill="F2F2F2"/>
          </w:tcPr>
          <w:p>
            <w:pPr/>
            <w:r>
              <w:t xml:space="preserve">Fonte</w:t>
            </w:r>
          </w:p>
        </w:tc>
        <w:tc>
          <w:tcPr>
            <w:tcW w:w="4912" w:type="dxa"/>
            <w:shd w:val="clear" w:color="auto" w:fill="F2F2F2"/>
          </w:tcPr>
          <w:p>
            <w:pPr/>
            <w:r>
              <w:t xml:space="preserve">O que usamos dela</w:t>
            </w:r>
          </w:p>
        </w:tc>
      </w:tr>
      <w:tr>
        <w:tc>
          <w:tcPr>
            <w:tcW w:w="4448" w:type="dxa"/>
          </w:tcPr>
          <w:p>
            <w:pPr/>
            <w:r>
              <w:t xml:space="preserve">Protótipo Figma “CAIXA”</w:t>
            </w:r>
          </w:p>
        </w:tc>
        <w:tc>
          <w:tcPr>
            <w:tcW w:w="4912" w:type="dxa"/>
          </w:tcPr>
          <w:p>
            <w:pPr/>
            <w:r>
              <w:t xml:space="preserve">Telas, botões e transições efetivamente ligadas</w:t>
            </w:r>
          </w:p>
        </w:tc>
      </w:tr>
      <w:tr>
        <w:tc>
          <w:tcPr>
            <w:tcW w:w="4448" w:type="dxa"/>
          </w:tcPr>
          <w:p>
            <w:pPr/>
            <w:r>
              <w:t xml:space="preserve">Requisitos SSO do Portal SIPGS</w:t>
            </w:r>
          </w:p>
        </w:tc>
        <w:tc>
          <w:tcPr>
            <w:tcW w:w="4912" w:type="dxa"/>
          </w:tcPr>
          <w:p>
            <w:pPr/>
            <w:r>
              <w:t xml:space="preserve">Fluxo de autenticação, primeiro acesso e sessão</w:t>
            </w:r>
          </w:p>
        </w:tc>
      </w:tr>
      <w:tr>
        <w:tc>
          <w:tcPr>
            <w:tcW w:w="4448" w:type="dxa"/>
          </w:tcPr>
          <w:p>
            <w:pPr/>
            <w:r>
              <w:t xml:space="preserve">Requisitos Provisionamento de Acesso SIPGS</w:t>
            </w:r>
          </w:p>
        </w:tc>
        <w:tc>
          <w:tcPr>
            <w:tcW w:w="4912" w:type="dxa"/>
          </w:tcPr>
          <w:p>
            <w:pPr/>
            <w:r>
              <w:t xml:space="preserve">Papéis de administração e concessão de acessos</w:t>
            </w:r>
          </w:p>
        </w:tc>
      </w:tr>
      <w:tr>
        <w:tc>
          <w:tcPr>
            <w:tcW w:w="4448" w:type="dxa"/>
          </w:tcPr>
          <w:p>
            <w:pPr/>
            <w:r>
              <w:t xml:space="preserve">STRY00064433 – Gestão de Acesso: Abrangência dos perfis</w:t>
            </w:r>
          </w:p>
        </w:tc>
        <w:tc>
          <w:tcPr>
            <w:tcW w:w="4912" w:type="dxa"/>
          </w:tcPr>
          <w:p>
            <w:pPr/>
            <w:r>
              <w:t xml:space="preserve">Perfis, abrangências e restrição por produto</w:t>
            </w:r>
          </w:p>
        </w:tc>
      </w:tr>
      <w:tr>
        <w:tc>
          <w:tcPr>
            <w:tcW w:w="4448" w:type="dxa"/>
          </w:tcPr>
          <w:p>
            <w:pPr/>
            <w:r>
              <w:t xml:space="preserve">Requisitos Navegação entre Módulos SIPGS</w:t>
            </w:r>
          </w:p>
        </w:tc>
        <w:tc>
          <w:tcPr>
            <w:tcW w:w="4912" w:type="dxa"/>
          </w:tcPr>
          <w:p>
            <w:pPr/>
            <w:r>
              <w:t xml:space="preserve">Menu, tela inicial, contexto de trabalho e avisos</w:t>
            </w:r>
          </w:p>
        </w:tc>
      </w:tr>
      <w:tr>
        <w:tc>
          <w:tcPr>
            <w:tcW w:w="4448" w:type="dxa"/>
          </w:tcPr>
          <w:p>
            <w:pPr/>
            <w:r>
              <w:t xml:space="preserve">HU SIPGS – Simulador da Plataforma (consolidada)</w:t>
            </w:r>
          </w:p>
        </w:tc>
        <w:tc>
          <w:tcPr>
            <w:tcW w:w="4912" w:type="dxa"/>
          </w:tcPr>
          <w:p>
            <w:pPr/>
            <w:r>
              <w:t xml:space="preserve">Visão completa do simulador e divergências com as HUs derivadas</w:t>
            </w:r>
          </w:p>
        </w:tc>
      </w:tr>
      <w:tr>
        <w:tc>
          <w:tcPr>
            <w:tcW w:w="4448" w:type="dxa"/>
          </w:tcPr>
          <w:p>
            <w:pPr/>
            <w:r>
              <w:t xml:space="preserve">STRY00069681 – Simulador Orçamentário</w:t>
            </w:r>
          </w:p>
        </w:tc>
        <w:tc>
          <w:tcPr>
            <w:tcW w:w="4912" w:type="dxa"/>
          </w:tcPr>
          <w:p>
            <w:pPr/>
            <w:r>
              <w:t xml:space="preserve">Seleção do programa e das bases, totalizadores</w:t>
            </w:r>
          </w:p>
        </w:tc>
      </w:tr>
      <w:tr>
        <w:tc>
          <w:tcPr>
            <w:tcW w:w="4448" w:type="dxa"/>
          </w:tcPr>
          <w:p>
            <w:pPr/>
            <w:r>
              <w:t xml:space="preserve">STRY00070086 – Regra de Elegibilidade (PBF)</w:t>
            </w:r>
          </w:p>
        </w:tc>
        <w:tc>
          <w:tcPr>
            <w:tcW w:w="4912" w:type="dxa"/>
          </w:tcPr>
          <w:p>
            <w:pPr/>
            <w:r>
              <w:t xml:space="preserve">Critérios aplicados sobre a Base Municipal</w:t>
            </w:r>
          </w:p>
        </w:tc>
      </w:tr>
      <w:tr>
        <w:tc>
          <w:tcPr>
            <w:tcW w:w="4448" w:type="dxa"/>
          </w:tcPr>
          <w:p>
            <w:pPr/>
            <w:r>
              <w:t xml:space="preserve">STRY00072096 – Módulo de Utilização</w:t>
            </w:r>
          </w:p>
        </w:tc>
        <w:tc>
          <w:tcPr>
            <w:tcW w:w="4912" w:type="dxa"/>
          </w:tcPr>
          <w:p>
            <w:pPr/>
            <w:r>
              <w:t xml:space="preserve">Parâmetros simuláveis e valores vigentes</w:t>
            </w:r>
          </w:p>
        </w:tc>
      </w:tr>
      <w:tr>
        <w:tc>
          <w:tcPr>
            <w:tcW w:w="4448" w:type="dxa"/>
          </w:tcPr>
          <w:p>
            <w:pPr/>
            <w:r>
              <w:t xml:space="preserve">STRY00071242 – Visualização dos Resultados</w:t>
            </w:r>
          </w:p>
        </w:tc>
        <w:tc>
          <w:tcPr>
            <w:tcW w:w="4912" w:type="dxa"/>
          </w:tcPr>
          <w:p>
            <w:pPr/>
            <w:r>
              <w:t xml:space="preserve">Resultado, salvamento e exportação</w:t>
            </w:r>
          </w:p>
        </w:tc>
      </w:tr>
      <w:tr>
        <w:tc>
          <w:tcPr>
            <w:tcW w:w="4448" w:type="dxa"/>
          </w:tcPr>
          <w:p>
            <w:pPr/>
            <w:r>
              <w:t xml:space="preserve">Requisitos Salvamento e Comparação de Cenários</w:t>
            </w:r>
          </w:p>
        </w:tc>
        <w:tc>
          <w:tcPr>
            <w:tcW w:w="4912" w:type="dxa"/>
          </w:tcPr>
          <w:p>
            <w:pPr/>
            <w:r>
              <w:t xml:space="preserve">Ciclo de vida do cenário salvo e comparativo</w:t>
            </w:r>
          </w:p>
        </w:tc>
      </w:tr>
      <w:tr>
        <w:tc>
          <w:tcPr>
            <w:tcW w:w="4448" w:type="dxa"/>
          </w:tcPr>
          <w:p>
            <w:pPr/>
            <w:r>
              <w:t xml:space="preserve">Requisitos BFF Simulação SIPGS</w:t>
            </w:r>
          </w:p>
        </w:tc>
        <w:tc>
          <w:tcPr>
            <w:tcW w:w="4912" w:type="dxa"/>
          </w:tcPr>
          <w:p>
            <w:pPr/>
            <w:r>
              <w:t xml:space="preserve">Sessão de simulação, recálculo e invalidação</w:t>
            </w:r>
          </w:p>
        </w:tc>
      </w:tr>
    </w:tbl>
    <w:p>
      <w:pPr/>
      <w:r>
        <w:t xml:space="preserve">O arquivo recebido como STRY00087376 (Comparativo entre as Simulações) contém o mesmo texto do documento de Salvamento e Comparação de Cenários; a HU original ainda não foi localizada. As HUs de Ingestão da Base Municipal, de Consulta Inteligente (STRY00111044), do Widget de Chat IA e dos BFF de Agente ficam fora desta versão, por não alterarem o caminho de telas do MVP 1.</w:t>
      </w:r>
    </w:p>
    <w:p>
      <w:pPr>
        <w:pStyle w:val="Heading2"/>
      </w:pPr>
      <w:r>
        <w:t xml:space="preserve">3. Perfis de acesso</w:t>
      </w:r>
    </w:p>
    <w:p>
      <w:pPr/>
      <w:r>
        <w:t xml:space="preserve">O Simulador atende quatro perfis: Gestor CAIXA e Gestor Ente Externo Nacional, Estadual e Municipal (STRY00069681, RF01). Todos entram pela mesma tela inicial; o que muda entre eles é o menu montado pelo servidor e o universo de dados alcançado. O perfil “Caixa Master” não aparece em nenhuma HU; o mais próximo é o Gestor CAIXA (ver lacuna L1).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72"/>
        <w:gridCol w:w="2359"/>
        <w:gridCol w:w="2340"/>
        <w:gridCol w:w="3288"/>
      </w:tblGrid>
      <w:tr>
        <w:trPr>
          <w:tblHeader/>
        </w:trPr>
        <w:tc>
          <w:tcPr>
            <w:tcW w:w="1372" w:type="dxa"/>
            <w:shd w:val="clear" w:color="auto" w:fill="F2F2F2"/>
          </w:tcPr>
          <w:p>
            <w:pPr/>
            <w:r>
              <w:t xml:space="preserve">Perfil</w:t>
            </w:r>
          </w:p>
        </w:tc>
        <w:tc>
          <w:tcPr>
            <w:tcW w:w="2359" w:type="dxa"/>
            <w:shd w:val="clear" w:color="auto" w:fill="F2F2F2"/>
          </w:tcPr>
          <w:p>
            <w:pPr/>
            <w:r>
              <w:t xml:space="preserve">Abrangência dos dados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Acessa o Simulador</w:t>
            </w:r>
          </w:p>
        </w:tc>
        <w:tc>
          <w:tcPr>
            <w:tcW w:w="3288" w:type="dxa"/>
            <w:shd w:val="clear" w:color="auto" w:fill="F2F2F2"/>
          </w:tcPr>
          <w:p>
            <w:pPr/>
            <w:r>
              <w:t xml:space="preserve">Particularidades</w:t>
            </w:r>
          </w:p>
        </w:tc>
      </w:tr>
      <w:tr>
        <w:tc>
          <w:tcPr>
            <w:tcW w:w="1372" w:type="dxa"/>
          </w:tcPr>
          <w:p>
            <w:pPr/>
            <w:r>
              <w:t xml:space="preserve">Gestor CAIXA</w:t>
            </w:r>
          </w:p>
        </w:tc>
        <w:tc>
          <w:tcPr>
            <w:tcW w:w="2359" w:type="dxa"/>
          </w:tcPr>
          <w:p>
            <w:pPr/>
            <w:r>
              <w:t xml:space="preserve">Definida pela Matriz de Acesso, por produto e permissão</w:t>
            </w:r>
          </w:p>
        </w:tc>
        <w:tc>
          <w:tcPr>
            <w:tcW w:w="2340" w:type="dxa"/>
          </w:tcPr>
          <w:p>
            <w:pPr/>
            <w:r>
              <w:t xml:space="preserve">Sim</w:t>
            </w:r>
          </w:p>
        </w:tc>
        <w:tc>
          <w:tcPr>
            <w:tcW w:w="3288" w:type="dxa"/>
          </w:tcPr>
          <w:p>
            <w:pPr/>
            <w:r>
              <w:t xml:space="preserve">Exclusivo em De x Para dos campos e Monitoramento da carga; segundo fator proposto na autenticação</w:t>
            </w:r>
          </w:p>
        </w:tc>
      </w:tr>
      <w:tr>
        <w:tc>
          <w:tcPr>
            <w:tcW w:w="1372" w:type="dxa"/>
          </w:tcPr>
          <w:p>
            <w:pPr/>
            <w:r>
              <w:t xml:space="preserve">Gestor Ente Externo Nacional</w:t>
            </w:r>
          </w:p>
        </w:tc>
        <w:tc>
          <w:tcPr>
            <w:tcW w:w="2359" w:type="dxa"/>
          </w:tcPr>
          <w:p>
            <w:pPr/>
            <w:r>
              <w:t xml:space="preserve">Todos os registros do produto autorizado, inclusive dados agregados</w:t>
            </w:r>
          </w:p>
        </w:tc>
        <w:tc>
          <w:tcPr>
            <w:tcW w:w="2340" w:type="dxa"/>
          </w:tcPr>
          <w:p>
            <w:pPr/>
            <w:r>
              <w:t xml:space="preserve">Sim</w:t>
            </w:r>
          </w:p>
        </w:tc>
        <w:tc>
          <w:tcPr>
            <w:tcW w:w="3288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72" w:type="dxa"/>
          </w:tcPr>
          <w:p>
            <w:pPr/>
            <w:r>
              <w:t xml:space="preserve">Gestor Ente Externo Estadual</w:t>
            </w:r>
          </w:p>
        </w:tc>
        <w:tc>
          <w:tcPr>
            <w:tcW w:w="2359" w:type="dxa"/>
          </w:tcPr>
          <w:p>
            <w:pPr/>
            <w:r>
              <w:t xml:space="preserve">Apenas municípios da UF do vínculo</w:t>
            </w:r>
          </w:p>
        </w:tc>
        <w:tc>
          <w:tcPr>
            <w:tcW w:w="2340" w:type="dxa"/>
          </w:tcPr>
          <w:p>
            <w:pPr/>
            <w:r>
              <w:t xml:space="preserve">Sim</w:t>
            </w:r>
          </w:p>
        </w:tc>
        <w:tc>
          <w:tcPr>
            <w:tcW w:w="3288" w:type="dxa"/>
          </w:tcPr>
          <w:p>
            <w:pPr/>
            <w:r>
              <w:t xml:space="preserve">Não vê totais nacionais, salvo autorização na Matriz</w:t>
            </w:r>
          </w:p>
        </w:tc>
      </w:tr>
      <w:tr>
        <w:tc>
          <w:tcPr>
            <w:tcW w:w="1372" w:type="dxa"/>
          </w:tcPr>
          <w:p>
            <w:pPr/>
            <w:r>
              <w:t xml:space="preserve">Gestor Ente Externo Municipal</w:t>
            </w:r>
          </w:p>
        </w:tc>
        <w:tc>
          <w:tcPr>
            <w:tcW w:w="2359" w:type="dxa"/>
          </w:tcPr>
          <w:p>
            <w:pPr/>
            <w:r>
              <w:t xml:space="preserve">Apenas o município do vínculo</w:t>
            </w:r>
          </w:p>
        </w:tc>
        <w:tc>
          <w:tcPr>
            <w:tcW w:w="2340" w:type="dxa"/>
          </w:tcPr>
          <w:p>
            <w:pPr/>
            <w:r>
              <w:t xml:space="preserve">Sim</w:t>
            </w:r>
          </w:p>
        </w:tc>
        <w:tc>
          <w:tcPr>
            <w:tcW w:w="3288" w:type="dxa"/>
          </w:tcPr>
          <w:p>
            <w:pPr/>
            <w:r>
              <w:t xml:space="preserve">Comportamento dos recortes regionais do comparativo a definir (STRY00064433, 7.3)</w:t>
            </w:r>
          </w:p>
        </w:tc>
      </w:tr>
      <w:tr>
        <w:tc>
          <w:tcPr>
            <w:tcW w:w="1372" w:type="dxa"/>
          </w:tcPr>
          <w:p>
            <w:pPr/>
            <w:r>
              <w:t xml:space="preserve">Entidades externas (TCU, CGU)</w:t>
            </w:r>
          </w:p>
        </w:tc>
        <w:tc>
          <w:tcPr>
            <w:tcW w:w="2359" w:type="dxa"/>
          </w:tcPr>
          <w:p>
            <w:pPr/>
            <w:r>
              <w:t xml:space="preserve">Apenas o expressamente autorizado na Matriz</w:t>
            </w:r>
          </w:p>
        </w:tc>
        <w:tc>
          <w:tcPr>
            <w:tcW w:w="2340" w:type="dxa"/>
          </w:tcPr>
          <w:p>
            <w:pPr/>
            <w:r>
              <w:t xml:space="preserve">Não</w:t>
            </w:r>
          </w:p>
        </w:tc>
        <w:tc>
          <w:tcPr>
            <w:tcW w:w="3288" w:type="dxa"/>
          </w:tcPr>
          <w:p>
            <w:pPr/>
            <w:r>
              <w:t xml:space="preserve">A STRY00069681 (RN01) restringe o Simulador aos quatro perfis; a inclusão está em discussão (STRY00064433, 7.1)</w:t>
            </w:r>
          </w:p>
        </w:tc>
      </w:tr>
    </w:tbl>
    <w:p>
      <w:pPr/>
      <w:r>
        <w:t xml:space="preserve">Três regras valem para todos os perfis e precisam ser vistas na homologação: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Menu pelo servidor:</w:t>
      </w:r>
      <w:r>
        <w:t xml:space="preserve"> módulos sem permissão não aparecem no menu; não são exibidos com mensagem de acesso negado (Navegação, RF03 e RN02).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Abrangência não selecionável:</w:t>
      </w:r>
      <w:r>
        <w:t xml:space="preserve"> o recorte territorial vem do vínculo e acompanha toda a navegação; o usuário não escolhe UF ou município (Navegação, RF14).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Programas por vínculo:</w:t>
      </w:r>
      <w:r>
        <w:t xml:space="preserve"> só aparecem os programas sociais que o perfil tem autorização para acessar (STRY00069681, RF02).</w:t>
      </w:r>
    </w:p>
    <w:p>
      <w:pPr/>
      <w:r>
        <w:t xml:space="preserve">Os papéis de administração (administrador local, administração central, gestor da Matriz e auditoria) existem no Provisionamento de Acesso, mas não passam pelo Simulador e ficam para uma próxima versão.</w:t>
      </w:r>
    </w:p>
    <w:p>
      <w:pPr>
        <w:pStyle w:val="Heading2"/>
      </w:pPr>
      <w:r>
        <w:t xml:space="preserve">4. Mapa de navegação</w:t>
      </w:r>
    </w:p>
    <w:p>
      <w:pPr/>
      <w:r>
        <w:drawing>
          <wp:inline distT="0" distB="0" distL="0" distR="0">
            <wp:extent cx="5486400" cy="3371850"/>
            <wp:docPr id="1" name="image1" descr="mapa de navegação · do login aos cenários salv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apa de navegação · do login aos cenários salvo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mapa de navegação · do login aos cenários salvos</w:t>
      </w:r>
    </w:p>
    <w:p>
      <w:pPr/>
      <w:r>
        <w:t xml:space="preserve">O protótipo hoje liga apenas a lista de simulações às três etapas do assistente. A entrada na plataforma e tudo o que acontece depois do resultado estão definidos nas HUs, mas ainda não têm tela.</w:t>
      </w:r>
    </w:p>
    <w:p>
      <w:pPr>
        <w:pStyle w:val="Heading2"/>
      </w:pPr>
      <w:r>
        <w:t xml:space="preserve">5. Jornada principal — do login ao resultado da simulação</w:t>
      </w:r>
    </w:p>
    <w:p>
      <w:pPr/>
      <w:r>
        <w:t xml:space="preserve">A jornada vale para os quatro perfis do Simulador. Ela começa fora do sistema, passa pela tela inicial e termina com um cenário salvo. A coluna Referência aponta o documento e o requisito que sustentam o passo.</w:t>
      </w:r>
    </w:p>
    <w:p>
      <w:pPr>
        <w:pStyle w:val="Heading3"/>
      </w:pPr>
      <w:r>
        <w:t xml:space="preserve">5.1 Entrada na plataforma</w:t>
      </w:r>
    </w:p>
    <w:p>
      <w:pPr/>
      <w:r>
        <w:rPr>
          <w:b/>
        </w:rPr>
        <w:t xml:space="preserve">Pré-condição:</w:t>
      </w:r>
      <w:r>
        <w:t xml:space="preserve"> usuário cadastrado, com concessão vigente para o produto Bolsa Família.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9"/>
        <w:gridCol w:w="1560"/>
        <w:gridCol w:w="1635"/>
        <w:gridCol w:w="2286"/>
        <w:gridCol w:w="1450"/>
        <w:gridCol w:w="1560"/>
      </w:tblGrid>
      <w:tr>
        <w:trPr>
          <w:tblHeader/>
        </w:trPr>
        <w:tc>
          <w:tcPr>
            <w:tcW w:w="869" w:type="dxa"/>
            <w:shd w:val="clear" w:color="auto" w:fill="F2F2F2"/>
          </w:tcPr>
          <w:p>
            <w:pPr/>
            <w:r>
              <w:t xml:space="preserve">Passo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Tela</w:t>
            </w:r>
          </w:p>
        </w:tc>
        <w:tc>
          <w:tcPr>
            <w:tcW w:w="1635" w:type="dxa"/>
            <w:shd w:val="clear" w:color="auto" w:fill="F2F2F2"/>
          </w:tcPr>
          <w:p>
            <w:pPr/>
            <w:r>
              <w:t xml:space="preserve">Ação do usuário</w:t>
            </w:r>
          </w:p>
        </w:tc>
        <w:tc>
          <w:tcPr>
            <w:tcW w:w="2286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  <w:tc>
          <w:tcPr>
            <w:tcW w:w="1450" w:type="dxa"/>
            <w:shd w:val="clear" w:color="auto" w:fill="F2F2F2"/>
          </w:tcPr>
          <w:p>
            <w:pPr/>
            <w:r>
              <w:t xml:space="preserve">Referência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Homologação</w:t>
            </w:r>
          </w:p>
        </w:tc>
      </w:tr>
      <w:tr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Qualquer endereço da plataforma</w:t>
            </w:r>
          </w:p>
        </w:tc>
        <w:tc>
          <w:tcPr>
            <w:tcW w:w="1635" w:type="dxa"/>
          </w:tcPr>
          <w:p>
            <w:pPr/>
            <w:r>
              <w:t xml:space="preserve">Acessa a plataforma sem estar autenticado</w:t>
            </w:r>
          </w:p>
        </w:tc>
        <w:tc>
          <w:tcPr>
            <w:tcW w:w="2286" w:type="dxa"/>
          </w:tcPr>
          <w:p>
            <w:pPr/>
            <w:r>
              <w:t xml:space="preserve">É levado ao ponto único de autenticação, e o destino pedido fica guardado</w:t>
            </w:r>
          </w:p>
        </w:tc>
        <w:tc>
          <w:tcPr>
            <w:tcW w:w="1450" w:type="dxa"/>
          </w:tcPr>
          <w:p>
            <w:pPr/>
            <w:r>
              <w:t xml:space="preserve">SSO, RF01 e RF05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Ponto de autenticação</w:t>
            </w:r>
          </w:p>
        </w:tc>
        <w:tc>
          <w:tcPr>
            <w:tcW w:w="1635" w:type="dxa"/>
          </w:tcPr>
          <w:p>
            <w:pPr/>
            <w:r>
              <w:t xml:space="preserve">Informa a origem institucional (CAIXA ou ente externo), quando houver mais de um provedor</w:t>
            </w:r>
          </w:p>
        </w:tc>
        <w:tc>
          <w:tcPr>
            <w:tcW w:w="2286" w:type="dxa"/>
          </w:tcPr>
          <w:p>
            <w:pPr/>
            <w:r>
              <w:t xml:space="preserve">É encaminhado ao provedor de identidade correspondente</w:t>
            </w:r>
          </w:p>
        </w:tc>
        <w:tc>
          <w:tcPr>
            <w:tcW w:w="1450" w:type="dxa"/>
          </w:tcPr>
          <w:p>
            <w:pPr/>
            <w:r>
              <w:t xml:space="preserve">SSO, RF02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Provedor de identidade</w:t>
            </w:r>
          </w:p>
        </w:tc>
        <w:tc>
          <w:tcPr>
            <w:tcW w:w="1635" w:type="dxa"/>
          </w:tcPr>
          <w:p>
            <w:pPr/>
            <w:r>
              <w:t xml:space="preserve">Autentica-se com a credencial da sua instituição</w:t>
            </w:r>
          </w:p>
        </w:tc>
        <w:tc>
          <w:tcPr>
            <w:tcW w:w="2286" w:type="dxa"/>
          </w:tcPr>
          <w:p>
            <w:pPr/>
            <w:r>
              <w:t xml:space="preserve">Volta à plataforma autenticado; com segundo fator para o Gestor CAIXA e para perfis com acesso a microdado do Cadastro Único (proposta)</w:t>
            </w:r>
          </w:p>
        </w:tc>
        <w:tc>
          <w:tcPr>
            <w:tcW w:w="1450" w:type="dxa"/>
          </w:tcPr>
          <w:p>
            <w:pPr/>
            <w:r>
              <w:t xml:space="preserve">SSO, RF03 e RF21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Seleção de vínculo</w:t>
            </w:r>
          </w:p>
        </w:tc>
        <w:tc>
          <w:tcPr>
            <w:tcW w:w="1635" w:type="dxa"/>
          </w:tcPr>
          <w:p>
            <w:pPr/>
            <w:r>
              <w:t xml:space="preserve">Escolhe o vínculo, quando tiver mais de um</w:t>
            </w:r>
          </w:p>
        </w:tc>
        <w:tc>
          <w:tcPr>
            <w:tcW w:w="2286" w:type="dxa"/>
          </w:tcPr>
          <w:p>
            <w:pPr/>
            <w:r>
              <w:t xml:space="preserve">A sessão passa a operar sob esse único vínculo</w:t>
            </w:r>
          </w:p>
        </w:tc>
        <w:tc>
          <w:tcPr>
            <w:tcW w:w="1450" w:type="dxa"/>
          </w:tcPr>
          <w:p>
            <w:pPr/>
            <w:r>
              <w:t xml:space="preserve">SSO, RF10 e RN04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Termos de uso</w:t>
            </w:r>
          </w:p>
        </w:tc>
        <w:tc>
          <w:tcPr>
            <w:tcW w:w="1635" w:type="dxa"/>
          </w:tcPr>
          <w:p>
            <w:pPr/>
            <w:r>
              <w:t xml:space="preserve">No primeiro acesso ou após nova versão dos termos, lê e aceita os termos de uso e de responsabilidade</w:t>
            </w:r>
          </w:p>
        </w:tc>
        <w:tc>
          <w:tcPr>
            <w:tcW w:w="2286" w:type="dxa"/>
          </w:tcPr>
          <w:p>
            <w:pPr/>
            <w:r>
              <w:t xml:space="preserve">Aceite registrado; sem aceite não há prosseguimento; exibe orientação sobre os módulos do perfil</w:t>
            </w:r>
          </w:p>
        </w:tc>
        <w:tc>
          <w:tcPr>
            <w:tcW w:w="1450" w:type="dxa"/>
          </w:tcPr>
          <w:p>
            <w:pPr/>
            <w:r>
              <w:t xml:space="preserve">SSO, RF11 a RF14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Início</w:t>
            </w:r>
          </w:p>
        </w:tc>
        <w:tc>
          <w:tcPr>
            <w:tcW w:w="1635" w:type="dxa"/>
          </w:tcPr>
          <w:p>
            <w:pPr/>
            <w:r>
              <w:t xml:space="preserve">É conduzido ao destino pedido ou, se entrou pelo endereço principal, à tela inicial</w:t>
            </w:r>
          </w:p>
        </w:tc>
        <w:tc>
          <w:tcPr>
            <w:tcW w:w="2286" w:type="dxa"/>
          </w:tcPr>
          <w:p>
            <w:pPr/>
            <w:r>
              <w:t xml:space="preserve">Exibe os 10 cenários mais recentes do usuário, as bases vigentes com datas de referência, atalhos do perfil e avisos pendentes; mostra o usuário e o ente; o menu traz só os módulos autorizados</w:t>
            </w:r>
          </w:p>
        </w:tc>
        <w:tc>
          <w:tcPr>
            <w:tcW w:w="1450" w:type="dxa"/>
          </w:tcPr>
          <w:p>
            <w:pPr/>
            <w:r>
              <w:t xml:space="preserve">SSO, RF05; Navegação, RF03, RF06 a RF09 e RF28</w:t>
            </w:r>
          </w:p>
        </w:tc>
        <w:tc>
          <w:tcPr>
            <w:tcW w:w="1560" w:type="dxa"/>
          </w:tcPr>
          <w:p>
            <w:pPr/>
          </w:p>
        </w:tc>
      </w:tr>
    </w:tbl>
    <w:p>
      <w:pPr/>
      <w:r>
        <w:rPr>
          <w:b/>
        </w:rPr>
        <w:t xml:space="preserve">Caminhos alternativos:</w:t>
      </w:r>
      <w:r>
        <w:t xml:space="preserve"> identidade sem cadastro na plataforma recebe mensagem orientando a solicitar acesso (SSO, RF07); usuário cadastrado sem concessão vigente é orientado a procurar o administrador do seu ente (SSO, RF08); falha de autenticação recebe mensagem padronizada, sem dizer se o erro foi de usuário ou de senha (SSO, RF29).</w:t>
      </w:r>
    </w:p>
    <w:p>
      <w:pPr>
        <w:pStyle w:val="Heading3"/>
      </w:pPr>
      <w:r>
        <w:t xml:space="preserve">5.2 Criar e executar uma nova simulação</w:t>
      </w:r>
    </w:p>
    <w:p>
      <w:pPr/>
      <w:r>
        <w:rPr>
          <w:b/>
        </w:rPr>
        <w:t xml:space="preserve">Pré-condição:</w:t>
      </w:r>
      <w:r>
        <w:t xml:space="preserve"> usuário na tela inicial, com perfil autorizado ao Simulador.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9"/>
        <w:gridCol w:w="1560"/>
        <w:gridCol w:w="1560"/>
        <w:gridCol w:w="2251"/>
        <w:gridCol w:w="1560"/>
        <w:gridCol w:w="1560"/>
      </w:tblGrid>
      <w:tr>
        <w:trPr>
          <w:tblHeader/>
        </w:trPr>
        <w:tc>
          <w:tcPr>
            <w:tcW w:w="869" w:type="dxa"/>
            <w:shd w:val="clear" w:color="auto" w:fill="F2F2F2"/>
          </w:tcPr>
          <w:p>
            <w:pPr/>
            <w:r>
              <w:t xml:space="preserve">Passo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Tela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Ação do usuário</w:t>
            </w:r>
          </w:p>
        </w:tc>
        <w:tc>
          <w:tcPr>
            <w:tcW w:w="2251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Referência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Homologação</w:t>
            </w:r>
          </w:p>
        </w:tc>
      </w:tr>
      <w:tr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Início</w:t>
            </w:r>
          </w:p>
        </w:tc>
        <w:tc>
          <w:tcPr>
            <w:tcW w:w="1560" w:type="dxa"/>
          </w:tcPr>
          <w:p>
            <w:pPr/>
            <w:r>
              <w:t xml:space="preserve">Abre o Simulador Orçamentário pelo menu ou por um atalho</w:t>
            </w:r>
          </w:p>
        </w:tc>
        <w:tc>
          <w:tcPr>
            <w:tcW w:w="2251" w:type="dxa"/>
          </w:tcPr>
          <w:p>
            <w:pPr/>
            <w:r>
              <w:t xml:space="preserve">Exibe a lista de simulações com indicadores por situação e o botão + Nova Simulação</w:t>
            </w:r>
          </w:p>
        </w:tc>
        <w:tc>
          <w:tcPr>
            <w:tcW w:w="1560" w:type="dxa"/>
          </w:tcPr>
          <w:p>
            <w:pPr/>
            <w:r>
              <w:t xml:space="preserve">Protótipo; Cenários, RF08 a RF10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Lista de Simulações</w:t>
            </w:r>
          </w:p>
        </w:tc>
        <w:tc>
          <w:tcPr>
            <w:tcW w:w="1560" w:type="dxa"/>
          </w:tcPr>
          <w:p>
            <w:pPr/>
            <w:r>
              <w:t xml:space="preserve">Clica em </w:t>
            </w:r>
            <w:r>
              <w:rPr>
                <w:b/>
              </w:rPr>
              <w:t xml:space="preserve">+ Nova Simulação</w:t>
            </w:r>
          </w:p>
        </w:tc>
        <w:tc>
          <w:tcPr>
            <w:tcW w:w="2251" w:type="dxa"/>
          </w:tcPr>
          <w:p>
            <w:pPr/>
            <w:r>
              <w:t xml:space="preserve">Abre a Etapa 1 – Programa e Base</w:t>
            </w:r>
          </w:p>
        </w:tc>
        <w:tc>
          <w:tcPr>
            <w:tcW w:w="1560" w:type="dxa"/>
          </w:tcPr>
          <w:p>
            <w:pPr/>
            <w:r>
              <w:t xml:space="preserve">Protótipo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Etapa 1 – Programa e Base</w:t>
            </w:r>
          </w:p>
        </w:tc>
        <w:tc>
          <w:tcPr>
            <w:tcW w:w="1560" w:type="dxa"/>
          </w:tcPr>
          <w:p>
            <w:pPr/>
            <w:r>
              <w:t xml:space="preserve">Seleciona o programa social</w:t>
            </w:r>
          </w:p>
        </w:tc>
        <w:tc>
          <w:tcPr>
            <w:tcW w:w="2251" w:type="dxa"/>
          </w:tcPr>
          <w:p>
            <w:pPr/>
            <w:r>
              <w:t xml:space="preserve">Lista apenas os programas autorizados ao perfil; no MVP 1 só o Bolsa Família fica habilitado; exibe as regras vigentes do programa</w:t>
            </w:r>
          </w:p>
        </w:tc>
        <w:tc>
          <w:tcPr>
            <w:tcW w:w="1560" w:type="dxa"/>
          </w:tcPr>
          <w:p>
            <w:pPr/>
            <w:r>
              <w:t xml:space="preserve">STRY00069681, RF02 a RF04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Etapa 1 – Programa e Base</w:t>
            </w:r>
          </w:p>
        </w:tc>
        <w:tc>
          <w:tcPr>
            <w:tcW w:w="1560" w:type="dxa"/>
          </w:tcPr>
          <w:p>
            <w:pPr/>
            <w:r>
              <w:t xml:space="preserve">Seleciona as bases</w:t>
            </w:r>
          </w:p>
        </w:tc>
        <w:tc>
          <w:tcPr>
            <w:tcW w:w="2251" w:type="dxa"/>
          </w:tcPr>
          <w:p>
            <w:pPr/>
            <w:r>
              <w:t xml:space="preserve">Exibe Base Municipal (data da carga), Pré-folha (referência e data de geração) e Folha (referência); aceita só BM, BM com Pré-folha ou Folha, ou só Folha</w:t>
            </w:r>
          </w:p>
        </w:tc>
        <w:tc>
          <w:tcPr>
            <w:tcW w:w="1560" w:type="dxa"/>
          </w:tcPr>
          <w:p>
            <w:pPr/>
            <w:r>
              <w:t xml:space="preserve">STRY00069681, RF05 a RF07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Etapa 1 – Programa e Base</w:t>
            </w:r>
          </w:p>
        </w:tc>
        <w:tc>
          <w:tcPr>
            <w:tcW w:w="1560" w:type="dxa"/>
          </w:tcPr>
          <w:p>
            <w:pPr/>
            <w:r>
              <w:t xml:space="preserve">Com só a Base Municipal, informa se quer aplicar o critério de elegibilidade</w:t>
            </w:r>
          </w:p>
        </w:tc>
        <w:tc>
          <w:tcPr>
            <w:tcW w:w="2251" w:type="dxa"/>
          </w:tcPr>
          <w:p>
            <w:pPr/>
            <w:r>
              <w:t xml:space="preserve">Com a opção ativa, o resultado considera os critérios do PBF sobre a BM</w:t>
            </w:r>
          </w:p>
        </w:tc>
        <w:tc>
          <w:tcPr>
            <w:tcW w:w="1560" w:type="dxa"/>
          </w:tcPr>
          <w:p>
            <w:pPr/>
            <w:r>
              <w:t xml:space="preserve">STRY00069681, RF07; STRY00070086, RF01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Etapa 1 – Programa e Base</w:t>
            </w:r>
          </w:p>
        </w:tc>
        <w:tc>
          <w:tcPr>
            <w:tcW w:w="1560" w:type="dxa"/>
          </w:tcPr>
          <w:p>
            <w:pPr/>
            <w:r>
              <w:t xml:space="preserve">Confere os totalizadores da base escolhida</w:t>
            </w:r>
          </w:p>
        </w:tc>
        <w:tc>
          <w:tcPr>
            <w:tcW w:w="2251" w:type="dxa"/>
          </w:tcPr>
          <w:p>
            <w:pPr/>
            <w:r>
              <w:t xml:space="preserve">BM: famílias e pessoas cadastradas, média de integrantes, unipessoais e faixas de renda. Folha ou Pré-folha (e seleção combinada): famílias, beneficiários, parcelas, benefícios por tipo, valor médio, valor da folha e custo projetado. Se a apuração da linha de base demorar, o progresso é exibido</w:t>
            </w:r>
          </w:p>
        </w:tc>
        <w:tc>
          <w:tcPr>
            <w:tcW w:w="1560" w:type="dxa"/>
          </w:tcPr>
          <w:p>
            <w:pPr/>
            <w:r>
              <w:t xml:space="preserve">STRY00069681, RF14 a RF16; BFF Simulação, RF08 a RF11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Etapa 1 – Programa e Base</w:t>
            </w:r>
          </w:p>
        </w:tc>
        <w:tc>
          <w:tcPr>
            <w:tcW w:w="1560" w:type="dxa"/>
          </w:tcPr>
          <w:p>
            <w:pPr/>
            <w:r>
              <w:t xml:space="preserve">Clica em </w:t>
            </w:r>
            <w:r>
              <w:rPr>
                <w:b/>
              </w:rPr>
              <w:t xml:space="preserve">Continuar</w:t>
            </w:r>
          </w:p>
        </w:tc>
        <w:tc>
          <w:tcPr>
            <w:tcW w:w="2251" w:type="dxa"/>
          </w:tcPr>
          <w:p>
            <w:pPr/>
            <w:r>
              <w:t xml:space="preserve">Abre a Etapa 2 – Configuração; programa, bases, datas de referência e abrangência ficam visíveis o tempo todo</w:t>
            </w:r>
          </w:p>
        </w:tc>
        <w:tc>
          <w:tcPr>
            <w:tcW w:w="1560" w:type="dxa"/>
          </w:tcPr>
          <w:p>
            <w:pPr/>
            <w:r>
              <w:t xml:space="preserve">Navegação, RF11 e RN07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Etapa 2 – Configuração</w:t>
            </w:r>
          </w:p>
        </w:tc>
        <w:tc>
          <w:tcPr>
            <w:tcW w:w="1560" w:type="dxa"/>
          </w:tcPr>
          <w:p>
            <w:pPr/>
            <w:r>
              <w:t xml:space="preserve">Confere os parâmetros</w:t>
            </w:r>
          </w:p>
        </w:tc>
        <w:tc>
          <w:tcPr>
            <w:tcW w:w="2251" w:type="dxa"/>
          </w:tcPr>
          <w:p>
            <w:pPr/>
            <w:r>
              <w:t xml:space="preserve">Cada slider abre no valor vigente (ex.: renda per capita R$ 218,00; atualização cadastral 24 meses; BRC R$ 142,00; mínimo BCO R$ 600,00), com campo digitável equivalente</w:t>
            </w:r>
          </w:p>
        </w:tc>
        <w:tc>
          <w:tcPr>
            <w:tcW w:w="1560" w:type="dxa"/>
          </w:tcPr>
          <w:p>
            <w:pPr/>
            <w:r>
              <w:t xml:space="preserve">STRY00072096, RF08 a RF12; STRY00071242, RF01 e RF02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Etapa 2 – Configuração</w:t>
            </w:r>
          </w:p>
        </w:tc>
        <w:tc>
          <w:tcPr>
            <w:tcW w:w="1560" w:type="dxa"/>
          </w:tcPr>
          <w:p>
            <w:pPr/>
            <w:r>
              <w:t xml:space="preserve">Altera um ou mais parâmetros</w:t>
            </w:r>
          </w:p>
        </w:tc>
        <w:tc>
          <w:tcPr>
            <w:tcW w:w="2251" w:type="dxa"/>
          </w:tcPr>
          <w:p>
            <w:pPr/>
            <w:r>
              <w:t xml:space="preserve">As alterações se somam; ao mexer na faixa do BPI, a do BV Criança se ajusta junto, sem sobreposição</w:t>
            </w:r>
          </w:p>
        </w:tc>
        <w:tc>
          <w:tcPr>
            <w:tcW w:w="1560" w:type="dxa"/>
          </w:tcPr>
          <w:p>
            <w:pPr/>
            <w:r>
              <w:t xml:space="preserve">STRY00069681, RF08; STRY00072096, RF15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Etapa 2 – Configuração</w:t>
            </w:r>
          </w:p>
        </w:tc>
        <w:tc>
          <w:tcPr>
            <w:tcW w:w="1560" w:type="dxa"/>
          </w:tcPr>
          <w:p>
            <w:pPr/>
            <w:r>
              <w:t xml:space="preserve">Escolhe o período de projeção</w:t>
            </w:r>
          </w:p>
        </w:tc>
        <w:tc>
          <w:tcPr>
            <w:tcW w:w="2251" w:type="dxa"/>
          </w:tcPr>
          <w:p>
            <w:pPr/>
            <w:r>
              <w:t xml:space="preserve">O custo projetado passa a considerar esse período</w:t>
            </w:r>
          </w:p>
        </w:tc>
        <w:tc>
          <w:tcPr>
            <w:tcW w:w="1560" w:type="dxa"/>
          </w:tcPr>
          <w:p>
            <w:pPr/>
            <w:r>
              <w:t xml:space="preserve">STRY00069681, RF17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11</w:t>
            </w:r>
          </w:p>
        </w:tc>
        <w:tc>
          <w:tcPr>
            <w:tcW w:w="1560" w:type="dxa"/>
          </w:tcPr>
          <w:p>
            <w:pPr/>
            <w:r>
              <w:t xml:space="preserve">Etapa 2 → Etapa 3</w:t>
            </w:r>
          </w:p>
        </w:tc>
        <w:tc>
          <w:tcPr>
            <w:tcW w:w="1560" w:type="dxa"/>
          </w:tcPr>
          <w:p>
            <w:pPr/>
            <w:r>
              <w:t xml:space="preserve">Executa a simulação</w:t>
            </w:r>
          </w:p>
        </w:tc>
        <w:tc>
          <w:tcPr>
            <w:tcW w:w="2251" w:type="dxa"/>
          </w:tcPr>
          <w:p>
            <w:pPr/>
            <w:r>
              <w:t xml:space="preserve">Os indicadores são recalculados sobre a linha de base apurada na abertura da sessão (ver lacuna L9 sobre atualização automática)</w:t>
            </w:r>
          </w:p>
        </w:tc>
        <w:tc>
          <w:tcPr>
            <w:tcW w:w="1560" w:type="dxa"/>
          </w:tcPr>
          <w:p>
            <w:pPr/>
            <w:r>
              <w:t xml:space="preserve">STRY00069681, RF13; BFF Simulação, RF13 e RF14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t xml:space="preserve">Etapa 3 – Resultado</w:t>
            </w:r>
          </w:p>
        </w:tc>
        <w:tc>
          <w:tcPr>
            <w:tcW w:w="1560" w:type="dxa"/>
          </w:tcPr>
          <w:p>
            <w:pPr/>
            <w:r>
              <w:t xml:space="preserve">Analisa o resultado</w:t>
            </w:r>
          </w:p>
        </w:tc>
        <w:tc>
          <w:tcPr>
            <w:tcW w:w="2251" w:type="dxa"/>
          </w:tcPr>
          <w:p>
            <w:pPr/>
            <w:r>
              <w:t xml:space="preserve">Mostra lado a lado o cenário original e o projetado, com variações; impactos quantitativos e financeiros; famílias que ingressam, permanecem e saem do programa</w:t>
            </w:r>
          </w:p>
        </w:tc>
        <w:tc>
          <w:tcPr>
            <w:tcW w:w="1560" w:type="dxa"/>
          </w:tcPr>
          <w:p>
            <w:pPr/>
            <w:r>
              <w:t xml:space="preserve">STRY00069681, RF11 a RF13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13</w:t>
            </w:r>
          </w:p>
        </w:tc>
        <w:tc>
          <w:tcPr>
            <w:tcW w:w="1560" w:type="dxa"/>
          </w:tcPr>
          <w:p>
            <w:pPr/>
            <w:r>
              <w:t xml:space="preserve">Etapa 3 – Resultado</w:t>
            </w:r>
          </w:p>
        </w:tc>
        <w:tc>
          <w:tcPr>
            <w:tcW w:w="1560" w:type="dxa"/>
          </w:tcPr>
          <w:p>
            <w:pPr/>
            <w:r>
              <w:t xml:space="preserve">Clica em </w:t>
            </w:r>
            <w:r>
              <w:rPr>
                <w:b/>
              </w:rPr>
              <w:t xml:space="preserve">Salvar Simulação</w:t>
            </w:r>
            <w:r>
              <w:t xml:space="preserve"> e informa um nome</w:t>
            </w:r>
          </w:p>
        </w:tc>
        <w:tc>
          <w:tcPr>
            <w:tcW w:w="2251" w:type="dxa"/>
          </w:tcPr>
          <w:p>
            <w:pPr/>
            <w:r>
              <w:t xml:space="preserve">Nome obrigatório, até 50 caracteres; o sistema gera um identificador único; o cenário passa a Salvo e entra nos recentes da tela inicial</w:t>
            </w:r>
          </w:p>
        </w:tc>
        <w:tc>
          <w:tcPr>
            <w:tcW w:w="1560" w:type="dxa"/>
          </w:tcPr>
          <w:p>
            <w:pPr/>
            <w:r>
              <w:t xml:space="preserve">Cenários, RF01 a RF03 e RF07; STRY00071242, RF07 a RF09</w:t>
            </w:r>
          </w:p>
        </w:tc>
        <w:tc>
          <w:tcPr>
            <w:tcW w:w="1560" w:type="dxa"/>
          </w:tcPr>
          <w:p>
            <w:pPr/>
          </w:p>
        </w:tc>
      </w:tr>
    </w:tbl>
    <w:p>
      <w:pPr>
        <w:pStyle w:val="Heading4"/>
      </w:pPr>
      <w:r>
        <w:t xml:space="preserve">Telas do protótipo usadas nesta jornada</w:t>
      </w:r>
    </w:p>
    <w:p>
      <w:pPr/>
      <w:r>
        <w:t xml:space="preserve">Capturas do protótipo Figma em 27/10/2026, na ordem em que o usuário as percorre.</w:t>
      </w:r>
    </w:p>
    <w:p>
      <w:pPr/>
      <w:r>
        <w:rPr>
          <w:b/>
        </w:rPr>
        <w:t xml:space="preserve">Lista de Simulações (passos 1 e 2).</w:t>
      </w:r>
      <w:r>
        <w:t xml:space="preserve"> Indicadores por situação, abas, tabela de simulações e o botão + Nova Simulação, no canto superior direito.</w:t>
      </w:r>
    </w:p>
    <w:p>
      <w:pPr/>
      <w:r>
        <w:drawing>
          <wp:inline distT="0" distB="0" distL="0" distR="0">
            <wp:extent cx="5486400" cy="3422142"/>
            <wp:docPr id="2" name="image2" descr="Lista de Simulaçõ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Lista de Simulaçõ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Etapa 1 – Programa e Base (passos 3 a 7).</w:t>
      </w:r>
      <w:r>
        <w:t xml:space="preserve"> Seleção do programa, aviso de que só o Bolsa Família está habilitado no MVP 1, cartões das bases e o botão Continuar.</w:t>
      </w:r>
    </w:p>
    <w:p>
      <w:pPr/>
      <w:r>
        <w:drawing>
          <wp:inline distT="0" distB="0" distL="0" distR="0">
            <wp:extent cx="5486400" cy="3888486"/>
            <wp:docPr id="3" name="image3" descr="Etapa 1 – Programa e Bas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Etapa 1 – Programa e Ba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Etapa 2 – Configuração (passos 8 a 11).</w:t>
      </w:r>
      <w:r>
        <w:t xml:space="preserve"> Grupos de parâmetros à esquerda, painel de parâmetros alterados, alerta de ajustes pendentes, sliders dos critérios e o botão Executar Simulação. O ELG-01 mostra a lacuna L5.</w:t>
      </w:r>
    </w:p>
    <w:p>
      <w:pPr/>
      <w:r>
        <w:drawing>
          <wp:inline distT="0" distB="0" distL="0" distR="0">
            <wp:extent cx="5486400" cy="3888486"/>
            <wp:docPr id="4" name="image4" descr="Etapa 2 – Configuração de Parâmetr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Etapa 2 – Configuração de Parâmetro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Etapa 3 – Resultado (passos 12 e 13).</w:t>
      </w:r>
      <w:r>
        <w:t xml:space="preserve"> Resumo do impacto, indicadores com valor original, comparativo por benefício, famílias por região, composição da cesta, parâmetros alterados e os botões Voltar, Comparar, PDF e Salvar Simulação.</w:t>
      </w:r>
    </w:p>
    <w:p>
      <w:pPr/>
      <w:r>
        <w:drawing>
          <wp:inline distT="0" distB="0" distL="0" distR="0">
            <wp:extent cx="5486400" cy="7015734"/>
            <wp:docPr id="5" name="image5" descr="Etapa 3 – Resulta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Etapa 3 – Resultado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Pós-condição:</w:t>
      </w:r>
      <w:r>
        <w:t xml:space="preserve"> cenário salvo e localizável. Cenário não salvo é descartado ao fim da sessão (Cenários, RF01). Nenhuma simulação altera os parâmetros vigentes nem a folha real (STRY00069681, RN06 e RN11).</w:t>
      </w:r>
    </w:p>
    <w:p>
      <w:pPr/>
      <w:r>
        <w:rPr>
          <w:b/>
        </w:rPr>
        <w:t xml:space="preserve">Previsto nas HUs, ainda sem passo definido.</w:t>
      </w:r>
      <w:r>
        <w:t xml:space="preserve"> Os itens abaixo entram na jornada quando o protótipo ganhar a tela correspondente:</w:t>
      </w:r>
    </w:p>
    <w:p>
      <w:pPr>
        <w:pStyle w:val="ListParagraph"/>
        <w:numPr>
          <w:ilvl w:val="0"/>
          <w:numId w:val="4"/>
        </w:numPr>
      </w:pPr>
      <w:r>
        <w:t xml:space="preserve">Etapa 2: desfazer uma alteração e restaurar os valores vigentes (BFF Simulação, RF17).</w:t>
      </w:r>
    </w:p>
    <w:p>
      <w:pPr>
        <w:pStyle w:val="ListParagraph"/>
        <w:numPr>
          <w:ilvl w:val="0"/>
          <w:numId w:val="4"/>
        </w:numPr>
      </w:pPr>
      <w:r>
        <w:t xml:space="preserve">Etapa 2: parâmetros da Regra de Proteção e do valor mínimo do BCO, com o impacto em famílias (STRY00072096, RF12, RF13, RF20 e RF21).</w:t>
      </w:r>
    </w:p>
    <w:p>
      <w:pPr>
        <w:pStyle w:val="ListParagraph"/>
        <w:numPr>
          <w:ilvl w:val="0"/>
          <w:numId w:val="4"/>
        </w:numPr>
      </w:pPr>
      <w:r>
        <w:t xml:space="preserve">Etapa 2: universo de famílias elegíveis e não elegíveis quando o critério da BM estiver ativo (STRY00070086, RF02 a RF04).</w:t>
      </w:r>
    </w:p>
    <w:p>
      <w:pPr>
        <w:pStyle w:val="ListParagraph"/>
        <w:numPr>
          <w:ilvl w:val="0"/>
          <w:numId w:val="4"/>
        </w:numPr>
      </w:pPr>
      <w:r>
        <w:t xml:space="preserve">Simulação a partir de orçamento adicional por benefício (HU consolidada, RF29; BFF Simulação, RF21).</w:t>
      </w:r>
    </w:p>
    <w:p>
      <w:pPr>
        <w:pStyle w:val="ListParagraph"/>
        <w:numPr>
          <w:ilvl w:val="0"/>
          <w:numId w:val="4"/>
        </w:numPr>
      </w:pPr>
      <w:r>
        <w:t xml:space="preserve">Etapa 3: seleção de campos da Base Municipal para análise do resultado (STRY00071242, RF03).</w:t>
      </w:r>
    </w:p>
    <w:p>
      <w:pPr>
        <w:pStyle w:val="ListParagraph"/>
        <w:numPr>
          <w:ilvl w:val="0"/>
          <w:numId w:val="4"/>
        </w:numPr>
      </w:pPr>
      <w:r>
        <w:t xml:space="preserve">Cenário salvo: renomear, excluir, duplicar e revogar compartilhamento (Cenários, RF05, RF06 e RF12).</w:t>
      </w:r>
    </w:p>
    <w:p>
      <w:pPr>
        <w:pStyle w:val="ListParagraph"/>
        <w:numPr>
          <w:ilvl w:val="0"/>
          <w:numId w:val="4"/>
        </w:numPr>
      </w:pPr>
      <w:r>
        <w:t xml:space="preserve">Acesso direto por endereço a cenário ou comparativo, com a mesma verificação de permissão do menu (Navegação, RF20 a RF23).</w:t>
      </w:r>
    </w:p>
    <w:p>
      <w:pPr>
        <w:pStyle w:val="Heading2"/>
      </w:pPr>
      <w:r>
        <w:t xml:space="preserve">6. Jornadas complementares</w:t>
      </w:r>
    </w:p>
    <w:p>
      <w:pPr/>
      <w:r>
        <w:t xml:space="preserve">Estas jornadas partem de um cenário já salvo ou de situações que interrompem o trabalho. No protótipo, os botões Salvar, Comparar, PDF e Voltar ainda não levam a nenhuma tela, então os passos abaixo seguem as HUs (ver lacuna L2).</w:t>
      </w:r>
    </w:p>
    <w:p>
      <w:pPr>
        <w:pStyle w:val="Heading3"/>
      </w:pPr>
      <w:r>
        <w:t xml:space="preserve">6.1 Localizar, reabrir e reexecutar um cenário salvo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9"/>
        <w:gridCol w:w="1496"/>
        <w:gridCol w:w="1512"/>
        <w:gridCol w:w="2566"/>
        <w:gridCol w:w="1357"/>
        <w:gridCol w:w="1560"/>
      </w:tblGrid>
      <w:tr>
        <w:trPr>
          <w:tblHeader/>
        </w:trPr>
        <w:tc>
          <w:tcPr>
            <w:tcW w:w="869" w:type="dxa"/>
            <w:shd w:val="clear" w:color="auto" w:fill="F2F2F2"/>
          </w:tcPr>
          <w:p>
            <w:pPr/>
            <w:r>
              <w:t xml:space="preserve">Passo</w:t>
            </w:r>
          </w:p>
        </w:tc>
        <w:tc>
          <w:tcPr>
            <w:tcW w:w="1496" w:type="dxa"/>
            <w:shd w:val="clear" w:color="auto" w:fill="F2F2F2"/>
          </w:tcPr>
          <w:p>
            <w:pPr/>
            <w:r>
              <w:t xml:space="preserve">Tela</w:t>
            </w:r>
          </w:p>
        </w:tc>
        <w:tc>
          <w:tcPr>
            <w:tcW w:w="1512" w:type="dxa"/>
            <w:shd w:val="clear" w:color="auto" w:fill="F2F2F2"/>
          </w:tcPr>
          <w:p>
            <w:pPr/>
            <w:r>
              <w:t xml:space="preserve">Ação do usuário</w:t>
            </w:r>
          </w:p>
        </w:tc>
        <w:tc>
          <w:tcPr>
            <w:tcW w:w="2566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  <w:tc>
          <w:tcPr>
            <w:tcW w:w="1357" w:type="dxa"/>
            <w:shd w:val="clear" w:color="auto" w:fill="F2F2F2"/>
          </w:tcPr>
          <w:p>
            <w:pPr/>
            <w:r>
              <w:t xml:space="preserve">Referência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Homologação</w:t>
            </w:r>
          </w:p>
        </w:tc>
      </w:tr>
      <w:tr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1496" w:type="dxa"/>
          </w:tcPr>
          <w:p>
            <w:pPr/>
            <w:r>
              <w:t xml:space="preserve">Início ou Lista de Simulações</w:t>
            </w:r>
          </w:p>
        </w:tc>
        <w:tc>
          <w:tcPr>
            <w:tcW w:w="1512" w:type="dxa"/>
          </w:tcPr>
          <w:p>
            <w:pPr/>
            <w:r>
              <w:t xml:space="preserve">Pesquisa por nome (busca parcial) ou por intervalo de datas; filtra por programa, base ou origem</w:t>
            </w:r>
          </w:p>
        </w:tc>
        <w:tc>
          <w:tcPr>
            <w:tcW w:w="2566" w:type="dxa"/>
          </w:tcPr>
          <w:p>
            <w:pPr/>
            <w:r>
              <w:t xml:space="preserve">Lista os cenários acessíveis com a situação de cada um; não reproduzíveis aparecem destacados</w:t>
            </w:r>
          </w:p>
        </w:tc>
        <w:tc>
          <w:tcPr>
            <w:tcW w:w="1357" w:type="dxa"/>
          </w:tcPr>
          <w:p>
            <w:pPr/>
            <w:r>
              <w:t xml:space="preserve">Cenários, RF08 a RF10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2</w:t>
            </w:r>
          </w:p>
        </w:tc>
        <w:tc>
          <w:tcPr>
            <w:tcW w:w="1496" w:type="dxa"/>
          </w:tcPr>
          <w:p>
            <w:pPr/>
            <w:r>
              <w:t xml:space="preserve">Lista de Simulações</w:t>
            </w:r>
          </w:p>
        </w:tc>
        <w:tc>
          <w:tcPr>
            <w:tcW w:w="1512" w:type="dxa"/>
          </w:tcPr>
          <w:p>
            <w:pPr/>
            <w:r>
              <w:t xml:space="preserve">Abre um cenário (</w:t>
            </w:r>
            <w:r>
              <w:rPr>
                <w:b/>
              </w:rPr>
              <w:t xml:space="preserve">Ver resultado</w:t>
            </w:r>
            <w:r>
              <w:t xml:space="preserve">)</w:t>
            </w:r>
          </w:p>
        </w:tc>
        <w:tc>
          <w:tcPr>
            <w:tcW w:w="2566" w:type="dxa"/>
          </w:tcPr>
          <w:p>
            <w:pPr/>
            <w:r>
              <w:t xml:space="preserve">Exibe o resultado congelado, como apurado no salvamento, com as bases e datas usadas</w:t>
            </w:r>
          </w:p>
        </w:tc>
        <w:tc>
          <w:tcPr>
            <w:tcW w:w="1357" w:type="dxa"/>
          </w:tcPr>
          <w:p>
            <w:pPr/>
            <w:r>
              <w:t xml:space="preserve">Cenários, RF15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1496" w:type="dxa"/>
          </w:tcPr>
          <w:p>
            <w:pPr/>
            <w:r>
              <w:t xml:space="preserve">Resultado do cenário</w:t>
            </w:r>
          </w:p>
        </w:tc>
        <w:tc>
          <w:tcPr>
            <w:tcW w:w="1512" w:type="dxa"/>
          </w:tcPr>
          <w:p>
            <w:pPr/>
            <w:r>
              <w:t xml:space="preserve">Pede a reexecução</w:t>
            </w:r>
          </w:p>
        </w:tc>
        <w:tc>
          <w:tcPr>
            <w:tcW w:w="2566" w:type="dxa"/>
          </w:tcPr>
          <w:p>
            <w:pPr/>
            <w:r>
              <w:t xml:space="preserve">Recalcula sobre as bases vigentes e mostra o novo resultado ao lado do original, marcado como recálculo com data e hora</w:t>
            </w:r>
          </w:p>
        </w:tc>
        <w:tc>
          <w:tcPr>
            <w:tcW w:w="1357" w:type="dxa"/>
          </w:tcPr>
          <w:p>
            <w:pPr/>
            <w:r>
              <w:t xml:space="preserve">Cenários, RF16 e RF17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4</w:t>
            </w:r>
          </w:p>
        </w:tc>
        <w:tc>
          <w:tcPr>
            <w:tcW w:w="1496" w:type="dxa"/>
          </w:tcPr>
          <w:p>
            <w:pPr/>
            <w:r>
              <w:t xml:space="preserve">Resultado do cenário</w:t>
            </w:r>
          </w:p>
        </w:tc>
        <w:tc>
          <w:tcPr>
            <w:tcW w:w="1512" w:type="dxa"/>
          </w:tcPr>
          <w:p>
            <w:pPr/>
            <w:r>
              <w:t xml:space="preserve">Pede a reexecução de cenário cuja base foi substituída</w:t>
            </w:r>
          </w:p>
        </w:tc>
        <w:tc>
          <w:tcPr>
            <w:tcW w:w="2566" w:type="dxa"/>
          </w:tcPr>
          <w:p>
            <w:pPr/>
            <w:r>
              <w:t xml:space="preserve">Reexecução impedida; o cenário continua legível na forma congelada</w:t>
            </w:r>
          </w:p>
        </w:tc>
        <w:tc>
          <w:tcPr>
            <w:tcW w:w="1357" w:type="dxa"/>
          </w:tcPr>
          <w:p>
            <w:pPr/>
            <w:r>
              <w:t xml:space="preserve">Cenários, RF18</w:t>
            </w:r>
          </w:p>
        </w:tc>
        <w:tc>
          <w:tcPr>
            <w:tcW w:w="1560" w:type="dxa"/>
          </w:tcPr>
          <w:p>
            <w:pPr/>
          </w:p>
        </w:tc>
      </w:tr>
    </w:tbl>
    <w:p>
      <w:pPr>
        <w:pStyle w:val="Heading3"/>
      </w:pPr>
      <w:r>
        <w:t xml:space="preserve">6.2 Compartilhar um cenário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9"/>
        <w:gridCol w:w="1265"/>
        <w:gridCol w:w="1550"/>
        <w:gridCol w:w="2666"/>
        <w:gridCol w:w="1450"/>
        <w:gridCol w:w="1560"/>
      </w:tblGrid>
      <w:tr>
        <w:trPr>
          <w:tblHeader/>
        </w:trPr>
        <w:tc>
          <w:tcPr>
            <w:tcW w:w="869" w:type="dxa"/>
            <w:shd w:val="clear" w:color="auto" w:fill="F2F2F2"/>
          </w:tcPr>
          <w:p>
            <w:pPr/>
            <w:r>
              <w:t xml:space="preserve">Passo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Tela</w:t>
            </w:r>
          </w:p>
        </w:tc>
        <w:tc>
          <w:tcPr>
            <w:tcW w:w="1550" w:type="dxa"/>
            <w:shd w:val="clear" w:color="auto" w:fill="F2F2F2"/>
          </w:tcPr>
          <w:p>
            <w:pPr/>
            <w:r>
              <w:t xml:space="preserve">Ação do usuário</w:t>
            </w:r>
          </w:p>
        </w:tc>
        <w:tc>
          <w:tcPr>
            <w:tcW w:w="2666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  <w:tc>
          <w:tcPr>
            <w:tcW w:w="1450" w:type="dxa"/>
            <w:shd w:val="clear" w:color="auto" w:fill="F2F2F2"/>
          </w:tcPr>
          <w:p>
            <w:pPr/>
            <w:r>
              <w:t xml:space="preserve">Referência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Homologação</w:t>
            </w:r>
          </w:p>
        </w:tc>
      </w:tr>
      <w:tr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1265" w:type="dxa"/>
          </w:tcPr>
          <w:p>
            <w:pPr/>
            <w:r>
              <w:t xml:space="preserve">Resultado do cenário</w:t>
            </w:r>
          </w:p>
        </w:tc>
        <w:tc>
          <w:tcPr>
            <w:tcW w:w="1550" w:type="dxa"/>
          </w:tcPr>
          <w:p>
            <w:pPr/>
            <w:r>
              <w:t xml:space="preserve">O autor compartilha com usuários ou com um perfil do seu ente</w:t>
            </w:r>
          </w:p>
        </w:tc>
        <w:tc>
          <w:tcPr>
            <w:tcW w:w="2666" w:type="dxa"/>
          </w:tcPr>
          <w:p>
            <w:pPr/>
            <w:r>
              <w:t xml:space="preserve">Compartilhamento efetivado; bloqueado, com o motivo, se a abrangência do destinatário não contiver a do cenário</w:t>
            </w:r>
          </w:p>
        </w:tc>
        <w:tc>
          <w:tcPr>
            <w:tcW w:w="1450" w:type="dxa"/>
          </w:tcPr>
          <w:p>
            <w:pPr/>
            <w:r>
              <w:t xml:space="preserve">Cenários, RF11 e RF14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2</w:t>
            </w:r>
          </w:p>
        </w:tc>
        <w:tc>
          <w:tcPr>
            <w:tcW w:w="1265" w:type="dxa"/>
          </w:tcPr>
          <w:p>
            <w:pPr/>
            <w:r>
              <w:t xml:space="preserve">Central de avisos</w:t>
            </w:r>
          </w:p>
        </w:tc>
        <w:tc>
          <w:tcPr>
            <w:tcW w:w="1550" w:type="dxa"/>
          </w:tcPr>
          <w:p>
            <w:pPr/>
            <w:r>
              <w:t xml:space="preserve">O destinatário abre o aviso de cenário recebido</w:t>
            </w:r>
          </w:p>
        </w:tc>
        <w:tc>
          <w:tcPr>
            <w:tcW w:w="2666" w:type="dxa"/>
          </w:tcPr>
          <w:p>
            <w:pPr/>
            <w:r>
              <w:t xml:space="preserve">Vê autor e data do compartilhamento; pode visualizar, comparar, exportar e duplicar, mas não alterar</w:t>
            </w:r>
          </w:p>
        </w:tc>
        <w:tc>
          <w:tcPr>
            <w:tcW w:w="1450" w:type="dxa"/>
          </w:tcPr>
          <w:p>
            <w:pPr/>
            <w:r>
              <w:t xml:space="preserve">Cenários, RF13 e RN08; Navegação, 7.4</w:t>
            </w:r>
          </w:p>
        </w:tc>
        <w:tc>
          <w:tcPr>
            <w:tcW w:w="1560" w:type="dxa"/>
          </w:tcPr>
          <w:p>
            <w:pPr/>
          </w:p>
        </w:tc>
      </w:tr>
    </w:tbl>
    <w:p>
      <w:pPr>
        <w:pStyle w:val="Heading3"/>
      </w:pPr>
      <w:r>
        <w:t xml:space="preserve">6.3 Comparar cenários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9"/>
        <w:gridCol w:w="1549"/>
        <w:gridCol w:w="1510"/>
        <w:gridCol w:w="2515"/>
        <w:gridCol w:w="1357"/>
        <w:gridCol w:w="1560"/>
      </w:tblGrid>
      <w:tr>
        <w:trPr>
          <w:tblHeader/>
        </w:trPr>
        <w:tc>
          <w:tcPr>
            <w:tcW w:w="869" w:type="dxa"/>
            <w:shd w:val="clear" w:color="auto" w:fill="F2F2F2"/>
          </w:tcPr>
          <w:p>
            <w:pPr/>
            <w:r>
              <w:t xml:space="preserve">Passo</w:t>
            </w:r>
          </w:p>
        </w:tc>
        <w:tc>
          <w:tcPr>
            <w:tcW w:w="1549" w:type="dxa"/>
            <w:shd w:val="clear" w:color="auto" w:fill="F2F2F2"/>
          </w:tcPr>
          <w:p>
            <w:pPr/>
            <w:r>
              <w:t xml:space="preserve">Tela</w:t>
            </w:r>
          </w:p>
        </w:tc>
        <w:tc>
          <w:tcPr>
            <w:tcW w:w="1510" w:type="dxa"/>
            <w:shd w:val="clear" w:color="auto" w:fill="F2F2F2"/>
          </w:tcPr>
          <w:p>
            <w:pPr/>
            <w:r>
              <w:t xml:space="preserve">Ação do usuário</w:t>
            </w:r>
          </w:p>
        </w:tc>
        <w:tc>
          <w:tcPr>
            <w:tcW w:w="2515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  <w:tc>
          <w:tcPr>
            <w:tcW w:w="1357" w:type="dxa"/>
            <w:shd w:val="clear" w:color="auto" w:fill="F2F2F2"/>
          </w:tcPr>
          <w:p>
            <w:pPr/>
            <w:r>
              <w:t xml:space="preserve">Referência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Homologação</w:t>
            </w:r>
          </w:p>
        </w:tc>
      </w:tr>
      <w:tr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1549" w:type="dxa"/>
          </w:tcPr>
          <w:p>
            <w:pPr/>
            <w:r>
              <w:t xml:space="preserve">Resultado ou Lista de Simulações</w:t>
            </w:r>
          </w:p>
        </w:tc>
        <w:tc>
          <w:tcPr>
            <w:tcW w:w="1510" w:type="dxa"/>
          </w:tcPr>
          <w:p>
            <w:pPr/>
            <w:r>
              <w:t xml:space="preserve">Clica em </w:t>
            </w:r>
            <w:r>
              <w:rPr>
                <w:b/>
              </w:rPr>
              <w:t xml:space="preserve">Comparar</w:t>
            </w:r>
            <w:r>
              <w:t xml:space="preserve"> e seleciona de 1 a 3 cenários salvos</w:t>
            </w:r>
          </w:p>
        </w:tc>
        <w:tc>
          <w:tcPr>
            <w:tcW w:w="2515" w:type="dxa"/>
          </w:tcPr>
          <w:p>
            <w:pPr/>
            <w:r>
              <w:t xml:space="preserve">Aceita até 3 cenários além do cenário de referência</w:t>
            </w:r>
          </w:p>
        </w:tc>
        <w:tc>
          <w:tcPr>
            <w:tcW w:w="1357" w:type="dxa"/>
          </w:tcPr>
          <w:p>
            <w:pPr/>
            <w:r>
              <w:t xml:space="preserve">Cenários, RF19 e RF20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2</w:t>
            </w:r>
          </w:p>
        </w:tc>
        <w:tc>
          <w:tcPr>
            <w:tcW w:w="1549" w:type="dxa"/>
          </w:tcPr>
          <w:p>
            <w:pPr/>
            <w:r>
              <w:t xml:space="preserve">Comparativo</w:t>
            </w:r>
          </w:p>
        </w:tc>
        <w:tc>
          <w:tcPr>
            <w:tcW w:w="1510" w:type="dxa"/>
          </w:tcPr>
          <w:p>
            <w:pPr/>
            <w:r>
              <w:t xml:space="preserve">Confirma a seleção</w:t>
            </w:r>
          </w:p>
        </w:tc>
        <w:tc>
          <w:tcPr>
            <w:tcW w:w="2515" w:type="dxa"/>
          </w:tcPr>
          <w:p>
            <w:pPr/>
            <w:r>
              <w:t xml:space="preserve">Valida programa, data da BM, folha, período de projeção e abrangência; havendo divergência, impede o comparativo e diz qual atributo divergiu; cenário não reproduzível é aceito, com sinalização</w:t>
            </w:r>
          </w:p>
        </w:tc>
        <w:tc>
          <w:tcPr>
            <w:tcW w:w="1357" w:type="dxa"/>
          </w:tcPr>
          <w:p>
            <w:pPr/>
            <w:r>
              <w:t xml:space="preserve">Cenários, RF21 e RN05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1549" w:type="dxa"/>
          </w:tcPr>
          <w:p>
            <w:pPr/>
            <w:r>
              <w:t xml:space="preserve">Comparativo</w:t>
            </w:r>
          </w:p>
        </w:tc>
        <w:tc>
          <w:tcPr>
            <w:tcW w:w="1510" w:type="dxa"/>
          </w:tcPr>
          <w:p>
            <w:pPr/>
            <w:r>
              <w:t xml:space="preserve">Analisa o comparativo</w:t>
            </w:r>
          </w:p>
        </w:tc>
        <w:tc>
          <w:tcPr>
            <w:tcW w:w="2515" w:type="dxa"/>
          </w:tcPr>
          <w:p>
            <w:pPr/>
            <w:r>
              <w:t xml:space="preserve">Colunas Referência, Cenário A, Δ A, B, Δ B, C, Δ C nos blocos de parâmetros, impacto orçamentário, cobertura, eficiência e perfil do público; ranking do melhor cenário por critério, sem nota global</w:t>
            </w:r>
          </w:p>
        </w:tc>
        <w:tc>
          <w:tcPr>
            <w:tcW w:w="1357" w:type="dxa"/>
          </w:tcPr>
          <w:p>
            <w:pPr/>
            <w:r>
              <w:t xml:space="preserve">Cenários, RF22 a RF25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4</w:t>
            </w:r>
          </w:p>
        </w:tc>
        <w:tc>
          <w:tcPr>
            <w:tcW w:w="1549" w:type="dxa"/>
          </w:tcPr>
          <w:p>
            <w:pPr/>
            <w:r>
              <w:t xml:space="preserve">Comparativo</w:t>
            </w:r>
          </w:p>
        </w:tc>
        <w:tc>
          <w:tcPr>
            <w:tcW w:w="1510" w:type="dxa"/>
          </w:tcPr>
          <w:p>
            <w:pPr/>
            <w:r>
              <w:t xml:space="preserve">Salva o comparativo</w:t>
            </w:r>
          </w:p>
        </w:tc>
        <w:tc>
          <w:tcPr>
            <w:tcW w:w="2515" w:type="dxa"/>
          </w:tcPr>
          <w:p>
            <w:pPr/>
            <w:r>
              <w:t xml:space="preserve">Comparativo nomeado e recuperável, com a identificação dos cenários usados</w:t>
            </w:r>
          </w:p>
        </w:tc>
        <w:tc>
          <w:tcPr>
            <w:tcW w:w="1357" w:type="dxa"/>
          </w:tcPr>
          <w:p>
            <w:pPr/>
            <w:r>
              <w:t xml:space="preserve">Cenários, RF26</w:t>
            </w:r>
          </w:p>
        </w:tc>
        <w:tc>
          <w:tcPr>
            <w:tcW w:w="1560" w:type="dxa"/>
          </w:tcPr>
          <w:p>
            <w:pPr/>
          </w:p>
        </w:tc>
      </w:tr>
    </w:tbl>
    <w:p>
      <w:pPr>
        <w:pStyle w:val="Heading3"/>
      </w:pPr>
      <w:r>
        <w:t xml:space="preserve">6.4 Exportar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9"/>
        <w:gridCol w:w="1549"/>
        <w:gridCol w:w="1372"/>
        <w:gridCol w:w="2450"/>
        <w:gridCol w:w="1560"/>
        <w:gridCol w:w="1560"/>
      </w:tblGrid>
      <w:tr>
        <w:trPr>
          <w:tblHeader/>
        </w:trPr>
        <w:tc>
          <w:tcPr>
            <w:tcW w:w="869" w:type="dxa"/>
            <w:shd w:val="clear" w:color="auto" w:fill="F2F2F2"/>
          </w:tcPr>
          <w:p>
            <w:pPr/>
            <w:r>
              <w:t xml:space="preserve">Passo</w:t>
            </w:r>
          </w:p>
        </w:tc>
        <w:tc>
          <w:tcPr>
            <w:tcW w:w="1549" w:type="dxa"/>
            <w:shd w:val="clear" w:color="auto" w:fill="F2F2F2"/>
          </w:tcPr>
          <w:p>
            <w:pPr/>
            <w:r>
              <w:t xml:space="preserve">Tela</w:t>
            </w:r>
          </w:p>
        </w:tc>
        <w:tc>
          <w:tcPr>
            <w:tcW w:w="1372" w:type="dxa"/>
            <w:shd w:val="clear" w:color="auto" w:fill="F2F2F2"/>
          </w:tcPr>
          <w:p>
            <w:pPr/>
            <w:r>
              <w:t xml:space="preserve">Ação do usuário</w:t>
            </w:r>
          </w:p>
        </w:tc>
        <w:tc>
          <w:tcPr>
            <w:tcW w:w="2450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Referência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Homologação</w:t>
            </w:r>
          </w:p>
        </w:tc>
      </w:tr>
      <w:tr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1549" w:type="dxa"/>
          </w:tcPr>
          <w:p>
            <w:pPr/>
            <w:r>
              <w:t xml:space="preserve">Resultado ou Comparativo</w:t>
            </w:r>
          </w:p>
        </w:tc>
        <w:tc>
          <w:tcPr>
            <w:tcW w:w="1372" w:type="dxa"/>
          </w:tcPr>
          <w:p>
            <w:pPr/>
            <w:r>
              <w:t xml:space="preserve">Clica em </w:t>
            </w:r>
            <w:r>
              <w:rPr>
                <w:b/>
              </w:rPr>
              <w:t xml:space="preserve">PDF</w:t>
            </w:r>
            <w:r>
              <w:t xml:space="preserve"> (ou escolhe CSV ou Excel)</w:t>
            </w:r>
          </w:p>
        </w:tc>
        <w:tc>
          <w:tcPr>
            <w:tcW w:w="2450" w:type="dxa"/>
          </w:tcPr>
          <w:p>
            <w:pPr/>
            <w:r>
              <w:t xml:space="preserve">A exportação roda em segundo plano, sem travar a sessão</w:t>
            </w:r>
          </w:p>
        </w:tc>
        <w:tc>
          <w:tcPr>
            <w:tcW w:w="1560" w:type="dxa"/>
          </w:tcPr>
          <w:p>
            <w:pPr/>
            <w:r>
              <w:t xml:space="preserve">Cenários, RF27; STRY00071242, RF12; BFF Simulação, RF30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869" w:type="dxa"/>
          </w:tcPr>
          <w:p>
            <w:pPr/>
            <w:r>
              <w:t xml:space="preserve">2</w:t>
            </w:r>
          </w:p>
        </w:tc>
        <w:tc>
          <w:tcPr>
            <w:tcW w:w="1549" w:type="dxa"/>
          </w:tcPr>
          <w:p>
            <w:pPr/>
            <w:r>
              <w:t xml:space="preserve">Central de avisos</w:t>
            </w:r>
          </w:p>
        </w:tc>
        <w:tc>
          <w:tcPr>
            <w:tcW w:w="1372" w:type="dxa"/>
          </w:tcPr>
          <w:p>
            <w:pPr/>
            <w:r>
              <w:t xml:space="preserve">Abre o aviso de exportação concluída</w:t>
            </w:r>
          </w:p>
        </w:tc>
        <w:tc>
          <w:tcPr>
            <w:tcW w:w="2450" w:type="dxa"/>
          </w:tcPr>
          <w:p>
            <w:pPr/>
            <w:r>
              <w:t xml:space="preserve">Baixa o arquivo, que traz identificador do cenário, programa, bases e datas, filtros, parâmetros, regras, resultados, indicação de resultado congelado ou recalculado, quem gerou, data e hora, classificação da informação e o aviso de que os valores são projeção</w:t>
            </w:r>
          </w:p>
        </w:tc>
        <w:tc>
          <w:tcPr>
            <w:tcW w:w="1560" w:type="dxa"/>
          </w:tcPr>
          <w:p>
            <w:pPr/>
            <w:r>
              <w:t xml:space="preserve">Navegação, RF25; Cenários, RF28 a RF30</w:t>
            </w:r>
          </w:p>
        </w:tc>
        <w:tc>
          <w:tcPr>
            <w:tcW w:w="1560" w:type="dxa"/>
          </w:tcPr>
          <w:p>
            <w:pPr/>
          </w:p>
        </w:tc>
      </w:tr>
    </w:tbl>
    <w:p>
      <w:pPr>
        <w:pStyle w:val="Heading3"/>
      </w:pPr>
      <w:r>
        <w:t xml:space="preserve">6.5 Interrupções durante o trabalho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52"/>
        <w:gridCol w:w="4298"/>
        <w:gridCol w:w="1456"/>
        <w:gridCol w:w="1654"/>
      </w:tblGrid>
      <w:tr>
        <w:trPr>
          <w:tblHeader/>
        </w:trPr>
        <w:tc>
          <w:tcPr>
            <w:tcW w:w="1952" w:type="dxa"/>
            <w:shd w:val="clear" w:color="auto" w:fill="F2F2F2"/>
          </w:tcPr>
          <w:p>
            <w:pPr/>
            <w:r>
              <w:t xml:space="preserve">Situação</w:t>
            </w:r>
          </w:p>
        </w:tc>
        <w:tc>
          <w:tcPr>
            <w:tcW w:w="4298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  <w:tc>
          <w:tcPr>
            <w:tcW w:w="1456" w:type="dxa"/>
            <w:shd w:val="clear" w:color="auto" w:fill="F2F2F2"/>
          </w:tcPr>
          <w:p>
            <w:pPr/>
            <w:r>
              <w:t xml:space="preserve">Referência</w:t>
            </w:r>
          </w:p>
        </w:tc>
        <w:tc>
          <w:tcPr>
            <w:tcW w:w="1654" w:type="dxa"/>
            <w:shd w:val="clear" w:color="auto" w:fill="F2F2F2"/>
          </w:tcPr>
          <w:p>
            <w:pPr/>
            <w:r>
              <w:t xml:space="preserve">Homologação</w:t>
            </w:r>
          </w:p>
        </w:tc>
      </w:tr>
      <w:tr>
        <w:tc>
          <w:tcPr>
            <w:tcW w:w="1952" w:type="dxa"/>
          </w:tcPr>
          <w:p>
            <w:pPr/>
            <w:r>
              <w:t xml:space="preserve">Sai do Simulador com alterações não salvas</w:t>
            </w:r>
          </w:p>
        </w:tc>
        <w:tc>
          <w:tcPr>
            <w:tcW w:w="4298" w:type="dxa"/>
          </w:tcPr>
          <w:p>
            <w:pPr/>
            <w:r>
              <w:t xml:space="preserve">Advertência com as opções salvar, descartar ou permanecer</w:t>
            </w:r>
          </w:p>
        </w:tc>
        <w:tc>
          <w:tcPr>
            <w:tcW w:w="1456" w:type="dxa"/>
          </w:tcPr>
          <w:p>
            <w:pPr/>
            <w:r>
              <w:t xml:space="preserve">Navegação, RF16</w:t>
            </w:r>
          </w:p>
        </w:tc>
        <w:tc>
          <w:tcPr>
            <w:tcW w:w="1654" w:type="dxa"/>
          </w:tcPr>
          <w:p>
            <w:pPr/>
          </w:p>
        </w:tc>
      </w:tr>
      <w:tr>
        <w:tc>
          <w:tcPr>
            <w:tcW w:w="1952" w:type="dxa"/>
          </w:tcPr>
          <w:p>
            <w:pPr/>
            <w:r>
              <w:t xml:space="preserve">Navega para outro módulo no meio da simulação</w:t>
            </w:r>
          </w:p>
        </w:tc>
        <w:tc>
          <w:tcPr>
            <w:tcW w:w="4298" w:type="dxa"/>
          </w:tcPr>
          <w:p>
            <w:pPr/>
            <w:r>
              <w:t xml:space="preserve">Ao voltar, a simulação está no mesmo estado</w:t>
            </w:r>
          </w:p>
        </w:tc>
        <w:tc>
          <w:tcPr>
            <w:tcW w:w="1456" w:type="dxa"/>
          </w:tcPr>
          <w:p>
            <w:pPr/>
            <w:r>
              <w:t xml:space="preserve">Navegação, RF15</w:t>
            </w:r>
          </w:p>
        </w:tc>
        <w:tc>
          <w:tcPr>
            <w:tcW w:w="1654" w:type="dxa"/>
          </w:tcPr>
          <w:p>
            <w:pPr/>
          </w:p>
        </w:tc>
      </w:tr>
      <w:tr>
        <w:tc>
          <w:tcPr>
            <w:tcW w:w="1952" w:type="dxa"/>
          </w:tcPr>
          <w:p>
            <w:pPr/>
            <w:r>
              <w:t xml:space="preserve">Sessão prestes a expirar por inatividade</w:t>
            </w:r>
          </w:p>
        </w:tc>
        <w:tc>
          <w:tcPr>
            <w:tcW w:w="4298" w:type="dxa"/>
          </w:tcPr>
          <w:p>
            <w:pPr/>
            <w:r>
              <w:t xml:space="preserve">Sessão da plataforma: advertência prévia, com renovação sem perda do trabalho. Sessão de simulação expirada: nova apuração da linha de base, com os parâmetros preservados</w:t>
            </w:r>
          </w:p>
        </w:tc>
        <w:tc>
          <w:tcPr>
            <w:tcW w:w="1456" w:type="dxa"/>
          </w:tcPr>
          <w:p>
            <w:pPr/>
            <w:r>
              <w:t xml:space="preserve">SSO, RF18; Navegação, RF29; BFF Simulação, RF12</w:t>
            </w:r>
          </w:p>
        </w:tc>
        <w:tc>
          <w:tcPr>
            <w:tcW w:w="1654" w:type="dxa"/>
          </w:tcPr>
          <w:p>
            <w:pPr/>
          </w:p>
        </w:tc>
      </w:tr>
      <w:tr>
        <w:tc>
          <w:tcPr>
            <w:tcW w:w="1952" w:type="dxa"/>
          </w:tcPr>
          <w:p>
            <w:pPr/>
            <w:r>
              <w:t xml:space="preserve">Nova carga de base durante a simulação</w:t>
            </w:r>
          </w:p>
        </w:tc>
        <w:tc>
          <w:tcPr>
            <w:tcW w:w="4298" w:type="dxa"/>
          </w:tcPr>
          <w:p>
            <w:pPr/>
            <w:r>
              <w:t xml:space="preserve">Sessão invalidada com aviso do motivo; parâmetros preservados para nova apuração</w:t>
            </w:r>
          </w:p>
        </w:tc>
        <w:tc>
          <w:tcPr>
            <w:tcW w:w="1456" w:type="dxa"/>
          </w:tcPr>
          <w:p>
            <w:pPr/>
            <w:r>
              <w:t xml:space="preserve">BFF Simulação, RF31</w:t>
            </w:r>
          </w:p>
        </w:tc>
        <w:tc>
          <w:tcPr>
            <w:tcW w:w="1654" w:type="dxa"/>
          </w:tcPr>
          <w:p>
            <w:pPr/>
          </w:p>
        </w:tc>
      </w:tr>
      <w:tr>
        <w:tc>
          <w:tcPr>
            <w:tcW w:w="1952" w:type="dxa"/>
          </w:tcPr>
          <w:p>
            <w:pPr/>
            <w:r>
              <w:t xml:space="preserve">Acesso revogado durante a sessão</w:t>
            </w:r>
          </w:p>
        </w:tc>
        <w:tc>
          <w:tcPr>
            <w:tcW w:w="4298" w:type="dxa"/>
          </w:tcPr>
          <w:p>
            <w:pPr/>
            <w:r>
              <w:t xml:space="preserve">Sessão encerrada ou reduzida na hora, com aviso ao usuário</w:t>
            </w:r>
          </w:p>
        </w:tc>
        <w:tc>
          <w:tcPr>
            <w:tcW w:w="1456" w:type="dxa"/>
          </w:tcPr>
          <w:p>
            <w:pPr/>
            <w:r>
              <w:t xml:space="preserve">Navegação, RF31</w:t>
            </w:r>
          </w:p>
        </w:tc>
        <w:tc>
          <w:tcPr>
            <w:tcW w:w="1654" w:type="dxa"/>
          </w:tcPr>
          <w:p>
            <w:pPr/>
          </w:p>
        </w:tc>
      </w:tr>
      <w:tr>
        <w:tc>
          <w:tcPr>
            <w:tcW w:w="1952" w:type="dxa"/>
          </w:tcPr>
          <w:p>
            <w:pPr/>
            <w:r>
              <w:t xml:space="preserve">Encerra a sessão</w:t>
            </w:r>
          </w:p>
        </w:tc>
        <w:tc>
          <w:tcPr>
            <w:tcW w:w="4298" w:type="dxa"/>
          </w:tcPr>
          <w:p>
            <w:pPr/>
            <w:r>
              <w:t xml:space="preserve">Logout em qualquer módulo, com aviso de trabalho não salvo; encerra também no provedor de identidade</w:t>
            </w:r>
          </w:p>
        </w:tc>
        <w:tc>
          <w:tcPr>
            <w:tcW w:w="1456" w:type="dxa"/>
          </w:tcPr>
          <w:p>
            <w:pPr/>
            <w:r>
              <w:t xml:space="preserve">SSO, RF24 e RF25</w:t>
            </w:r>
          </w:p>
        </w:tc>
        <w:tc>
          <w:tcPr>
            <w:tcW w:w="1654" w:type="dxa"/>
          </w:tcPr>
          <w:p>
            <w:pPr/>
          </w:p>
        </w:tc>
      </w:tr>
    </w:tbl>
    <w:p>
      <w:pPr>
        <w:pStyle w:val="Heading2"/>
      </w:pPr>
      <w:r>
        <w:t xml:space="preserve">7. Lacunas identificadas e pontos para validação</w:t>
      </w:r>
    </w:p>
    <w:p>
      <w:pPr/>
      <w:r>
        <w:t xml:space="preserve">O confronto entre o protótipo e as HUs mostrou doze pontos que precisam de decisão da Caixa ou de ajuste no protótipo. Quatro deles (L1, L3, L9 e L10) bloqueiam a versão final da jornada.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412"/>
        <w:gridCol w:w="1621"/>
        <w:gridCol w:w="3262"/>
        <w:gridCol w:w="1345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412" w:type="dxa"/>
            <w:shd w:val="clear" w:color="auto" w:fill="F2F2F2"/>
          </w:tcPr>
          <w:p>
            <w:pPr/>
            <w:r>
              <w:t xml:space="preserve">Lacuna</w:t>
            </w:r>
          </w:p>
        </w:tc>
        <w:tc>
          <w:tcPr>
            <w:tcW w:w="1621" w:type="dxa"/>
            <w:shd w:val="clear" w:color="auto" w:fill="F2F2F2"/>
          </w:tcPr>
          <w:p>
            <w:pPr/>
            <w:r>
              <w:t xml:space="preserve">Onde aparece</w:t>
            </w:r>
          </w:p>
        </w:tc>
        <w:tc>
          <w:tcPr>
            <w:tcW w:w="3262" w:type="dxa"/>
            <w:shd w:val="clear" w:color="auto" w:fill="F2F2F2"/>
          </w:tcPr>
          <w:p>
            <w:pPr/>
            <w:r>
              <w:t xml:space="preserve">O que dizem as HUs</w:t>
            </w:r>
          </w:p>
        </w:tc>
        <w:tc>
          <w:tcPr>
            <w:tcW w:w="1345" w:type="dxa"/>
            <w:shd w:val="clear" w:color="auto" w:fill="F2F2F2"/>
          </w:tcPr>
          <w:p>
            <w:pPr/>
            <w:r>
              <w:t xml:space="preserve">Quem responde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L1</w:t>
            </w:r>
          </w:p>
        </w:tc>
        <w:tc>
          <w:tcPr>
            <w:tcW w:w="2412" w:type="dxa"/>
          </w:tcPr>
          <w:p>
            <w:pPr/>
            <w:r>
              <w:t xml:space="preserve">Não há login, seleção de vínculo, termos de uso nem tela Início; o protótipo abre direto como “Gestor Operacional”</w:t>
            </w:r>
          </w:p>
        </w:tc>
        <w:tc>
          <w:tcPr>
            <w:tcW w:w="1621" w:type="dxa"/>
          </w:tcPr>
          <w:p>
            <w:pPr/>
            <w:r>
              <w:t xml:space="preserve">Entrada do sistema</w:t>
            </w:r>
          </w:p>
        </w:tc>
        <w:tc>
          <w:tcPr>
            <w:tcW w:w="3262" w:type="dxa"/>
          </w:tcPr>
          <w:p>
            <w:pPr/>
            <w:r>
              <w:t xml:space="preserve">SSO define o fluxo de entrada em 10 etapas e a Navegação define a tela Início; “Gestor Operacional” e “Caixa Master” não existem nas HUs, que já usam três vocabulários para perfis</w:t>
            </w:r>
          </w:p>
        </w:tc>
        <w:tc>
          <w:tcPr>
            <w:tcW w:w="1345" w:type="dxa"/>
          </w:tcPr>
          <w:p>
            <w:pPr/>
            <w:r>
              <w:t xml:space="preserve">PO negocial (Rafael) e João (UX)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L2</w:t>
            </w:r>
          </w:p>
        </w:tc>
        <w:tc>
          <w:tcPr>
            <w:tcW w:w="2412" w:type="dxa"/>
          </w:tcPr>
          <w:p>
            <w:pPr/>
            <w:r>
              <w:t xml:space="preserve">Botões sem destino: Salvar Simulação, Comparar, PDF e Voltar para Simulações; o item Início do menu também não navega</w:t>
            </w:r>
          </w:p>
        </w:tc>
        <w:tc>
          <w:tcPr>
            <w:tcW w:w="1621" w:type="dxa"/>
          </w:tcPr>
          <w:p>
            <w:pPr/>
            <w:r>
              <w:t xml:space="preserve">Etapa 3 e menu lateral</w:t>
            </w:r>
          </w:p>
        </w:tc>
        <w:tc>
          <w:tcPr>
            <w:tcW w:w="3262" w:type="dxa"/>
          </w:tcPr>
          <w:p>
            <w:pPr/>
            <w:r>
              <w:t xml:space="preserve">Salvamento, comparação e exportação estão especificados no documento de Cenários</w:t>
            </w:r>
          </w:p>
        </w:tc>
        <w:tc>
          <w:tcPr>
            <w:tcW w:w="1345" w:type="dxa"/>
          </w:tcPr>
          <w:p>
            <w:pPr/>
            <w:r>
              <w:t xml:space="preserve">João (UX) e AWS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L3</w:t>
            </w:r>
          </w:p>
        </w:tc>
        <w:tc>
          <w:tcPr>
            <w:tcW w:w="2412" w:type="dxa"/>
          </w:tcPr>
          <w:p>
            <w:pPr/>
            <w:r>
              <w:t xml:space="preserve">O protótipo trata a simulação como execução em segundo plano, com situações Em processamento, Concluída e Com erro e o botão Reexecutar</w:t>
            </w:r>
          </w:p>
        </w:tc>
        <w:tc>
          <w:tcPr>
            <w:tcW w:w="1621" w:type="dxa"/>
          </w:tcPr>
          <w:p>
            <w:pPr/>
            <w:r>
              <w:t xml:space="preserve">Lista de Simulações</w:t>
            </w:r>
          </w:p>
        </w:tc>
        <w:tc>
          <w:tcPr>
            <w:tcW w:w="3262" w:type="dxa"/>
          </w:tcPr>
          <w:p>
            <w:pPr/>
            <w:r>
              <w:t xml:space="preserve">O BFF prevê apuração na hora, com indicação de progresso quando demorar; a apuração da linha de base pode ser assíncrona quando passar do tempo de resposta síncrono, o recálculo é imediato e a exportação é sempre assíncrona. As situações do cenário são Em edição, Salvo, Compartilhado, Não reproduzível e Excluído, e reexecutar significa recalcular um cenário salvo sobre a base vigente</w:t>
            </w:r>
          </w:p>
        </w:tc>
        <w:tc>
          <w:tcPr>
            <w:tcW w:w="1345" w:type="dxa"/>
          </w:tcPr>
          <w:p>
            <w:pPr/>
            <w:r>
              <w:t xml:space="preserve">PO negocial e AWS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L4</w:t>
            </w:r>
          </w:p>
        </w:tc>
        <w:tc>
          <w:tcPr>
            <w:tcW w:w="2412" w:type="dxa"/>
          </w:tcPr>
          <w:p>
            <w:pPr/>
            <w:r>
              <w:t xml:space="preserve">Menu com Messages, Calendar e Settings, em inglês</w:t>
            </w:r>
          </w:p>
        </w:tc>
        <w:tc>
          <w:tcPr>
            <w:tcW w:w="1621" w:type="dxa"/>
          </w:tcPr>
          <w:p>
            <w:pPr/>
            <w:r>
              <w:t xml:space="preserve">Menu lateral</w:t>
            </w:r>
          </w:p>
        </w:tc>
        <w:tc>
          <w:tcPr>
            <w:tcW w:w="3262" w:type="dxa"/>
          </w:tcPr>
          <w:p>
            <w:pPr/>
            <w:r>
              <w:t xml:space="preserve">Nenhum desses módulos consta do inventário da Navegação; faltam Cenários e comparativos e Assistente de IA</w:t>
            </w:r>
          </w:p>
        </w:tc>
        <w:tc>
          <w:tcPr>
            <w:tcW w:w="1345" w:type="dxa"/>
          </w:tcPr>
          <w:p>
            <w:pPr/>
            <w:r>
              <w:t xml:space="preserve">João (UX)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L5</w:t>
            </w:r>
          </w:p>
        </w:tc>
        <w:tc>
          <w:tcPr>
            <w:tcW w:w="2412" w:type="dxa"/>
          </w:tcPr>
          <w:p>
            <w:pPr/>
            <w:r>
              <w:t xml:space="preserve">O parâmetro ELG-01 se chama “Valor da linha da pobreza”, mostra R$ 706 e usa escala em meses (0 a 60)</w:t>
            </w:r>
          </w:p>
        </w:tc>
        <w:tc>
          <w:tcPr>
            <w:tcW w:w="1621" w:type="dxa"/>
          </w:tcPr>
          <w:p>
            <w:pPr/>
            <w:r>
              <w:t xml:space="preserve">Etapa 2 – Elegibilidade e Renda</w:t>
            </w:r>
          </w:p>
        </w:tc>
        <w:tc>
          <w:tcPr>
            <w:tcW w:w="3262" w:type="dxa"/>
          </w:tcPr>
          <w:p>
            <w:pPr/>
            <w:r>
              <w:t xml:space="preserve">A linha de pobreza vigente é R$ 218,00; R$ 706,00 é a renda máxima para permanência, da Regra de Proteção</w:t>
            </w:r>
          </w:p>
        </w:tc>
        <w:tc>
          <w:tcPr>
            <w:tcW w:w="1345" w:type="dxa"/>
          </w:tcPr>
          <w:p>
            <w:pPr/>
            <w:r>
              <w:t xml:space="preserve">João (UX)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L6</w:t>
            </w:r>
          </w:p>
        </w:tc>
        <w:tc>
          <w:tcPr>
            <w:tcW w:w="2412" w:type="dxa"/>
          </w:tcPr>
          <w:p>
            <w:pPr/>
            <w:r>
              <w:t xml:space="preserve">Datas divergentes no resultado: título 02/09/2026 e identificador 20/08/2026</w:t>
            </w:r>
          </w:p>
        </w:tc>
        <w:tc>
          <w:tcPr>
            <w:tcW w:w="1621" w:type="dxa"/>
          </w:tcPr>
          <w:p>
            <w:pPr/>
            <w:r>
              <w:t xml:space="preserve">Etapa 3 – Resultado</w:t>
            </w:r>
          </w:p>
        </w:tc>
        <w:tc>
          <w:tcPr>
            <w:tcW w:w="3262" w:type="dxa"/>
          </w:tcPr>
          <w:p>
            <w:pPr/>
            <w:r>
              <w:t xml:space="preserve">O cenário guarda data e hora de criação e as datas das bases usadas</w:t>
            </w:r>
          </w:p>
        </w:tc>
        <w:tc>
          <w:tcPr>
            <w:tcW w:w="1345" w:type="dxa"/>
          </w:tcPr>
          <w:p>
            <w:pPr/>
            <w:r>
              <w:t xml:space="preserve">João (UX)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L7</w:t>
            </w:r>
          </w:p>
        </w:tc>
        <w:tc>
          <w:tcPr>
            <w:tcW w:w="2412" w:type="dxa"/>
          </w:tcPr>
          <w:p>
            <w:pPr/>
            <w:r>
              <w:t xml:space="preserve">A trilha de navegação mostra “Motor de Regras” dentro do Simulador em todas as telas</w:t>
            </w:r>
          </w:p>
        </w:tc>
        <w:tc>
          <w:tcPr>
            <w:tcW w:w="1621" w:type="dxa"/>
          </w:tcPr>
          <w:p>
            <w:pPr/>
            <w:r>
              <w:t xml:space="preserve">Cabeçalho</w:t>
            </w:r>
          </w:p>
        </w:tc>
        <w:tc>
          <w:tcPr>
            <w:tcW w:w="3262" w:type="dxa"/>
          </w:tcPr>
          <w:p>
            <w:pPr/>
            <w:r>
              <w:t xml:space="preserve">A Navegação exige indicar sempre o módulo e o caminho percorrido</w:t>
            </w:r>
          </w:p>
        </w:tc>
        <w:tc>
          <w:tcPr>
            <w:tcW w:w="1345" w:type="dxa"/>
          </w:tcPr>
          <w:p>
            <w:pPr/>
            <w:r>
              <w:t xml:space="preserve">João (UX)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L8</w:t>
            </w:r>
          </w:p>
        </w:tc>
        <w:tc>
          <w:tcPr>
            <w:tcW w:w="2412" w:type="dxa"/>
          </w:tcPr>
          <w:p>
            <w:pPr/>
            <w:r>
              <w:t xml:space="preserve">A Etapa 1 não mostra os totalizadores da base nem a opção de aplicar o critério de elegibilidade, e a escolha do período de projeção não aparece em nenhuma etapa</w:t>
            </w:r>
          </w:p>
        </w:tc>
        <w:tc>
          <w:tcPr>
            <w:tcW w:w="1621" w:type="dxa"/>
          </w:tcPr>
          <w:p>
            <w:pPr/>
            <w:r>
              <w:t xml:space="preserve">Etapas 1 e 2</w:t>
            </w:r>
          </w:p>
        </w:tc>
        <w:tc>
          <w:tcPr>
            <w:tcW w:w="3262" w:type="dxa"/>
          </w:tcPr>
          <w:p>
            <w:pPr/>
            <w:r>
              <w:t xml:space="preserve">Os três itens são exigidos pela STRY00069681 (RF07, RF14 a RF17)</w:t>
            </w:r>
          </w:p>
        </w:tc>
        <w:tc>
          <w:tcPr>
            <w:tcW w:w="1345" w:type="dxa"/>
          </w:tcPr>
          <w:p>
            <w:pPr/>
            <w:r>
              <w:t xml:space="preserve">João (UX) e PO negocial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L9</w:t>
            </w:r>
          </w:p>
        </w:tc>
        <w:tc>
          <w:tcPr>
            <w:tcW w:w="2412" w:type="dxa"/>
          </w:tcPr>
          <w:p>
            <w:pPr/>
            <w:r>
              <w:t xml:space="preserve">O protótipo pede o botão Executar Simulação para ver o impacto</w:t>
            </w:r>
          </w:p>
        </w:tc>
        <w:tc>
          <w:tcPr>
            <w:tcW w:w="1621" w:type="dxa"/>
          </w:tcPr>
          <w:p>
            <w:pPr/>
            <w:r>
              <w:t xml:space="preserve">Etapa 2</w:t>
            </w:r>
          </w:p>
        </w:tc>
        <w:tc>
          <w:tcPr>
            <w:tcW w:w="3262" w:type="dxa"/>
          </w:tcPr>
          <w:p>
            <w:pPr/>
            <w:r>
              <w:t xml:space="preserve">As HUs pedem atualização automática a cada alteração; o BFF propõe linha de base pré-apurada para viabilizar isso, e o negócio ainda precisa decidir</w:t>
            </w:r>
          </w:p>
        </w:tc>
        <w:tc>
          <w:tcPr>
            <w:tcW w:w="1345" w:type="dxa"/>
          </w:tcPr>
          <w:p>
            <w:pPr/>
            <w:r>
              <w:t xml:space="preserve">PO negocial e arquitetura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L10</w:t>
            </w:r>
          </w:p>
        </w:tc>
        <w:tc>
          <w:tcPr>
            <w:tcW w:w="2412" w:type="dxa"/>
          </w:tcPr>
          <w:p>
            <w:pPr/>
            <w:r>
              <w:t xml:space="preserve">O critério ELG-04 é “Família unipessoal com visita domiciliar marcada”</w:t>
            </w:r>
          </w:p>
        </w:tc>
        <w:tc>
          <w:tcPr>
            <w:tcW w:w="1621" w:type="dxa"/>
          </w:tcPr>
          <w:p>
            <w:pPr/>
            <w:r>
              <w:t xml:space="preserve">Etapa 2 – Elegibilidade e Renda</w:t>
            </w:r>
          </w:p>
        </w:tc>
        <w:tc>
          <w:tcPr>
            <w:tcW w:w="3262" w:type="dxa"/>
          </w:tcPr>
          <w:p>
            <w:pPr/>
            <w:r>
              <w:t xml:space="preserve">Segue a HU consolidada; a STRY00070086 usa outro critério (GPTE, domicílio coletivo ou forma de coleta), e as duas HUs não se cruzam</w:t>
            </w:r>
          </w:p>
        </w:tc>
        <w:tc>
          <w:tcPr>
            <w:tcW w:w="1345" w:type="dxa"/>
          </w:tcPr>
          <w:p>
            <w:pPr/>
            <w:r>
              <w:t xml:space="preserve">PO negocial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L11</w:t>
            </w:r>
          </w:p>
        </w:tc>
        <w:tc>
          <w:tcPr>
            <w:tcW w:w="2412" w:type="dxa"/>
          </w:tcPr>
          <w:p>
            <w:pPr/>
            <w:r>
              <w:t xml:space="preserve">O arquivo da STRY00087376 traz o texto do documento de Cenários</w:t>
            </w:r>
          </w:p>
        </w:tc>
        <w:tc>
          <w:tcPr>
            <w:tcW w:w="1621" w:type="dxa"/>
          </w:tcPr>
          <w:p>
            <w:pPr/>
            <w:r>
              <w:t xml:space="preserve">Repositório de HUs</w:t>
            </w:r>
          </w:p>
        </w:tc>
        <w:tc>
          <w:tcPr>
            <w:tcW w:w="3262" w:type="dxa"/>
          </w:tcPr>
          <w:p>
            <w:pPr/>
            <w:r>
              <w:t xml:space="preserve">A HU original do Comparativo não foi localizada</w:t>
            </w:r>
          </w:p>
        </w:tc>
        <w:tc>
          <w:tcPr>
            <w:tcW w:w="1345" w:type="dxa"/>
          </w:tcPr>
          <w:p>
            <w:pPr/>
            <w:r>
              <w:t xml:space="preserve">Priscila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L12</w:t>
            </w:r>
          </w:p>
        </w:tc>
        <w:tc>
          <w:tcPr>
            <w:tcW w:w="2412" w:type="dxa"/>
          </w:tcPr>
          <w:p>
            <w:pPr/>
            <w:r>
              <w:t xml:space="preserve">A Etapa 2 tem os botões Descartar Rascunho e Salvar Regra, que não aparecem em nenhuma HU</w:t>
            </w:r>
          </w:p>
        </w:tc>
        <w:tc>
          <w:tcPr>
            <w:tcW w:w="1621" w:type="dxa"/>
          </w:tcPr>
          <w:p>
            <w:pPr/>
            <w:r>
              <w:t xml:space="preserve">Etapa 2 – Configuração</w:t>
            </w:r>
          </w:p>
        </w:tc>
        <w:tc>
          <w:tcPr>
            <w:tcW w:w="3262" w:type="dxa"/>
          </w:tcPr>
          <w:p>
            <w:pPr/>
            <w:r>
              <w:t xml:space="preserve">A simulação nunca altera os parâmetros vigentes; alterar regras é privativo da Parametrização do Programa (STRY00069681, RN06). "Salvar Regra" pode ser lido como alteração da regra vigente</w:t>
            </w:r>
          </w:p>
        </w:tc>
        <w:tc>
          <w:tcPr>
            <w:tcW w:w="1345" w:type="dxa"/>
          </w:tcPr>
          <w:p>
            <w:pPr/>
            <w:r>
              <w:t xml:space="preserve">João (UX) e PO negocial</w:t>
            </w:r>
          </w:p>
        </w:tc>
      </w:tr>
    </w:tbl>
    <w:p>
      <w:pPr>
        <w:pStyle w:val="Heading2"/>
      </w:pPr>
      <w:r>
        <w:t xml:space="preserve">8. Rastreabilidade documento × telas</w:t>
      </w:r>
    </w:p>
    <w:p>
      <w:pPr/>
      <w:r>
        <w:t xml:space="preserve">A matriz liga cada documento às telas e aos passos da jornada que ele sustenta, e indica se a tela já existe no protótipo.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6"/>
        <w:gridCol w:w="3048"/>
        <w:gridCol w:w="1974"/>
        <w:gridCol w:w="2092"/>
      </w:tblGrid>
      <w:tr>
        <w:trPr>
          <w:tblHeader/>
        </w:trPr>
        <w:tc>
          <w:tcPr>
            <w:tcW w:w="2246" w:type="dxa"/>
            <w:shd w:val="clear" w:color="auto" w:fill="F2F2F2"/>
          </w:tcPr>
          <w:p>
            <w:pPr/>
            <w:r>
              <w:t xml:space="preserve">Documento</w:t>
            </w:r>
          </w:p>
        </w:tc>
        <w:tc>
          <w:tcPr>
            <w:tcW w:w="3048" w:type="dxa"/>
            <w:shd w:val="clear" w:color="auto" w:fill="F2F2F2"/>
          </w:tcPr>
          <w:p>
            <w:pPr/>
            <w:r>
              <w:t xml:space="preserve">Telas</w:t>
            </w:r>
          </w:p>
        </w:tc>
        <w:tc>
          <w:tcPr>
            <w:tcW w:w="1974" w:type="dxa"/>
            <w:shd w:val="clear" w:color="auto" w:fill="F2F2F2"/>
          </w:tcPr>
          <w:p>
            <w:pPr/>
            <w:r>
              <w:t xml:space="preserve">Passos da jornada</w:t>
            </w:r>
          </w:p>
        </w:tc>
        <w:tc>
          <w:tcPr>
            <w:tcW w:w="2092" w:type="dxa"/>
            <w:shd w:val="clear" w:color="auto" w:fill="F2F2F2"/>
          </w:tcPr>
          <w:p>
            <w:pPr/>
            <w:r>
              <w:t xml:space="preserve">No protótipo</w:t>
            </w:r>
          </w:p>
        </w:tc>
      </w:tr>
      <w:tr>
        <w:tc>
          <w:tcPr>
            <w:tcW w:w="2246" w:type="dxa"/>
          </w:tcPr>
          <w:p>
            <w:pPr/>
            <w:r>
              <w:t xml:space="preserve">SSO do Portal</w:t>
            </w:r>
          </w:p>
        </w:tc>
        <w:tc>
          <w:tcPr>
            <w:tcW w:w="3048" w:type="dxa"/>
          </w:tcPr>
          <w:p>
            <w:pPr/>
            <w:r>
              <w:t xml:space="preserve">Ponto de autenticação, seleção de vínculo, termos</w:t>
            </w:r>
          </w:p>
        </w:tc>
        <w:tc>
          <w:tcPr>
            <w:tcW w:w="1974" w:type="dxa"/>
          </w:tcPr>
          <w:p>
            <w:pPr/>
            <w:r>
              <w:t xml:space="preserve">5.1: 1 a 5; 6.5</w:t>
            </w:r>
          </w:p>
        </w:tc>
        <w:tc>
          <w:tcPr>
            <w:tcW w:w="2092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2246" w:type="dxa"/>
          </w:tcPr>
          <w:p>
            <w:pPr/>
            <w:r>
              <w:t xml:space="preserve">STRY00064433 e Provisionamento</w:t>
            </w:r>
          </w:p>
        </w:tc>
        <w:tc>
          <w:tcPr>
            <w:tcW w:w="3048" w:type="dxa"/>
          </w:tcPr>
          <w:p>
            <w:pPr/>
            <w:r>
              <w:t xml:space="preserve">Menu e dados exibidos em todas as telas</w:t>
            </w:r>
          </w:p>
        </w:tc>
        <w:tc>
          <w:tcPr>
            <w:tcW w:w="1974" w:type="dxa"/>
          </w:tcPr>
          <w:p>
            <w:pPr/>
            <w:r>
              <w:t xml:space="preserve">Seção 3; 5.1: 6; 6.2: 1</w:t>
            </w:r>
          </w:p>
        </w:tc>
        <w:tc>
          <w:tcPr>
            <w:tcW w:w="2092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2246" w:type="dxa"/>
          </w:tcPr>
          <w:p>
            <w:pPr/>
            <w:r>
              <w:t xml:space="preserve">Navegação entre Módulos</w:t>
            </w:r>
          </w:p>
        </w:tc>
        <w:tc>
          <w:tcPr>
            <w:tcW w:w="3048" w:type="dxa"/>
          </w:tcPr>
          <w:p>
            <w:pPr/>
            <w:r>
              <w:t xml:space="preserve">Início, menu, central de avisos</w:t>
            </w:r>
          </w:p>
        </w:tc>
        <w:tc>
          <w:tcPr>
            <w:tcW w:w="1974" w:type="dxa"/>
          </w:tcPr>
          <w:p>
            <w:pPr/>
            <w:r>
              <w:t xml:space="preserve">5.1: 6; 5.2: 7; 6.2: 2; 6.4: 2; 6.5</w:t>
            </w:r>
          </w:p>
        </w:tc>
        <w:tc>
          <w:tcPr>
            <w:tcW w:w="2092" w:type="dxa"/>
          </w:tcPr>
          <w:p>
            <w:pPr/>
            <w:r>
              <w:t xml:space="preserve">Parcial (menu)</w:t>
            </w:r>
          </w:p>
        </w:tc>
      </w:tr>
      <w:tr>
        <w:tc>
          <w:tcPr>
            <w:tcW w:w="2246" w:type="dxa"/>
          </w:tcPr>
          <w:p>
            <w:pPr/>
            <w:r>
              <w:t xml:space="preserve">STRY00069681</w:t>
            </w:r>
          </w:p>
        </w:tc>
        <w:tc>
          <w:tcPr>
            <w:tcW w:w="3048" w:type="dxa"/>
          </w:tcPr>
          <w:p>
            <w:pPr/>
            <w:r>
              <w:t xml:space="preserve">Etapa 1, Etapa 2, Etapa 3</w:t>
            </w:r>
          </w:p>
        </w:tc>
        <w:tc>
          <w:tcPr>
            <w:tcW w:w="1974" w:type="dxa"/>
          </w:tcPr>
          <w:p>
            <w:pPr/>
            <w:r>
              <w:t xml:space="preserve">5.2: 3 a 6 e 9 a 12</w:t>
            </w:r>
          </w:p>
        </w:tc>
        <w:tc>
          <w:tcPr>
            <w:tcW w:w="2092" w:type="dxa"/>
          </w:tcPr>
          <w:p>
            <w:pPr/>
            <w:r>
              <w:t xml:space="preserve">Sim, com lacunas L8 e L9</w:t>
            </w:r>
          </w:p>
        </w:tc>
      </w:tr>
      <w:tr>
        <w:tc>
          <w:tcPr>
            <w:tcW w:w="2246" w:type="dxa"/>
          </w:tcPr>
          <w:p>
            <w:pPr/>
            <w:r>
              <w:t xml:space="preserve">STRY00070086</w:t>
            </w:r>
          </w:p>
        </w:tc>
        <w:tc>
          <w:tcPr>
            <w:tcW w:w="3048" w:type="dxa"/>
          </w:tcPr>
          <w:p>
            <w:pPr/>
            <w:r>
              <w:t xml:space="preserve">Etapa 1 (opção de elegibilidade), Etapa 2</w:t>
            </w:r>
          </w:p>
        </w:tc>
        <w:tc>
          <w:tcPr>
            <w:tcW w:w="1974" w:type="dxa"/>
          </w:tcPr>
          <w:p>
            <w:pPr/>
            <w:r>
              <w:t xml:space="preserve">5.2: 5</w:t>
            </w:r>
          </w:p>
        </w:tc>
        <w:tc>
          <w:tcPr>
            <w:tcW w:w="2092" w:type="dxa"/>
          </w:tcPr>
          <w:p>
            <w:pPr/>
            <w:r>
              <w:t xml:space="preserve">Parcial (L8, L10)</w:t>
            </w:r>
          </w:p>
        </w:tc>
      </w:tr>
      <w:tr>
        <w:tc>
          <w:tcPr>
            <w:tcW w:w="2246" w:type="dxa"/>
          </w:tcPr>
          <w:p>
            <w:pPr/>
            <w:r>
              <w:t xml:space="preserve">STRY00072096</w:t>
            </w:r>
          </w:p>
        </w:tc>
        <w:tc>
          <w:tcPr>
            <w:tcW w:w="3048" w:type="dxa"/>
          </w:tcPr>
          <w:p>
            <w:pPr/>
            <w:r>
              <w:t xml:space="preserve">Etapa 2</w:t>
            </w:r>
          </w:p>
        </w:tc>
        <w:tc>
          <w:tcPr>
            <w:tcW w:w="1974" w:type="dxa"/>
          </w:tcPr>
          <w:p>
            <w:pPr/>
            <w:r>
              <w:t xml:space="preserve">5.2: 8 e 9</w:t>
            </w:r>
          </w:p>
        </w:tc>
        <w:tc>
          <w:tcPr>
            <w:tcW w:w="2092" w:type="dxa"/>
          </w:tcPr>
          <w:p>
            <w:pPr/>
            <w:r>
              <w:t xml:space="preserve">Sim, com lacuna L5</w:t>
            </w:r>
          </w:p>
        </w:tc>
      </w:tr>
      <w:tr>
        <w:tc>
          <w:tcPr>
            <w:tcW w:w="2246" w:type="dxa"/>
          </w:tcPr>
          <w:p>
            <w:pPr/>
            <w:r>
              <w:t xml:space="preserve">STRY00071242</w:t>
            </w:r>
          </w:p>
        </w:tc>
        <w:tc>
          <w:tcPr>
            <w:tcW w:w="3048" w:type="dxa"/>
          </w:tcPr>
          <w:p>
            <w:pPr/>
            <w:r>
              <w:t xml:space="preserve">Etapa 2, Etapa 3</w:t>
            </w:r>
          </w:p>
        </w:tc>
        <w:tc>
          <w:tcPr>
            <w:tcW w:w="1974" w:type="dxa"/>
          </w:tcPr>
          <w:p>
            <w:pPr/>
            <w:r>
              <w:t xml:space="preserve">5.2: 8 e 13; 6.4</w:t>
            </w:r>
          </w:p>
        </w:tc>
        <w:tc>
          <w:tcPr>
            <w:tcW w:w="2092" w:type="dxa"/>
          </w:tcPr>
          <w:p>
            <w:pPr/>
            <w:r>
              <w:t xml:space="preserve">Sim, sem salvar e exportar (L2)</w:t>
            </w:r>
          </w:p>
        </w:tc>
      </w:tr>
      <w:tr>
        <w:tc>
          <w:tcPr>
            <w:tcW w:w="2246" w:type="dxa"/>
          </w:tcPr>
          <w:p>
            <w:pPr/>
            <w:r>
              <w:t xml:space="preserve">Salvamento e Comparação de Cenários</w:t>
            </w:r>
          </w:p>
        </w:tc>
        <w:tc>
          <w:tcPr>
            <w:tcW w:w="3048" w:type="dxa"/>
          </w:tcPr>
          <w:p>
            <w:pPr/>
            <w:r>
              <w:t xml:space="preserve">Lista, resultado, comparativo</w:t>
            </w:r>
          </w:p>
        </w:tc>
        <w:tc>
          <w:tcPr>
            <w:tcW w:w="1974" w:type="dxa"/>
          </w:tcPr>
          <w:p>
            <w:pPr/>
            <w:r>
              <w:t xml:space="preserve">5.2: 1 e 13; 6.1 a 6.4</w:t>
            </w:r>
          </w:p>
        </w:tc>
        <w:tc>
          <w:tcPr>
            <w:tcW w:w="2092" w:type="dxa"/>
          </w:tcPr>
          <w:p>
            <w:pPr/>
            <w:r>
              <w:t xml:space="preserve">Parcial (lista e resultado)</w:t>
            </w:r>
          </w:p>
        </w:tc>
      </w:tr>
      <w:tr>
        <w:tc>
          <w:tcPr>
            <w:tcW w:w="2246" w:type="dxa"/>
          </w:tcPr>
          <w:p>
            <w:pPr/>
            <w:r>
              <w:t xml:space="preserve">BFF Simulação</w:t>
            </w:r>
          </w:p>
        </w:tc>
        <w:tc>
          <w:tcPr>
            <w:tcW w:w="3048" w:type="dxa"/>
          </w:tcPr>
          <w:p>
            <w:pPr/>
            <w:r>
              <w:t xml:space="preserve">Etapa 2 → Etapa 3, exportação</w:t>
            </w:r>
          </w:p>
        </w:tc>
        <w:tc>
          <w:tcPr>
            <w:tcW w:w="1974" w:type="dxa"/>
          </w:tcPr>
          <w:p>
            <w:pPr/>
            <w:r>
              <w:t xml:space="preserve">5.2: 11; 6.4: 1; 6.5</w:t>
            </w:r>
          </w:p>
        </w:tc>
        <w:tc>
          <w:tcPr>
            <w:tcW w:w="2092" w:type="dxa"/>
          </w:tcPr>
          <w:p>
            <w:pPr/>
            <w:r>
              <w:t xml:space="preserve">Comportamento diverge (L3)</w:t>
            </w:r>
          </w:p>
        </w:tc>
      </w:tr>
    </w:tbl>
    <w:p>
      <w:pPr>
        <w:pStyle w:val="Heading2"/>
      </w:pPr>
      <w:r>
        <w:t xml:space="preserve">9. Controle de versões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1"/>
        <w:gridCol w:w="1424"/>
        <w:gridCol w:w="4920"/>
        <w:gridCol w:w="2055"/>
      </w:tblGrid>
      <w:tr>
        <w:trPr>
          <w:tblHeader/>
        </w:trPr>
        <w:tc>
          <w:tcPr>
            <w:tcW w:w="961" w:type="dxa"/>
            <w:shd w:val="clear" w:color="auto" w:fill="F2F2F2"/>
          </w:tcPr>
          <w:p>
            <w:pPr/>
            <w:r>
              <w:t xml:space="preserve">Versão</w:t>
            </w:r>
          </w:p>
        </w:tc>
        <w:tc>
          <w:tcPr>
            <w:tcW w:w="1424" w:type="dxa"/>
            <w:shd w:val="clear" w:color="auto" w:fill="F2F2F2"/>
          </w:tcPr>
          <w:p>
            <w:pPr/>
            <w:r>
              <w:t xml:space="preserve">Data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Descrição</w:t>
            </w:r>
          </w:p>
        </w:tc>
        <w:tc>
          <w:tcPr>
            <w:tcW w:w="2055" w:type="dxa"/>
            <w:shd w:val="clear" w:color="auto" w:fill="F2F2F2"/>
          </w:tcPr>
          <w:p>
            <w:pPr/>
            <w:r>
              <w:t xml:space="preserve">Autor</w:t>
            </w:r>
          </w:p>
        </w:tc>
      </w:tr>
      <w:tr>
        <w:tc>
          <w:tcPr>
            <w:tcW w:w="961" w:type="dxa"/>
          </w:tcPr>
          <w:p>
            <w:pPr/>
            <w:r>
              <w:t xml:space="preserve">0.1</w:t>
            </w:r>
          </w:p>
        </w:tc>
        <w:tc>
          <w:tcPr>
            <w:tcW w:w="1424" w:type="dxa"/>
          </w:tcPr>
          <w:p>
            <w:pPr/>
            <w:r>
              <w:t xml:space="preserve">27/10/2026</w:t>
            </w:r>
          </w:p>
        </w:tc>
        <w:tc>
          <w:tcPr>
            <w:tcW w:w="4920" w:type="dxa"/>
          </w:tcPr>
          <w:p>
            <w:pPr/>
            <w:r>
              <w:t xml:space="preserve">Estrutura inicial e jornada do Gestor Operacional a partir do protótipo</w:t>
            </w:r>
          </w:p>
        </w:tc>
        <w:tc>
          <w:tcPr>
            <w:tcW w:w="2055" w:type="dxa"/>
          </w:tcPr>
          <w:p>
            <w:pPr/>
            <w:r>
              <w:t xml:space="preserve">Whisney Ferraz de Oliveira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0.2</w:t>
            </w:r>
          </w:p>
        </w:tc>
        <w:tc>
          <w:tcPr>
            <w:tcW w:w="1424" w:type="dxa"/>
          </w:tcPr>
          <w:p>
            <w:pPr/>
            <w:r>
              <w:t xml:space="preserve">27/10/2026</w:t>
            </w:r>
          </w:p>
        </w:tc>
        <w:tc>
          <w:tcPr>
            <w:tcW w:w="4920" w:type="dxa"/>
          </w:tcPr>
          <w:p>
            <w:pPr/>
            <w:r>
              <w:t xml:space="preserve">Perfis, entrada na plataforma, jornadas complementares, lacunas e rastreabilidade revisados a partir das HUs do repositório</w:t>
            </w:r>
          </w:p>
        </w:tc>
        <w:tc>
          <w:tcPr>
            <w:tcW w:w="2055" w:type="dxa"/>
          </w:tcPr>
          <w:p>
            <w:pPr/>
            <w:r>
              <w:t xml:space="preserve">Whisney Ferraz de Oliveira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0.3</w:t>
            </w:r>
          </w:p>
        </w:tc>
        <w:tc>
          <w:tcPr>
            <w:tcW w:w="1424" w:type="dxa"/>
          </w:tcPr>
          <w:p>
            <w:pPr/>
            <w:r>
              <w:t xml:space="preserve">27/10/2026</w:t>
            </w:r>
          </w:p>
        </w:tc>
        <w:tc>
          <w:tcPr>
            <w:tcW w:w="4920" w:type="dxa"/>
          </w:tcPr>
          <w:p>
            <w:pPr/>
            <w:r>
              <w:t xml:space="preserve">Inclusão das telas do protótipo na jornada principal, correções da revisão e lacuna L12</w:t>
            </w:r>
          </w:p>
        </w:tc>
        <w:tc>
          <w:tcPr>
            <w:tcW w:w="2055" w:type="dxa"/>
          </w:tcPr>
          <w:p>
            <w:pPr/>
            <w:r>
              <w:t xml:space="preserve">Whisney Ferraz de Oliveira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Jornada do Usuário — SIPGS  Simulador Orçamentário (MVP 1)</dc:title>
  <dc:description>Claude Docs node/3d48c99b-9fa6@50 docx-w7</dc:description>
  <cp:revision>50</cp:revision>
</cp:coreProperties>
</file>