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color w:val="1F3A5F"/>
          <w:sz w:val="46"/>
        </w:rPr>
        <w:t>Unified Clinical Practice + Health ATM</w:t>
        <w:br/>
        <w:t>Platform</w:t>
      </w:r>
    </w:p>
    <w:p>
      <w:pPr>
        <w:pStyle w:val="CoverSub"/>
        <w:jc w:val="center"/>
      </w:pPr>
      <w:r>
        <w:rPr>
          <w:b/>
        </w:rPr>
        <w:t>Development Pack</w:t>
      </w:r>
    </w:p>
    <w:p>
      <w:pPr>
        <w:pStyle w:val="CoverSub"/>
        <w:spacing w:before="0" w:after="320"/>
        <w:jc w:val="center"/>
      </w:pPr>
      <w:r>
        <w:t>Functional Requirements Document, Architecture Blueprint, Data Model Summary, and Baseline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8F5"/>
          </w:tcPr>
          <w:p>
            <w:r>
              <w:t>Prepared for</w:t>
            </w:r>
          </w:p>
        </w:tc>
        <w:tc>
          <w:tcPr>
            <w:tcW w:type="dxa" w:w="4968"/>
            <w:vAlign w:val="center"/>
            <w:shd w:fill="F8FBFE"/>
          </w:tcPr>
          <w:p>
            <w:r>
              <w:t>Axonic Health / Health ATM-enabled clinical platform</w:t>
            </w:r>
          </w:p>
        </w:tc>
      </w:tr>
      <w:tr>
        <w:tc>
          <w:tcPr>
            <w:tcW w:type="dxa" w:w="4968"/>
            <w:vAlign w:val="center"/>
            <w:shd w:fill="D9E8F5"/>
          </w:tcPr>
          <w:p>
            <w:r>
              <w:t>Document purpose</w:t>
            </w:r>
          </w:p>
        </w:tc>
        <w:tc>
          <w:tcPr>
            <w:tcW w:type="dxa" w:w="4968"/>
            <w:vAlign w:val="center"/>
            <w:shd w:fill="F8FBFE"/>
          </w:tcPr>
          <w:p>
            <w:r>
              <w:t>Master development pack for product, design, engineering, and implementation teams</w:t>
            </w:r>
          </w:p>
        </w:tc>
      </w:tr>
      <w:tr>
        <w:tc>
          <w:tcPr>
            <w:tcW w:type="dxa" w:w="4968"/>
            <w:vAlign w:val="center"/>
            <w:shd w:fill="D9E8F5"/>
          </w:tcPr>
          <w:p>
            <w:r>
              <w:t>Version</w:t>
            </w:r>
          </w:p>
        </w:tc>
        <w:tc>
          <w:tcPr>
            <w:tcW w:type="dxa" w:w="4968"/>
            <w:vAlign w:val="center"/>
            <w:shd w:fill="F8FBFE"/>
          </w:tcPr>
          <w:p>
            <w:r>
              <w:t>Draft v1.0</w:t>
            </w:r>
          </w:p>
        </w:tc>
      </w:tr>
      <w:tr>
        <w:tc>
          <w:tcPr>
            <w:tcW w:type="dxa" w:w="4968"/>
            <w:vAlign w:val="center"/>
            <w:shd w:fill="D9E8F5"/>
          </w:tcPr>
          <w:p>
            <w:r>
              <w:t>Date</w:t>
            </w:r>
          </w:p>
        </w:tc>
        <w:tc>
          <w:tcPr>
            <w:tcW w:type="dxa" w:w="4968"/>
            <w:vAlign w:val="center"/>
            <w:shd w:fill="F8FBFE"/>
          </w:tcPr>
          <w:p>
            <w:r>
              <w:t>2026-04-07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before="0" w:after="20"/>
        <w:ind w:left="288"/>
      </w:pPr>
      <w:r>
        <w:t>1. Executive summary</w:t>
      </w:r>
    </w:p>
    <w:p>
      <w:pPr>
        <w:spacing w:before="0" w:after="20"/>
        <w:ind w:left="288"/>
      </w:pPr>
      <w:r>
        <w:t>2. Objectives and product principles</w:t>
      </w:r>
    </w:p>
    <w:p>
      <w:pPr>
        <w:spacing w:before="0" w:after="20"/>
        <w:ind w:left="288"/>
      </w:pPr>
      <w:r>
        <w:t>3. Scope</w:t>
      </w:r>
    </w:p>
    <w:p>
      <w:pPr>
        <w:spacing w:before="0" w:after="20"/>
        <w:ind w:left="288"/>
      </w:pPr>
      <w:r>
        <w:t>4. User roles</w:t>
      </w:r>
    </w:p>
    <w:p>
      <w:pPr>
        <w:spacing w:before="0" w:after="20"/>
        <w:ind w:left="288"/>
      </w:pPr>
      <w:r>
        <w:t>5. Supported care modes</w:t>
      </w:r>
    </w:p>
    <w:p>
      <w:pPr>
        <w:spacing w:before="0" w:after="20"/>
        <w:ind w:left="288"/>
      </w:pPr>
      <w:r>
        <w:t>6. Specialty-specific experience framework</w:t>
      </w:r>
    </w:p>
    <w:p>
      <w:pPr>
        <w:spacing w:before="0" w:after="20"/>
        <w:ind w:left="288"/>
      </w:pPr>
      <w:r>
        <w:t>7. Functional requirements</w:t>
      </w:r>
    </w:p>
    <w:p>
      <w:pPr>
        <w:spacing w:before="0" w:after="20"/>
        <w:ind w:left="288"/>
      </w:pPr>
      <w:r>
        <w:t>8. Interoperability requirements</w:t>
      </w:r>
    </w:p>
    <w:p>
      <w:pPr>
        <w:spacing w:before="0" w:after="20"/>
        <w:ind w:left="288"/>
      </w:pPr>
      <w:r>
        <w:t>9. Architecture overview</w:t>
      </w:r>
    </w:p>
    <w:p>
      <w:pPr>
        <w:spacing w:before="0" w:after="20"/>
        <w:ind w:left="288"/>
      </w:pPr>
      <w:r>
        <w:t>10. Data model summary</w:t>
      </w:r>
    </w:p>
    <w:p>
      <w:pPr>
        <w:spacing w:before="0" w:after="20"/>
        <w:ind w:left="288"/>
      </w:pPr>
      <w:r>
        <w:t>11. Security, privacy and compliance</w:t>
      </w:r>
    </w:p>
    <w:p>
      <w:pPr>
        <w:spacing w:before="0" w:after="20"/>
        <w:ind w:left="288"/>
      </w:pPr>
      <w:r>
        <w:t>12. Future agentic management readiness</w:t>
      </w:r>
    </w:p>
    <w:p>
      <w:pPr>
        <w:spacing w:before="0" w:after="20"/>
        <w:ind w:left="288"/>
      </w:pPr>
      <w:r>
        <w:t>13. Recommended delivery phases</w:t>
      </w:r>
    </w:p>
    <w:p>
      <w:pPr>
        <w:spacing w:before="0" w:after="20"/>
        <w:ind w:left="288"/>
      </w:pPr>
      <w:r>
        <w:t>14. Architecture appendix</w:t>
      </w:r>
    </w:p>
    <w:p>
      <w:pPr>
        <w:spacing w:before="0" w:after="20"/>
        <w:ind w:left="288"/>
      </w:pPr>
      <w:r>
        <w:t>15. Core schema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line="276" w:lineRule="auto" w:before="0" w:after="100"/>
      </w:pPr>
      <w:r>
        <w:t>This development pack defines a unified, multilingual, voice-enabled clinical platform that brings together clinic consultations, teleconsultations, Health ATM encounters, hybrid care, patient longitudinal records, diagnostic device integration, AI-assisted workflows, billing, insurance support, and patient-controlled record sharing.</w:t>
      </w:r>
    </w:p>
    <w:p>
      <w:pPr>
        <w:spacing w:line="276" w:lineRule="auto" w:before="0" w:after="100"/>
      </w:pPr>
      <w:r>
        <w:t>The product is designed around a single encounter engine with a deliberately simple clinician interface. Complexity is handled behind the scenes by structured workflows, configurable specialty packs, device adapters, interoperability services, consent controls, and future automation hooks.</w:t>
      </w:r>
    </w:p>
    <w:p>
      <w:pPr>
        <w:spacing w:line="276" w:lineRule="auto" w:before="0" w:after="100"/>
      </w:pPr>
      <w:r>
        <w:t>The solution must be capable of operating as a standalone practice management and clinical workflow system, while also being ready to integrate with external PMS, HIS, EHR, LIS, RIS, and payer systems through FHIR and other APIs.</w:t>
      </w:r>
    </w:p>
    <w:p>
      <w:pPr>
        <w:pStyle w:val="Heading1"/>
      </w:pPr>
      <w:r>
        <w:t>2. Objectives and Product Principles</w:t>
      </w:r>
    </w:p>
    <w:p>
      <w:pPr>
        <w:spacing w:before="0" w:after="40"/>
        <w:ind w:left="360" w:hanging="259"/>
      </w:pPr>
      <w:r>
        <w:t>The platform shall:</w:t>
      </w:r>
    </w:p>
    <w:p>
      <w:pPr>
        <w:spacing w:before="0" w:after="40"/>
        <w:ind w:left="360" w:hanging="259"/>
      </w:pPr>
      <w:r>
        <w:t>1. Give clinicians an elegant, low-friction workspace that is easy to learn and fast to use.</w:t>
      </w:r>
    </w:p>
    <w:p>
      <w:pPr>
        <w:spacing w:before="0" w:after="40"/>
        <w:ind w:left="360" w:hanging="259"/>
      </w:pPr>
      <w:r>
        <w:t>2. Support one unified encounter engine across in-person, teleconsult, Health ATM, and hybrid consultations.</w:t>
      </w:r>
    </w:p>
    <w:p>
      <w:pPr>
        <w:spacing w:before="0" w:after="40"/>
        <w:ind w:left="360" w:hanging="259"/>
      </w:pPr>
      <w:r>
        <w:t>3. Maintain a longitudinal patient medical file that is searchable across case sheets, reports, prescriptions, images, billing artifacts, and communications.</w:t>
      </w:r>
    </w:p>
    <w:p>
      <w:pPr>
        <w:spacing w:before="0" w:after="40"/>
        <w:ind w:left="360" w:hanging="259"/>
      </w:pPr>
      <w:r>
        <w:t>4. Allow patients to decide exactly what to share from the patient app, including selective withholding of sensitive information.</w:t>
      </w:r>
    </w:p>
    <w:p>
      <w:pPr>
        <w:spacing w:before="0" w:after="40"/>
        <w:ind w:left="360" w:hanging="259"/>
      </w:pPr>
      <w:r>
        <w:t>5. Support specialty-specific user experiences without fragmenting the product into separate applications.</w:t>
      </w:r>
    </w:p>
    <w:p>
      <w:pPr>
        <w:spacing w:before="0" w:after="40"/>
        <w:ind w:left="360" w:hanging="259"/>
      </w:pPr>
      <w:r>
        <w:t>6. Ingest and display data from external clinical devices using a pragmatic mix of normalization and raw vendor outputs.</w:t>
      </w:r>
    </w:p>
    <w:p>
      <w:pPr>
        <w:spacing w:before="0" w:after="40"/>
        <w:ind w:left="360" w:hanging="259"/>
      </w:pPr>
      <w:r>
        <w:t>7. Generate high-quality structured documentation from underlying encounter data.</w:t>
      </w:r>
    </w:p>
    <w:p>
      <w:pPr>
        <w:spacing w:before="0" w:after="40"/>
        <w:ind w:left="360" w:hanging="259"/>
      </w:pPr>
      <w:r>
        <w:t>8. Remain interoperable by design, with FHIR and API-based external integration capability.</w:t>
      </w:r>
    </w:p>
    <w:p>
      <w:pPr>
        <w:spacing w:before="0" w:after="40"/>
        <w:ind w:left="360" w:hanging="259"/>
      </w:pPr>
      <w:r>
        <w:t>9. Be architected for later agentic management of sales, deployment, support, configuration, and operations with human oversight of critical actions.</w:t>
      </w:r>
    </w:p>
    <w:p>
      <w:pPr>
        <w:pStyle w:val="Heading1"/>
      </w:pPr>
      <w:r>
        <w:t>3. Scope</w:t>
      </w:r>
    </w:p>
    <w:p>
      <w:pPr>
        <w:spacing w:line="276" w:lineRule="auto" w:before="0" w:after="100"/>
      </w:pPr>
      <w:r>
        <w:t>In scope:</w:t>
        <w:br/>
        <w:t>- registration and enterprise patient identity</w:t>
        <w:br/>
        <w:t>- scheduling, slot publication, queueing, check-in, and walk-in management</w:t>
        <w:br/>
        <w:t>- unified encounter workflow</w:t>
        <w:br/>
        <w:t>- clinician workspace</w:t>
        <w:br/>
        <w:t>- specialty-specific experience packs</w:t>
        <w:br/>
        <w:t>- Health ATM workflows</w:t>
        <w:br/>
        <w:t>- AI-assisted intake, diagnosis support, orders, prescribing, advice, and summary drafting</w:t>
        <w:br/>
        <w:t>- longitudinal record management</w:t>
        <w:br/>
        <w:t>- patient app and secure sharing controls</w:t>
        <w:br/>
        <w:t>- device integration and streamed examination workflows</w:t>
        <w:br/>
        <w:t>- documentation engine</w:t>
        <w:br/>
        <w:t>- billing and insurance support</w:t>
        <w:br/>
        <w:t>- interoperability layer</w:t>
        <w:br/>
        <w:t>- security, privacy, audit, and consent</w:t>
        <w:br/>
        <w:t>- operations and automation hooks</w:t>
      </w:r>
    </w:p>
    <w:p>
      <w:pPr>
        <w:spacing w:line="276" w:lineRule="auto" w:before="0" w:after="100"/>
      </w:pPr>
      <w:r>
        <w:t>Out of scope for the core application:</w:t>
        <w:br/>
        <w:t>- autonomous sales/marketing/support agent platform itself</w:t>
        <w:br/>
        <w:t>- generic enterprise CRM outside application touchpoints</w:t>
        <w:br/>
        <w:t>- broad non-health software management</w:t>
        <w:br/>
        <w:t>These remain separate future workstreams, but the application must expose the interfaces and telemetry needed to support them later.</w:t>
      </w:r>
    </w:p>
    <w:p>
      <w:pPr>
        <w:pStyle w:val="Heading1"/>
      </w:pPr>
      <w:r>
        <w:t>4. User Roles</w:t>
      </w:r>
    </w:p>
    <w:p>
      <w:pPr>
        <w:spacing w:line="276" w:lineRule="auto" w:before="0" w:after="100"/>
      </w:pPr>
      <w:r>
        <w:t>Primary roles:</w:t>
        <w:br/>
        <w:t>- patient</w:t>
        <w:br/>
        <w:t>- clinician / doctor</w:t>
        <w:br/>
        <w:t>- receptionist / front desk</w:t>
        <w:br/>
        <w:t>- Health ATM attendant</w:t>
        <w:br/>
        <w:t>- technician</w:t>
        <w:br/>
        <w:t>- nurse / clinical assistant</w:t>
        <w:br/>
        <w:t>- lab / radiology operator</w:t>
        <w:br/>
        <w:t>- billing executive</w:t>
        <w:br/>
        <w:t>- insurer / claim-support role</w:t>
        <w:br/>
        <w:t>- organisation admin</w:t>
        <w:br/>
        <w:t>- super admin</w:t>
        <w:br/>
        <w:t>- integration administrator</w:t>
        <w:br/>
        <w:t>- support / implementation role</w:t>
        <w:br/>
        <w:t>- compliance / audit role</w:t>
      </w:r>
    </w:p>
    <w:p>
      <w:pPr>
        <w:spacing w:line="276" w:lineRule="auto" w:before="0" w:after="100"/>
      </w:pPr>
      <w:r>
        <w:t>Access to data and functions shall be role-based, organisation-aware, and auditable.</w:t>
      </w:r>
    </w:p>
    <w:p>
      <w:pPr>
        <w:pStyle w:val="Heading1"/>
      </w:pPr>
      <w:r>
        <w:t>5. Supported Care Modes</w:t>
      </w:r>
    </w:p>
    <w:p>
      <w:pPr>
        <w:spacing w:line="276" w:lineRule="auto" w:before="0" w:after="100"/>
      </w:pPr>
      <w:r>
        <w:t>The platform shall support four consultation modes using one encounter engine:</w:t>
        <w:br/>
        <w:t>- In-person clinic consultation</w:t>
        <w:br/>
        <w:t>- Teleconsultation</w:t>
        <w:br/>
        <w:t>- Health ATM consultation</w:t>
        <w:br/>
        <w:t>- Hybrid consultation</w:t>
      </w:r>
    </w:p>
    <w:p>
      <w:pPr>
        <w:spacing w:line="276" w:lineRule="auto" w:before="0" w:after="100"/>
      </w:pPr>
      <w:r>
        <w:t>Mode-specific overlays may surface different tools, but the underlying clinical data model, encounter lifecycle, audit, and documentation patterns shall remain consistent.</w:t>
      </w:r>
    </w:p>
    <w:p>
      <w:pPr>
        <w:pStyle w:val="Heading1"/>
      </w:pPr>
      <w:r>
        <w:t>6. Specialty-Specific Experience Framework</w:t>
      </w:r>
    </w:p>
    <w:p>
      <w:pPr>
        <w:spacing w:line="276" w:lineRule="auto" w:before="0" w:after="100"/>
      </w:pPr>
      <w:r>
        <w:t>The platform shall use a core-plus-configuration model.</w:t>
      </w:r>
    </w:p>
    <w:p>
      <w:pPr>
        <w:spacing w:line="276" w:lineRule="auto" w:before="0" w:after="100"/>
      </w:pPr>
      <w:r>
        <w:t>Core platform:</w:t>
        <w:br/>
        <w:t>- patient identity</w:t>
        <w:br/>
        <w:t>- schedule and queue</w:t>
        <w:br/>
        <w:t>- encounter lifecycle</w:t>
        <w:br/>
        <w:t>- longitudinal file</w:t>
        <w:br/>
        <w:t>- billing</w:t>
        <w:br/>
        <w:t>- documents</w:t>
        <w:br/>
        <w:t>- interoperability</w:t>
        <w:br/>
        <w:t>- audit and consent</w:t>
      </w:r>
    </w:p>
    <w:p>
      <w:pPr>
        <w:spacing w:line="276" w:lineRule="auto" w:before="0" w:after="100"/>
      </w:pPr>
      <w:r>
        <w:t>Specialty configuration layer:</w:t>
        <w:br/>
        <w:t>- specialty-specific navigation and default tabs</w:t>
        <w:br/>
        <w:t>- specialty-specific summary cards</w:t>
        <w:br/>
        <w:t>- history templates and question sets</w:t>
        <w:br/>
        <w:t>- examination structures</w:t>
        <w:br/>
        <w:t>- diagnosis and order-set suggestions</w:t>
        <w:br/>
        <w:t>- favourite prescriptions and procedures</w:t>
        <w:br/>
        <w:t>- device prominence rules</w:t>
        <w:br/>
        <w:t>- specialty document styles</w:t>
        <w:br/>
        <w:t>- AI workspace / prompt pack mapping</w:t>
        <w:br/>
        <w:t>- specialty terminology and labels</w:t>
      </w:r>
    </w:p>
    <w:p>
      <w:pPr>
        <w:spacing w:line="276" w:lineRule="auto" w:before="0" w:after="100"/>
      </w:pPr>
      <w:r>
        <w:t>Governance model:</w:t>
        <w:br/>
        <w:t>- global defaults</w:t>
        <w:br/>
        <w:t>- specialty profiles</w:t>
        <w:br/>
        <w:t>- organisation overrides</w:t>
        <w:br/>
        <w:t>- constrained doctor-level preferences</w:t>
      </w:r>
    </w:p>
    <w:p>
      <w:pPr>
        <w:spacing w:line="276" w:lineRule="auto" w:before="0" w:after="100"/>
      </w:pPr>
      <w:r>
        <w:t>This allows cardiology, dermatology, ophthalmology, paediatrics, surgery, psychiatry, and other specialties to experience highly tailored workflows without creating separate codebases for each specialty.</w:t>
      </w:r>
    </w:p>
    <w:p>
      <w:pPr>
        <w:pStyle w:val="Heading1"/>
      </w:pPr>
      <w:r>
        <w:t>7. Functional Requirements</w:t>
      </w:r>
    </w:p>
    <w:p>
      <w:pPr>
        <w:spacing w:line="276" w:lineRule="auto" w:before="0" w:after="100"/>
      </w:pPr>
      <w:r>
        <w:t>Patient identity and registration:</w:t>
        <w:br/>
        <w:t>- Create and manage a unique patient record with multiple linked identifiers.</w:t>
        <w:br/>
        <w:t>- Support duplicate detection, merge workflows, and organisation-aware identity matching.</w:t>
        <w:br/>
        <w:t>- Persist communication preferences, consent settings, and insurance linkages.</w:t>
      </w:r>
    </w:p>
    <w:p>
      <w:pPr>
        <w:spacing w:line="276" w:lineRule="auto" w:before="0" w:after="100"/>
      </w:pPr>
      <w:r>
        <w:t>Scheduling and queue management:</w:t>
        <w:br/>
        <w:t>- Publish clinician slots by organisation, location, channel, and specialty.</w:t>
        <w:br/>
        <w:t>- Support bookings by patients, staff, attendants, and call-center users.</w:t>
        <w:br/>
        <w:t>- Support check-in, token management, rescheduling, cancellation, and no-show handling.</w:t>
      </w:r>
    </w:p>
    <w:p>
      <w:pPr>
        <w:spacing w:line="276" w:lineRule="auto" w:before="0" w:after="100"/>
      </w:pPr>
      <w:r>
        <w:t>Pre-consult intake:</w:t>
        <w:br/>
        <w:t>- Capture history via avatar, app, portal, voice flow, WhatsApp/email link, or staff-assisted intake.</w:t>
        <w:br/>
        <w:t>- Produce structured specialty-aware summaries and identify missing information.</w:t>
        <w:br/>
        <w:t>- Allow clinicians to trigger smart follow-up questions.</w:t>
      </w:r>
    </w:p>
    <w:p>
      <w:pPr>
        <w:spacing w:line="276" w:lineRule="auto" w:before="0" w:after="100"/>
      </w:pPr>
      <w:r>
        <w:t>Encounter execution:</w:t>
        <w:br/>
        <w:t>- One encounter model for all channels.</w:t>
        <w:br/>
        <w:t>- Capture history, exam, assessments, diagnosis, orders, prescribing, advice, procedures, billing triggers, and documents.</w:t>
        <w:br/>
        <w:t>- Allow remote clinician-directed exam support through Health ATM staff and devices.</w:t>
      </w:r>
    </w:p>
    <w:p>
      <w:pPr>
        <w:spacing w:line="276" w:lineRule="auto" w:before="0" w:after="100"/>
      </w:pPr>
      <w:r>
        <w:t>Health ATM:</w:t>
        <w:br/>
        <w:t>- Support registration, appointment creation, intake, doctor connection, assisted remote examination, technician scans, test execution, payments, output delivery, and closure.</w:t>
        <w:br/>
        <w:t>- Let attendants support registration, payments, device setup, and workflow progression.</w:t>
        <w:br/>
        <w:t>- Let technicians acquire ultrasound and Doppler studies for remote interpretation.</w:t>
      </w:r>
    </w:p>
    <w:p>
      <w:pPr>
        <w:spacing w:line="276" w:lineRule="auto" w:before="0" w:after="100"/>
      </w:pPr>
      <w:r>
        <w:t>AI co-pilot:</w:t>
        <w:br/>
        <w:t>- Smart intake summarization</w:t>
        <w:br/>
        <w:t>- smart diagnosis suggestions with ICD mapping support</w:t>
        <w:br/>
        <w:t>- smart order sets and prescribing suggestions</w:t>
        <w:br/>
        <w:t>- smart advice, referral, and summary drafting</w:t>
        <w:br/>
        <w:t>- configurable AI modes: suggestion-only or pre-populate with clinician approval</w:t>
      </w:r>
    </w:p>
    <w:p>
      <w:pPr>
        <w:spacing w:line="276" w:lineRule="auto" w:before="0" w:after="100"/>
      </w:pPr>
      <w:r>
        <w:t>Longitudinal medical file:</w:t>
        <w:br/>
        <w:t>- Searchable record timeline across case sheets, results, imaging artifacts, prescriptions, invoices, and communication history.</w:t>
        <w:br/>
        <w:t>- Clinician, patient, and permitted external access views.</w:t>
      </w:r>
    </w:p>
    <w:p>
      <w:pPr>
        <w:spacing w:line="276" w:lineRule="auto" w:before="0" w:after="100"/>
      </w:pPr>
      <w:r>
        <w:t>Patient-controlled sharing:</w:t>
        <w:br/>
        <w:t>- Share at document, episode, category, summary, or date-range level.</w:t>
        <w:br/>
        <w:t>- Withhold sensitive items.</w:t>
        <w:br/>
        <w:t>- Use QR or secure links.</w:t>
        <w:br/>
        <w:t>- Track grant, expiry, revocation, and access logs.</w:t>
      </w:r>
    </w:p>
    <w:p>
      <w:pPr>
        <w:spacing w:line="276" w:lineRule="auto" w:before="0" w:after="100"/>
      </w:pPr>
      <w:r>
        <w:t>Billing and insurance:</w:t>
        <w:br/>
        <w:t>- Consultation, procedure, diagnostic, package, and ATM-service charging.</w:t>
        <w:br/>
        <w:t>- Invoices, receipts, payments, payer linkages, and claim-support workflows.</w:t>
      </w:r>
    </w:p>
    <w:p>
      <w:pPr>
        <w:spacing w:line="276" w:lineRule="auto" w:before="0" w:after="100"/>
      </w:pPr>
      <w:r>
        <w:t>Interoperability:</w:t>
        <w:br/>
        <w:t>- Import/export patient, encounter, appointment, observation, document, diagnostic, medication, and billing information via APIs and FHIR mappings.</w:t>
        <w:br/>
        <w:t>- Support standalone deployment or coexistence with external PMS/HIS.</w:t>
      </w:r>
    </w:p>
    <w:p>
      <w:pPr>
        <w:spacing w:line="276" w:lineRule="auto" w:before="0" w:after="100"/>
      </w:pPr>
      <w:r>
        <w:t>Security and audit:</w:t>
        <w:br/>
        <w:t>- Encryption, RBAC, organisation partitioning, audit logs, consent ledger, and admin traceability.</w:t>
      </w:r>
    </w:p>
    <w:p>
      <w:pPr>
        <w:pStyle w:val="Heading1"/>
      </w:pPr>
      <w:r>
        <w:t>8. Interoperability Requirements</w:t>
      </w:r>
    </w:p>
    <w:p>
      <w:pPr>
        <w:spacing w:line="276" w:lineRule="auto" w:before="0" w:after="100"/>
      </w:pPr>
      <w:r>
        <w:t>The system shall be integration-ready from first release, even if all connectors are phased.</w:t>
      </w:r>
    </w:p>
    <w:p>
      <w:pPr>
        <w:spacing w:line="276" w:lineRule="auto" w:before="0" w:after="100"/>
      </w:pPr>
      <w:r>
        <w:t>Capabilities:</w:t>
        <w:br/>
        <w:t>- secure REST APIs for internal and external integrations</w:t>
        <w:br/>
        <w:t>- webhooks for operational events</w:t>
        <w:br/>
        <w:t>- FHIR-aligned resource mapping for patient, practitioner, appointment, encounter, observation, diagnostic report, document reference, medication request, service request, invoice, and coverage contexts</w:t>
        <w:br/>
        <w:t>- adapter model for external PMS/HIS/LIS/RIS systems</w:t>
        <w:br/>
        <w:t>- import pipelines for summaries, reports, and external documents</w:t>
        <w:br/>
        <w:t>- export controls respecting consent and share scopes</w:t>
      </w:r>
    </w:p>
    <w:p>
      <w:pPr>
        <w:pStyle w:val="Heading1"/>
      </w:pPr>
      <w:r>
        <w:t>9. Architecture Overview</w:t>
      </w:r>
    </w:p>
    <w:p>
      <w:pPr>
        <w:spacing w:line="276" w:lineRule="auto" w:before="0" w:after="100"/>
      </w:pPr>
      <w:r>
        <w:t>The target architecture uses modular services around a unified clinical core.</w:t>
      </w:r>
    </w:p>
    <w:p>
      <w:pPr>
        <w:spacing w:before="0" w:after="40"/>
        <w:ind w:left="360" w:hanging="259"/>
      </w:pPr>
      <w:r>
        <w:t>Layers:</w:t>
      </w:r>
    </w:p>
    <w:p>
      <w:pPr>
        <w:spacing w:before="0" w:after="40"/>
        <w:ind w:left="360" w:hanging="259"/>
      </w:pPr>
      <w:r>
        <w:t>1. Experience layer</w:t>
      </w:r>
    </w:p>
    <w:p>
      <w:pPr>
        <w:spacing w:before="0" w:after="40"/>
        <w:ind w:left="360" w:hanging="259"/>
      </w:pPr>
      <w:r>
        <w:t xml:space="preserve">   - clinician workspace</w:t>
      </w:r>
    </w:p>
    <w:p>
      <w:pPr>
        <w:spacing w:before="0" w:after="40"/>
        <w:ind w:left="360" w:hanging="259"/>
      </w:pPr>
      <w:r>
        <w:t xml:space="preserve">   - patient app / portal</w:t>
      </w:r>
    </w:p>
    <w:p>
      <w:pPr>
        <w:spacing w:before="0" w:after="40"/>
        <w:ind w:left="360" w:hanging="259"/>
      </w:pPr>
      <w:r>
        <w:t xml:space="preserve">   - front desk console</w:t>
      </w:r>
    </w:p>
    <w:p>
      <w:pPr>
        <w:spacing w:before="0" w:after="40"/>
        <w:ind w:left="360" w:hanging="259"/>
      </w:pPr>
      <w:r>
        <w:t xml:space="preserve">   - Health ATM console</w:t>
      </w:r>
    </w:p>
    <w:p>
      <w:pPr>
        <w:spacing w:before="0" w:after="40"/>
        <w:ind w:left="360" w:hanging="259"/>
      </w:pPr>
      <w:r>
        <w:t>2. Clinical workflow layer</w:t>
      </w:r>
    </w:p>
    <w:p>
      <w:pPr>
        <w:spacing w:before="0" w:after="40"/>
        <w:ind w:left="360" w:hanging="259"/>
      </w:pPr>
      <w:r>
        <w:t xml:space="preserve">   - scheduling and queue orchestration</w:t>
      </w:r>
    </w:p>
    <w:p>
      <w:pPr>
        <w:spacing w:before="0" w:after="40"/>
        <w:ind w:left="360" w:hanging="259"/>
      </w:pPr>
      <w:r>
        <w:t xml:space="preserve">   - encounter engine</w:t>
      </w:r>
    </w:p>
    <w:p>
      <w:pPr>
        <w:spacing w:before="0" w:after="40"/>
        <w:ind w:left="360" w:hanging="259"/>
      </w:pPr>
      <w:r>
        <w:t xml:space="preserve">   - order/prescription/document services</w:t>
      </w:r>
    </w:p>
    <w:p>
      <w:pPr>
        <w:spacing w:before="0" w:after="40"/>
        <w:ind w:left="360" w:hanging="259"/>
      </w:pPr>
      <w:r>
        <w:t xml:space="preserve">   - longitudinal record index</w:t>
      </w:r>
    </w:p>
    <w:p>
      <w:pPr>
        <w:spacing w:before="0" w:after="40"/>
        <w:ind w:left="360" w:hanging="259"/>
      </w:pPr>
      <w:r>
        <w:t xml:space="preserve">   - patient sharing and consent services</w:t>
      </w:r>
    </w:p>
    <w:p>
      <w:pPr>
        <w:spacing w:before="0" w:after="40"/>
        <w:ind w:left="360" w:hanging="259"/>
      </w:pPr>
      <w:r>
        <w:t>3. Intelligence layer</w:t>
      </w:r>
    </w:p>
    <w:p>
      <w:pPr>
        <w:spacing w:before="0" w:after="40"/>
        <w:ind w:left="360" w:hanging="259"/>
      </w:pPr>
      <w:r>
        <w:t xml:space="preserve">   - AI orchestration</w:t>
      </w:r>
    </w:p>
    <w:p>
      <w:pPr>
        <w:spacing w:before="0" w:after="40"/>
        <w:ind w:left="360" w:hanging="259"/>
      </w:pPr>
      <w:r>
        <w:t xml:space="preserve">   - specialty prompt packs</w:t>
      </w:r>
    </w:p>
    <w:p>
      <w:pPr>
        <w:spacing w:before="0" w:after="40"/>
        <w:ind w:left="360" w:hanging="259"/>
      </w:pPr>
      <w:r>
        <w:t xml:space="preserve">   - suggestion acceptance tracking</w:t>
      </w:r>
    </w:p>
    <w:p>
      <w:pPr>
        <w:spacing w:before="0" w:after="40"/>
        <w:ind w:left="360" w:hanging="259"/>
      </w:pPr>
      <w:r>
        <w:t xml:space="preserve">   - rule engine and configurable pathways</w:t>
      </w:r>
    </w:p>
    <w:p>
      <w:pPr>
        <w:spacing w:before="0" w:after="40"/>
        <w:ind w:left="360" w:hanging="259"/>
      </w:pPr>
      <w:r>
        <w:t>4. Integration layer</w:t>
      </w:r>
    </w:p>
    <w:p>
      <w:pPr>
        <w:spacing w:before="0" w:after="40"/>
        <w:ind w:left="360" w:hanging="259"/>
      </w:pPr>
      <w:r>
        <w:t xml:space="preserve">   - device adapters</w:t>
      </w:r>
    </w:p>
    <w:p>
      <w:pPr>
        <w:spacing w:before="0" w:after="40"/>
        <w:ind w:left="360" w:hanging="259"/>
      </w:pPr>
      <w:r>
        <w:t xml:space="preserve">   - streaming and file ingest services</w:t>
      </w:r>
    </w:p>
    <w:p>
      <w:pPr>
        <w:spacing w:before="0" w:after="40"/>
        <w:ind w:left="360" w:hanging="259"/>
      </w:pPr>
      <w:r>
        <w:t xml:space="preserve">   - external system adapters</w:t>
      </w:r>
    </w:p>
    <w:p>
      <w:pPr>
        <w:spacing w:before="0" w:after="40"/>
        <w:ind w:left="360" w:hanging="259"/>
      </w:pPr>
      <w:r>
        <w:t xml:space="preserve">   - FHIR/API gateway</w:t>
      </w:r>
    </w:p>
    <w:p>
      <w:pPr>
        <w:spacing w:before="0" w:after="40"/>
        <w:ind w:left="360" w:hanging="259"/>
      </w:pPr>
      <w:r>
        <w:t xml:space="preserve">   - event bus</w:t>
      </w:r>
    </w:p>
    <w:p>
      <w:pPr>
        <w:spacing w:before="0" w:after="40"/>
        <w:ind w:left="360" w:hanging="259"/>
      </w:pPr>
      <w:r>
        <w:t>5. Control and governance layer</w:t>
      </w:r>
    </w:p>
    <w:p>
      <w:pPr>
        <w:spacing w:before="0" w:after="40"/>
        <w:ind w:left="360" w:hanging="259"/>
      </w:pPr>
      <w:r>
        <w:t xml:space="preserve">   - identity and access</w:t>
      </w:r>
    </w:p>
    <w:p>
      <w:pPr>
        <w:spacing w:before="0" w:after="40"/>
        <w:ind w:left="360" w:hanging="259"/>
      </w:pPr>
      <w:r>
        <w:t xml:space="preserve">   - audit and monitoring</w:t>
      </w:r>
    </w:p>
    <w:p>
      <w:pPr>
        <w:spacing w:before="0" w:after="40"/>
        <w:ind w:left="360" w:hanging="259"/>
      </w:pPr>
      <w:r>
        <w:t xml:space="preserve">   - billing and insurance services</w:t>
      </w:r>
    </w:p>
    <w:p>
      <w:pPr>
        <w:spacing w:before="0" w:after="40"/>
        <w:ind w:left="360" w:hanging="259"/>
      </w:pPr>
      <w:r>
        <w:t xml:space="preserve">   - configuration service</w:t>
      </w:r>
    </w:p>
    <w:p>
      <w:pPr>
        <w:spacing w:before="0" w:after="40"/>
        <w:ind w:left="360" w:hanging="259"/>
      </w:pPr>
      <w:r>
        <w:t xml:space="preserve">   - operations hooks for future agents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99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sNote"/>
        <w:jc w:val="center"/>
      </w:pPr>
      <w:r>
        <w:t>Figure 1. Logical architecture.</w:t>
      </w:r>
    </w:p>
    <w:p>
      <w:pPr>
        <w:pStyle w:val="Heading1"/>
      </w:pPr>
      <w:r>
        <w:t>10. Data Model Summary</w:t>
      </w:r>
    </w:p>
    <w:p>
      <w:pPr>
        <w:spacing w:line="276" w:lineRule="auto" w:before="0" w:after="100"/>
      </w:pPr>
      <w:r>
        <w:t>The data model shall separate core identity, scheduling, encounters, clinical content, documents, sharing, integrations, and billing while preserving strong referential traceability.</w:t>
      </w:r>
    </w:p>
    <w:p>
      <w:pPr>
        <w:spacing w:line="276" w:lineRule="auto" w:before="0" w:after="100"/>
      </w:pPr>
      <w:r>
        <w:t>Key entities:</w:t>
        <w:br/>
        <w:t>- patient</w:t>
        <w:br/>
        <w:t>- patient_identifier</w:t>
        <w:br/>
        <w:t>- consent_profile</w:t>
        <w:br/>
        <w:t>- appointment</w:t>
        <w:br/>
        <w:t>- channel</w:t>
        <w:br/>
        <w:t>- clinician</w:t>
        <w:br/>
        <w:t>- encounter</w:t>
        <w:br/>
        <w:t>- encounter_note</w:t>
        <w:br/>
        <w:t>- problem_list_item</w:t>
        <w:br/>
        <w:t>- diagnosis</w:t>
        <w:br/>
        <w:t>- order_item</w:t>
        <w:br/>
        <w:t>- prescription_item</w:t>
        <w:br/>
        <w:t>- device</w:t>
        <w:br/>
        <w:t>- device_result</w:t>
        <w:br/>
        <w:t>- observation</w:t>
        <w:br/>
        <w:t>- document</w:t>
        <w:br/>
        <w:t>- document_access_tag</w:t>
        <w:br/>
        <w:t>- share_grant</w:t>
        <w:br/>
        <w:t>- share_access_log</w:t>
        <w:br/>
        <w:t>- billing_invoice</w:t>
        <w:br/>
        <w:t>- billing_line_item</w:t>
        <w:br/>
        <w:t>- payer / coverage</w:t>
        <w:br/>
        <w:t>- integration_event</w:t>
        <w:br/>
        <w:t>- audit_event</w:t>
        <w:br/>
        <w:t>- specialty_profile</w:t>
        <w:br/>
        <w:t>- ui_widget_profile</w:t>
        <w:br/>
        <w:t>- ai_prompt_pack</w:t>
      </w:r>
    </w:p>
    <w:p>
      <w:pPr>
        <w:spacing w:line="276" w:lineRule="auto" w:before="0" w:after="100"/>
      </w:pPr>
      <w:r>
        <w:t>The supplied SQL file provides a robust relational baseline that can be adapted to PostgreSQL or another enterprise RDBMS.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90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0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sNote"/>
        <w:jc w:val="center"/>
      </w:pPr>
      <w:r>
        <w:t>Figure 2. Conceptual core ERD.</w:t>
      </w:r>
    </w:p>
    <w:p>
      <w:pPr>
        <w:pStyle w:val="Heading1"/>
      </w:pPr>
      <w:r>
        <w:t>11. Security, Privacy and Compliance</w:t>
      </w:r>
    </w:p>
    <w:p>
      <w:pPr>
        <w:spacing w:line="276" w:lineRule="auto" w:before="0" w:after="100"/>
      </w:pPr>
      <w:r>
        <w:t>The platform must be designed for healthcare-grade privacy, security, and auditability.</w:t>
      </w:r>
    </w:p>
    <w:p>
      <w:pPr>
        <w:spacing w:line="276" w:lineRule="auto" w:before="0" w:after="100"/>
      </w:pPr>
      <w:r>
        <w:t>Mandatory principles:</w:t>
        <w:br/>
        <w:t>- least-privilege access</w:t>
        <w:br/>
        <w:t>- tenancy and organisation scoping</w:t>
        <w:br/>
        <w:t>- encryption in transit and at rest</w:t>
        <w:br/>
        <w:t>- role-aware document visibility</w:t>
        <w:br/>
        <w:t>- explicit patient sharing control</w:t>
        <w:br/>
        <w:t>- sensitive-document tagging</w:t>
        <w:br/>
        <w:t>- immutable audit events for critical actions</w:t>
        <w:br/>
        <w:t>- environment and integration traceability</w:t>
        <w:br/>
        <w:t>- human approval gates for high-risk administrative actions</w:t>
      </w:r>
    </w:p>
    <w:p>
      <w:pPr>
        <w:pStyle w:val="Heading1"/>
      </w:pPr>
      <w:r>
        <w:t>12. Future Agentic Management Readiness</w:t>
      </w:r>
    </w:p>
    <w:p>
      <w:pPr>
        <w:spacing w:line="276" w:lineRule="auto" w:before="0" w:after="100"/>
      </w:pPr>
      <w:r>
        <w:t>The future autonomous operations framework is a separate project. To prepare for it, the application must expose:</w:t>
        <w:br/>
        <w:t>- machine-readable audit events</w:t>
        <w:br/>
        <w:t>- operational APIs for tenant setup, config, diagnostics, and status</w:t>
        <w:br/>
        <w:t>- event-driven notifications for deployment, integration, support, billing, and health issues</w:t>
        <w:br/>
        <w:t>- configuration-as-data instead of hard-coded business rules</w:t>
        <w:br/>
        <w:t>- approval-gated admin actions</w:t>
        <w:br/>
        <w:t>- structured logs and correlation identifiers</w:t>
        <w:br/>
        <w:t>- health endpoints and diagnostic bundles</w:t>
        <w:br/>
        <w:t>- environment manifests and feature flags</w:t>
      </w:r>
    </w:p>
    <w:p>
      <w:pPr>
        <w:spacing w:line="276" w:lineRule="auto" w:before="0" w:after="100"/>
      </w:pPr>
      <w:r>
        <w:t>This will allow future agents to observe the application, recommend changes, perform low-risk actions, and escalate high-risk operations for human approval.</w:t>
      </w:r>
    </w:p>
    <w:p>
      <w:pPr>
        <w:pStyle w:val="Heading1"/>
      </w:pPr>
      <w:r>
        <w:t>13. Recommended Delivery Phases</w:t>
      </w:r>
    </w:p>
    <w:p>
      <w:pPr>
        <w:spacing w:line="276" w:lineRule="auto" w:before="0" w:after="100"/>
      </w:pPr>
      <w:r>
        <w:t>Phase 1:</w:t>
        <w:br/>
        <w:t>- patient identity</w:t>
        <w:br/>
        <w:t>- scheduling and queue</w:t>
        <w:br/>
        <w:t>- unified encounter engine</w:t>
        <w:br/>
        <w:t>- clinician workspace</w:t>
        <w:br/>
        <w:t>- AI intake and summary</w:t>
        <w:br/>
        <w:t>- orders, prescriptions, and core documents</w:t>
        <w:br/>
        <w:t>- longitudinal file</w:t>
        <w:br/>
        <w:t>- patient app basics</w:t>
        <w:br/>
        <w:t>- core sharing controls</w:t>
        <w:br/>
        <w:t>- core billing and audit</w:t>
      </w:r>
    </w:p>
    <w:p>
      <w:pPr>
        <w:spacing w:line="276" w:lineRule="auto" w:before="0" w:after="100"/>
      </w:pPr>
      <w:r>
        <w:t>Phase 2:</w:t>
        <w:br/>
        <w:t>- Health ATM console</w:t>
        <w:br/>
        <w:t>- attendant workflow</w:t>
        <w:br/>
        <w:t>- streaming exam panel</w:t>
        <w:br/>
        <w:t>- first-wave device integrations</w:t>
        <w:br/>
        <w:t>- technician workflow for ultrasound / Doppler</w:t>
      </w:r>
    </w:p>
    <w:p>
      <w:pPr>
        <w:spacing w:line="276" w:lineRule="auto" w:before="0" w:after="100"/>
      </w:pPr>
      <w:r>
        <w:t>Phase 3:</w:t>
        <w:br/>
        <w:t>- advanced sharing controls</w:t>
        <w:br/>
        <w:t>- insurance workflows</w:t>
        <w:br/>
        <w:t>- external lab/radiology routing</w:t>
        <w:br/>
        <w:t>- hospital/PMS interoperability</w:t>
        <w:br/>
        <w:t>- richer analytics and monitoring</w:t>
      </w:r>
    </w:p>
    <w:p>
      <w:pPr>
        <w:spacing w:line="276" w:lineRule="auto" w:before="0" w:after="100"/>
      </w:pPr>
      <w:r>
        <w:t>Phase 4:</w:t>
        <w:br/>
        <w:t>- enhanced operations APIs</w:t>
        <w:br/>
        <w:t>- automation hooks</w:t>
        <w:br/>
        <w:t>- tenant templating</w:t>
        <w:br/>
        <w:t>- deployment automation</w:t>
        <w:br/>
        <w:t>- future agent framework integration</w:t>
      </w:r>
    </w:p>
    <w:p>
      <w:r>
        <w:br w:type="page"/>
      </w:r>
    </w:p>
    <w:p>
      <w:pPr>
        <w:pStyle w:val="Heading1"/>
      </w:pPr>
      <w:r>
        <w:t>14. Architecture Appendix</w:t>
      </w:r>
    </w:p>
    <w:p>
      <w:pPr>
        <w:pStyle w:val="Heading2"/>
      </w:pPr>
      <w:r>
        <w:t>Core architectural style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Recommended starting point: a modular monolith or service-oriented backend with clear domain boundaries, so product speed is preserved while domain separation remains strong.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Use PostgreSQL for transactional data, object storage for documents and raw device files, and a search index for fast retrieval across the longitudinal record.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Use an event broker for workflow notifications, monitoring signals, and future autonomous operations hooks.</w:t>
      </w:r>
    </w:p>
    <w:p>
      <w:pPr>
        <w:pStyle w:val="Heading2"/>
      </w:pPr>
      <w:r>
        <w:t>Experience applications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Clinician workspace: specialty-aware encounter console with patient summary, notes, AI actions, device panel, and document outputs.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Front desk console: booking, queue, token management, registration, payments, and patient routing.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Health ATM console: attendant workflow, device coordination, remote doctor link, payment assistance, and output delivery.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Patient app and portal: records, prescriptions, reports, invoices, notifications, and sharing controls.</w:t>
      </w:r>
    </w:p>
    <w:p>
      <w:pPr>
        <w:pStyle w:val="Heading2"/>
      </w:pPr>
      <w:r>
        <w:t>Core backend services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Scheduling service for slots, channel publication, and queue progression.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Encounter service for unified clinical lifecycle across in-person, teleconsult, Health ATM, and hybrid encounters.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Documentation service for note generation, summaries, letters, prescriptions, and patient-facing outputs.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Consent and sharing service for QR/link grants, scope rules, expiry, and revocation.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Billing and insurance service for invoices, line items, payer linkage, and claim-support artifacts.</w:t>
      </w:r>
    </w:p>
    <w:p>
      <w:pPr>
        <w:pStyle w:val="Heading2"/>
      </w:pPr>
      <w:r>
        <w:t>Clinical intelligence services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AI orchestrator to call specialty workspaces and manage prompt packs.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Clinical rules service for guardrails, red flags, and configurable pathways.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Suggestion tracker to store what AI suggested, what the clinician edited, and what was finally approved.</w:t>
      </w:r>
    </w:p>
    <w:p>
      <w:pPr>
        <w:pStyle w:val="Heading2"/>
      </w:pPr>
      <w:r>
        <w:t>Integration and device services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Device adapter framework to integrate streamed audio/video, waveforms, images, and file-based outputs.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FHIR and REST gateway for external PMS, HIS, LIS, RIS, payer, and partner integrations.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Integration event service for inbound/outbound traffic, retries, failures, and operational visibility.</w:t>
      </w:r>
    </w:p>
    <w:p>
      <w:pPr>
        <w:pStyle w:val="Heading2"/>
      </w:pPr>
      <w:r>
        <w:t>Agent-readiness controls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Operational APIs for tenant setup, template rollout, diagnostics, and monitoring.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Structured events and logs with correlation IDs so future agents can observe and act safely.</w:t>
      </w:r>
    </w:p>
    <w:p>
      <w:pPr>
        <w:spacing w:before="0" w:after="40"/>
        <w:ind w:left="360" w:hanging="259"/>
      </w:pPr>
      <w:r>
        <w:rPr>
          <w:b/>
        </w:rPr>
        <w:t xml:space="preserve">• </w:t>
      </w:r>
      <w:r>
        <w:t>Human approval gates for high-risk changes such as production deployment, integration activation, pricing changes, and security policy edits.</w:t>
      </w:r>
    </w:p>
    <w:p>
      <w:r>
        <w:br w:type="page"/>
      </w:r>
    </w:p>
    <w:p>
      <w:pPr>
        <w:pStyle w:val="Heading1"/>
      </w:pPr>
      <w:r>
        <w:t>15. Core Schema Appendix</w:t>
      </w:r>
    </w:p>
    <w:p>
      <w:pPr>
        <w:spacing w:before="0" w:after="160"/>
      </w:pPr>
      <w:r>
        <w:t>The full baseline schema is supplied separately as db_schema.sql. The table below summarizes the primary domains and anchor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8F5"/>
          </w:tcPr>
          <w:p>
            <w:pPr>
              <w:spacing w:after="40"/>
            </w:pPr>
            <w:r>
              <w:t>Domain</w:t>
            </w:r>
          </w:p>
        </w:tc>
        <w:tc>
          <w:tcPr>
            <w:tcW w:type="dxa" w:w="3312"/>
            <w:shd w:fill="D9E8F5"/>
          </w:tcPr>
          <w:p>
            <w:pPr>
              <w:spacing w:after="40"/>
            </w:pPr>
            <w:r>
              <w:t>Key tables</w:t>
            </w:r>
          </w:p>
        </w:tc>
        <w:tc>
          <w:tcPr>
            <w:tcW w:type="dxa" w:w="3312"/>
            <w:shd w:fill="D9E8F5"/>
          </w:tcPr>
          <w:p>
            <w:pPr>
              <w:spacing w:after="40"/>
            </w:pPr>
            <w:r>
              <w:t>Purpose</w:t>
            </w:r>
          </w:p>
        </w:tc>
      </w:tr>
      <w:tr>
        <w:tc>
          <w:tcPr>
            <w:tcW w:type="dxa" w:w="3312"/>
            <w:vAlign w:val="center"/>
            <w:shd w:fill="F3F8FD"/>
          </w:tcPr>
          <w:p>
            <w:pPr>
              <w:spacing w:after="40"/>
            </w:pPr>
            <w:r>
              <w:t>Identity &amp; access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organization, facility, clinician, patient, patient_identifier, consent_profile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Enterprise identity, org scoping, clinician linkage, consent defaults</w:t>
            </w:r>
          </w:p>
        </w:tc>
      </w:tr>
      <w:tr>
        <w:tc>
          <w:tcPr>
            <w:tcW w:type="dxa" w:w="3312"/>
            <w:vAlign w:val="center"/>
            <w:shd w:fill="F3F8FD"/>
          </w:tcPr>
          <w:p>
            <w:pPr>
              <w:spacing w:after="40"/>
            </w:pPr>
            <w:r>
              <w:t>Scheduling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channel, appointment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Slot publishing, booking, and channel-aware care routing</w:t>
            </w:r>
          </w:p>
        </w:tc>
      </w:tr>
      <w:tr>
        <w:tc>
          <w:tcPr>
            <w:tcW w:type="dxa" w:w="3312"/>
            <w:vAlign w:val="center"/>
            <w:shd w:fill="F3F8FD"/>
          </w:tcPr>
          <w:p>
            <w:pPr>
              <w:spacing w:after="40"/>
            </w:pPr>
            <w:r>
              <w:t>Clinical encounter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encounter, encounter_note, diagnosis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Unified clinical workflow and structured / narrative content</w:t>
            </w:r>
          </w:p>
        </w:tc>
      </w:tr>
      <w:tr>
        <w:tc>
          <w:tcPr>
            <w:tcW w:type="dxa" w:w="3312"/>
            <w:vAlign w:val="center"/>
            <w:shd w:fill="F3F8FD"/>
          </w:tcPr>
          <w:p>
            <w:pPr>
              <w:spacing w:after="40"/>
            </w:pPr>
            <w:r>
              <w:t>Orders &amp; prescribing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service_request, medication_request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Investigations, procedures, and medication plans</w:t>
            </w:r>
          </w:p>
        </w:tc>
      </w:tr>
      <w:tr>
        <w:tc>
          <w:tcPr>
            <w:tcW w:type="dxa" w:w="3312"/>
            <w:vAlign w:val="center"/>
            <w:shd w:fill="F3F8FD"/>
          </w:tcPr>
          <w:p>
            <w:pPr>
              <w:spacing w:after="40"/>
            </w:pPr>
            <w:r>
              <w:t>Devices &amp; observations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device, device_result, observation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Integrated device outputs, waveforms, measurements, and interpreted data</w:t>
            </w:r>
          </w:p>
        </w:tc>
      </w:tr>
      <w:tr>
        <w:tc>
          <w:tcPr>
            <w:tcW w:type="dxa" w:w="3312"/>
            <w:vAlign w:val="center"/>
            <w:shd w:fill="F3F8FD"/>
          </w:tcPr>
          <w:p>
            <w:pPr>
              <w:spacing w:after="40"/>
            </w:pPr>
            <w:r>
              <w:t>Longitudinal file &amp; sharing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document, share_grant, share_access_log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Persistent record archive plus patient-controlled sharing</w:t>
            </w:r>
          </w:p>
        </w:tc>
      </w:tr>
      <w:tr>
        <w:tc>
          <w:tcPr>
            <w:tcW w:type="dxa" w:w="3312"/>
            <w:vAlign w:val="center"/>
            <w:shd w:fill="F3F8FD"/>
          </w:tcPr>
          <w:p>
            <w:pPr>
              <w:spacing w:after="40"/>
            </w:pPr>
            <w:r>
              <w:t>Commercial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payer, coverage, billing_invoice, billing_line_item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Billing, payer data, and claim-support artifacts</w:t>
            </w:r>
          </w:p>
        </w:tc>
      </w:tr>
      <w:tr>
        <w:tc>
          <w:tcPr>
            <w:tcW w:type="dxa" w:w="3312"/>
            <w:vAlign w:val="center"/>
            <w:shd w:fill="F3F8FD"/>
          </w:tcPr>
          <w:p>
            <w:pPr>
              <w:spacing w:after="40"/>
            </w:pPr>
            <w:r>
              <w:t>Operations &amp; governance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integration_event, audit_event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Interoperability events, supportability, and compliance traceability</w:t>
            </w:r>
          </w:p>
        </w:tc>
      </w:tr>
    </w:tbl>
    <w:p/>
    <w:p>
      <w:pPr>
        <w:pStyle w:val="Heading2"/>
      </w:pPr>
      <w:r>
        <w:t>Pack notes</w:t>
      </w:r>
    </w:p>
    <w:p>
      <w:r>
        <w:t>This package is intended as a strong starting point. Before build kickoff, it should be expanded into module-level requirements, screen specifications, FHIR mapping definitions, migration scripts, and specialty pack definitions.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45E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A4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ub">
    <w:name w:val="CoverSub"/>
    <w:rPr>
      <w:rFonts w:ascii="Aptos" w:hAnsi="Aptos"/>
      <w:color w:val="5B7083"/>
      <w:sz w:val="24"/>
    </w:rPr>
  </w:style>
  <w:style w:type="paragraph" w:customStyle="1" w:styleId="SmallCapsNote">
    <w:name w:val="SmallCapsNote"/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