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weekly_report_cover.png"/>
                    <pic:cNvPicPr/>
                  </pic:nvPicPr>
                  <pic:blipFill>
                    <a:blip r:embed="rId9"/>
                    <a:stretch>
                      <a:fillRect/>
                    </a:stretch>
                  </pic:blipFill>
                  <pic:spPr>
                    <a:xfrm>
                      <a:off x="0" y="0"/>
                      <a:ext cx="7560000" cy="10692000"/>
                    </a:xfrm>
                    <a:prstGeom prst="rect"/>
                  </pic:spPr>
                </pic:pic>
              </a:graphicData>
            </a:graphic>
          </wp:inline>
        </w:drawing>
      </w:r>
    </w:p>
    <w:p>
      <w:pPr>
        <w:sectPr>
          <w:pgSz w:w="11906" w:h="16838"/>
          <w:pgMar w:top="0" w:right="0" w:bottom="0" w:left="0" w:header="720" w:footer="720" w:gutter="0"/>
          <w:cols w:space="720"/>
          <w:docGrid w:linePitch="360"/>
        </w:sectPr>
      </w:pPr>
    </w:p>
    <w:tbl>
      <w:tblPr>
        <w:tblW w:type="auto" w:w="0"/>
        <w:jc w:val="center"/>
        <w:tblLayout w:type="fixed"/>
        <w:tblLook w:firstColumn="1" w:firstRow="1" w:lastColumn="0" w:lastRow="0" w:noHBand="0" w:noVBand="1" w:val="04A0"/>
      </w:tblPr>
      <w:tblGrid>
        <w:gridCol w:w="170"/>
        <w:gridCol w:w="9354"/>
      </w:tblGrid>
      <w:tr>
        <w:tc>
          <w:tcPr>
            <w:tcW w:type="dxa" w:w="5018"/>
            <w:shd w:fill="C9A227"/>
            <w:tcBorders>
              <w:top w:val="nil"/>
              <w:left w:val="nil"/>
              <w:bottom w:val="nil"/>
              <w:right w:val="nil"/>
            </w:tcBorders>
          </w:tcPr>
          <w:p/>
        </w:tc>
        <w:tc>
          <w:tcPr>
            <w:tcW w:type="dxa" w:w="5018"/>
            <w:shd w:fill="FFFFFF"/>
            <w:tcBorders>
              <w:top w:val="nil"/>
              <w:left w:val="nil"/>
              <w:bottom w:val="nil"/>
              <w:right w:val="nil"/>
            </w:tcBorders>
            <w:tcMar>
              <w:top w:w="40" w:type="dxa"/>
              <w:start w:w="150" w:type="dxa"/>
              <w:bottom w:w="40" w:type="dxa"/>
              <w:end w:w="80" w:type="dxa"/>
            </w:tcMar>
          </w:tcPr>
          <w:p>
            <w:pPr>
              <w:jc w:val="right"/>
              <w:bidi w:val="1"/>
            </w:pPr>
            <w:r>
              <w:rPr>
                <w:rFonts w:ascii="Noto Kufi Arabic" w:hAnsi="Noto Kufi Arabic" w:cs="Noto Kufi Arabic" w:eastAsia="Noto Kufi Arabic"/>
                <w:b/>
                <w:color w:val="0B1F33"/>
                <w:sz w:val="38"/>
                <w:rtl w:val="1"/>
              </w:rPr>
              <w:t>الملخص التنفيذي</w:t>
            </w:r>
          </w:p>
          <w:p>
            <w:pPr>
              <w:jc w:val="right"/>
              <w:bidi w:val="1"/>
            </w:pPr>
            <w:r>
              <w:rPr>
                <w:rFonts w:ascii="Noto Sans Arabic" w:hAnsi="Noto Sans Arabic" w:cs="Noto Sans Arabic" w:eastAsia="Noto Sans Arabic"/>
                <w:b w:val="0"/>
                <w:color w:val="607786"/>
                <w:sz w:val="18"/>
                <w:rtl w:val="1"/>
              </w:rPr>
              <w:t>نظرة إدارية مركّزة على نطاق العمل والمخرجات المحققة خلال الأسبوع</w:t>
            </w:r>
          </w:p>
        </w:tc>
      </w:tr>
    </w:tbl>
    <w:p>
      <w:pPr>
        <w:spacing w:after="20"/>
      </w:pPr>
    </w:p>
    <w:tbl>
      <w:tblPr>
        <w:tblW w:type="auto" w:w="0"/>
        <w:jc w:val="center"/>
        <w:tblLayout w:type="fixed"/>
        <w:tblLook w:firstColumn="1" w:firstRow="1" w:lastColumn="0" w:lastRow="0" w:noHBand="0" w:noVBand="1" w:val="04A0"/>
      </w:tblPr>
      <w:tblGrid>
        <w:gridCol w:w="198"/>
        <w:gridCol w:w="9269"/>
      </w:tblGrid>
      <w:tr>
        <w:tc>
          <w:tcPr>
            <w:tcW w:type="dxa" w:w="5018"/>
            <w:shd w:fill="005481"/>
            <w:tcBorders>
              <w:top w:val="nil"/>
              <w:left w:val="nil"/>
              <w:bottom w:val="nil"/>
              <w:right w:val="nil"/>
            </w:tcBorders>
          </w:tcPr>
          <w:p/>
        </w:tc>
        <w:tc>
          <w:tcPr>
            <w:tcW w:type="dxa" w:w="5018"/>
            <w:shd w:fill="EAF3F7"/>
            <w:tcMar>
              <w:top w:w="130" w:type="dxa"/>
              <w:start w:w="190" w:type="dxa"/>
              <w:bottom w:w="130" w:type="dxa"/>
              <w:end w:w="190" w:type="dxa"/>
            </w:tcMar>
            <w:tcBorders>
              <w:top w:val="nil"/>
              <w:left w:val="nil"/>
              <w:bottom w:val="nil"/>
              <w:right w:val="nil"/>
            </w:tcBorders>
          </w:tcPr>
          <w:p>
            <w:pPr>
              <w:jc w:val="right"/>
              <w:bidi w:val="1"/>
            </w:pPr>
            <w:r>
              <w:rPr>
                <w:rFonts w:ascii="Noto Kufi Arabic" w:hAnsi="Noto Kufi Arabic" w:cs="Noto Kufi Arabic" w:eastAsia="Noto Kufi Arabic"/>
                <w:b/>
                <w:color w:val="0B1F33"/>
                <w:sz w:val="24"/>
                <w:rtl w:val="1"/>
              </w:rPr>
              <w:t>خلاصة الأسبوع</w:t>
            </w:r>
          </w:p>
          <w:p>
            <w:pPr>
              <w:spacing w:line="300" w:lineRule="auto"/>
              <w:jc w:val="right"/>
              <w:bidi w:val="1"/>
            </w:pPr>
            <w:r>
              <w:rPr>
                <w:rFonts w:ascii="Noto Sans Arabic" w:hAnsi="Noto Sans Arabic" w:cs="Noto Sans Arabic" w:eastAsia="Noto Sans Arabic"/>
                <w:b w:val="0"/>
                <w:color w:val="172B3A"/>
                <w:sz w:val="21"/>
                <w:rtl w:val="1"/>
              </w:rPr>
              <w:t>تركّز العمل خلال الفترة على تنشيط قنوات المبيعات، متابعة العملاء المحتملين والحاليين، تنظيم قاعدة بيانات العملاء، دعم الاستشارات المجانية، وتعزيز الحضور الرقمي للشركة عبر واتساب الأعمال ولينكدإن. كما شملت الأعمال تطوير مهارات البيع وتحسين أسلوب المكالمات الهاتفية بما يدعم جودة التواصل وفرص التحويل.</w:t>
            </w:r>
          </w:p>
        </w:tc>
      </w:tr>
    </w:tbl>
    <w:p>
      <w:pPr>
        <w:spacing w:after="40"/>
      </w:pPr>
    </w:p>
    <w:tbl>
      <w:tblPr>
        <w:tblW w:type="auto" w:w="0"/>
        <w:jc w:val="center"/>
        <w:tblLayout w:type="fixed"/>
        <w:tblLook w:firstColumn="1" w:firstRow="1" w:lastColumn="0" w:lastRow="0" w:noHBand="0" w:noVBand="1" w:val="04A0"/>
      </w:tblPr>
      <w:tblGrid>
        <w:gridCol w:w="3345"/>
        <w:gridCol w:w="3345"/>
        <w:gridCol w:w="3345"/>
      </w:tblGrid>
      <w:tr>
        <w:trPr>
          <w:trHeight w:val="1276" w:hRule="atLeast"/>
          <w:cantSplit/>
        </w:trPr>
        <w:tc>
          <w:tcPr>
            <w:tcW w:type="dxa" w:w="3345"/>
            <w:shd w:fill="FFFFFF"/>
            <w:tcMar>
              <w:top w:w="150" w:type="dxa"/>
              <w:start w:w="120" w:type="dxa"/>
              <w:bottom w:w="130" w:type="dxa"/>
              <w:end w:w="120" w:type="dxa"/>
            </w:tcMar>
            <w:tcBorders>
              <w:top w:val="single" w:sz="7" w:color="D5E3EA"/>
              <w:left w:val="single" w:sz="7" w:color="D5E3EA"/>
              <w:bottom w:val="single" w:sz="7" w:color="D5E3EA"/>
              <w:right w:val="single" w:sz="7" w:color="D5E3EA"/>
            </w:tcBorders>
          </w:tcPr>
          <w:p>
            <w:pPr>
              <w:jc w:val="center"/>
              <w:bidi w:val="1"/>
            </w:pPr>
            <w:r>
              <w:rPr>
                <w:rFonts w:ascii="Noto Kufi Arabic" w:hAnsi="Noto Kufi Arabic" w:cs="Noto Kufi Arabic" w:eastAsia="Noto Kufi Arabic"/>
                <w:b/>
                <w:color w:val="005481"/>
                <w:sz w:val="52"/>
                <w:rtl w:val="1"/>
              </w:rPr>
              <w:t>30</w:t>
            </w:r>
          </w:p>
          <w:p>
            <w:pPr>
              <w:jc w:val="center"/>
              <w:bidi w:val="1"/>
            </w:pPr>
            <w:r>
              <w:rPr>
                <w:rFonts w:ascii="Noto Sans Arabic" w:hAnsi="Noto Sans Arabic" w:cs="Noto Sans Arabic" w:eastAsia="Noto Sans Arabic"/>
                <w:b/>
                <w:color w:val="172B3A"/>
                <w:sz w:val="18"/>
                <w:rtl w:val="1"/>
              </w:rPr>
              <w:t>نشاطاً تنفيذياً موثقاً</w:t>
            </w:r>
          </w:p>
        </w:tc>
        <w:tc>
          <w:tcPr>
            <w:tcW w:type="dxa" w:w="3345"/>
            <w:shd w:fill="FFFFFF"/>
            <w:tcMar>
              <w:top w:w="150" w:type="dxa"/>
              <w:start w:w="120" w:type="dxa"/>
              <w:bottom w:w="130" w:type="dxa"/>
              <w:end w:w="120" w:type="dxa"/>
            </w:tcMar>
            <w:tcBorders>
              <w:top w:val="single" w:sz="7" w:color="D5E3EA"/>
              <w:left w:val="single" w:sz="7" w:color="D5E3EA"/>
              <w:bottom w:val="single" w:sz="7" w:color="D5E3EA"/>
              <w:right w:val="single" w:sz="7" w:color="D5E3EA"/>
            </w:tcBorders>
          </w:tcPr>
          <w:p>
            <w:pPr>
              <w:jc w:val="center"/>
              <w:bidi w:val="1"/>
            </w:pPr>
            <w:r>
              <w:rPr>
                <w:rFonts w:ascii="Noto Kufi Arabic" w:hAnsi="Noto Kufi Arabic" w:cs="Noto Kufi Arabic" w:eastAsia="Noto Kufi Arabic"/>
                <w:b/>
                <w:color w:val="0B1F33"/>
                <w:sz w:val="52"/>
                <w:rtl w:val="1"/>
              </w:rPr>
              <w:t>6</w:t>
            </w:r>
          </w:p>
          <w:p>
            <w:pPr>
              <w:jc w:val="center"/>
              <w:bidi w:val="1"/>
            </w:pPr>
            <w:r>
              <w:rPr>
                <w:rFonts w:ascii="Noto Sans Arabic" w:hAnsi="Noto Sans Arabic" w:cs="Noto Sans Arabic" w:eastAsia="Noto Sans Arabic"/>
                <w:b/>
                <w:color w:val="172B3A"/>
                <w:sz w:val="18"/>
                <w:rtl w:val="1"/>
              </w:rPr>
              <w:t>أيام عمل متواصلة</w:t>
            </w:r>
          </w:p>
        </w:tc>
        <w:tc>
          <w:tcPr>
            <w:tcW w:type="dxa" w:w="3345"/>
            <w:shd w:fill="FFFFFF"/>
            <w:tcMar>
              <w:top w:w="150" w:type="dxa"/>
              <w:start w:w="120" w:type="dxa"/>
              <w:bottom w:w="130" w:type="dxa"/>
              <w:end w:w="120" w:type="dxa"/>
            </w:tcMar>
            <w:tcBorders>
              <w:top w:val="single" w:sz="7" w:color="D5E3EA"/>
              <w:left w:val="single" w:sz="7" w:color="D5E3EA"/>
              <w:bottom w:val="single" w:sz="7" w:color="D5E3EA"/>
              <w:right w:val="single" w:sz="7" w:color="D5E3EA"/>
            </w:tcBorders>
          </w:tcPr>
          <w:p>
            <w:pPr>
              <w:jc w:val="center"/>
              <w:bidi w:val="1"/>
            </w:pPr>
            <w:r>
              <w:rPr>
                <w:rFonts w:ascii="Noto Kufi Arabic" w:hAnsi="Noto Kufi Arabic" w:cs="Noto Kufi Arabic" w:eastAsia="Noto Kufi Arabic"/>
                <w:b/>
                <w:color w:val="2F7D67"/>
                <w:sz w:val="52"/>
                <w:rtl w:val="1"/>
              </w:rPr>
              <w:t>7</w:t>
            </w:r>
          </w:p>
          <w:p>
            <w:pPr>
              <w:jc w:val="center"/>
              <w:bidi w:val="1"/>
            </w:pPr>
            <w:r>
              <w:rPr>
                <w:rFonts w:ascii="Noto Sans Arabic" w:hAnsi="Noto Sans Arabic" w:cs="Noto Sans Arabic" w:eastAsia="Noto Sans Arabic"/>
                <w:b/>
                <w:color w:val="172B3A"/>
                <w:sz w:val="18"/>
                <w:rtl w:val="1"/>
              </w:rPr>
              <w:t>أنشطة نشر رقمي</w:t>
            </w:r>
          </w:p>
        </w:tc>
      </w:tr>
      <w:tr>
        <w:trPr>
          <w:trHeight w:val="1276" w:hRule="atLeast"/>
          <w:cantSplit/>
        </w:trPr>
        <w:tc>
          <w:tcPr>
            <w:tcW w:type="dxa" w:w="3345"/>
            <w:shd w:fill="FFFFFF"/>
            <w:tcMar>
              <w:top w:w="150" w:type="dxa"/>
              <w:start w:w="120" w:type="dxa"/>
              <w:bottom w:w="130" w:type="dxa"/>
              <w:end w:w="120" w:type="dxa"/>
            </w:tcMar>
            <w:tcBorders>
              <w:top w:val="single" w:sz="7" w:color="D5E3EA"/>
              <w:left w:val="single" w:sz="7" w:color="D5E3EA"/>
              <w:bottom w:val="single" w:sz="7" w:color="D5E3EA"/>
              <w:right w:val="single" w:sz="7" w:color="D5E3EA"/>
            </w:tcBorders>
          </w:tcPr>
          <w:p>
            <w:pPr>
              <w:jc w:val="center"/>
              <w:bidi w:val="1"/>
            </w:pPr>
            <w:r>
              <w:rPr>
                <w:rFonts w:ascii="Noto Kufi Arabic" w:hAnsi="Noto Kufi Arabic" w:cs="Noto Kufi Arabic" w:eastAsia="Noto Kufi Arabic"/>
                <w:b/>
                <w:color w:val="246B9E"/>
                <w:sz w:val="52"/>
                <w:rtl w:val="1"/>
              </w:rPr>
              <w:t>3</w:t>
            </w:r>
          </w:p>
          <w:p>
            <w:pPr>
              <w:jc w:val="center"/>
              <w:bidi w:val="1"/>
            </w:pPr>
            <w:r>
              <w:rPr>
                <w:rFonts w:ascii="Noto Sans Arabic" w:hAnsi="Noto Sans Arabic" w:cs="Noto Sans Arabic" w:eastAsia="Noto Sans Arabic"/>
                <w:b/>
                <w:color w:val="172B3A"/>
                <w:sz w:val="18"/>
                <w:rtl w:val="1"/>
              </w:rPr>
              <w:t>تحديثات رئيسية لبيانات العملاء</w:t>
            </w:r>
          </w:p>
        </w:tc>
        <w:tc>
          <w:tcPr>
            <w:tcW w:type="dxa" w:w="3345"/>
            <w:shd w:fill="FFFFFF"/>
            <w:tcMar>
              <w:top w:w="150" w:type="dxa"/>
              <w:start w:w="120" w:type="dxa"/>
              <w:bottom w:w="130" w:type="dxa"/>
              <w:end w:w="120" w:type="dxa"/>
            </w:tcMar>
            <w:tcBorders>
              <w:top w:val="single" w:sz="7" w:color="D5E3EA"/>
              <w:left w:val="single" w:sz="7" w:color="D5E3EA"/>
              <w:bottom w:val="single" w:sz="7" w:color="D5E3EA"/>
              <w:right w:val="single" w:sz="7" w:color="D5E3EA"/>
            </w:tcBorders>
          </w:tcPr>
          <w:p>
            <w:pPr>
              <w:jc w:val="center"/>
              <w:bidi w:val="1"/>
            </w:pPr>
            <w:r>
              <w:rPr>
                <w:rFonts w:ascii="Noto Kufi Arabic" w:hAnsi="Noto Kufi Arabic" w:cs="Noto Kufi Arabic" w:eastAsia="Noto Kufi Arabic"/>
                <w:b/>
                <w:color w:val="C9A227"/>
                <w:sz w:val="52"/>
                <w:rtl w:val="1"/>
              </w:rPr>
              <w:t>3</w:t>
            </w:r>
          </w:p>
          <w:p>
            <w:pPr>
              <w:jc w:val="center"/>
              <w:bidi w:val="1"/>
            </w:pPr>
            <w:r>
              <w:rPr>
                <w:rFonts w:ascii="Noto Sans Arabic" w:hAnsi="Noto Sans Arabic" w:cs="Noto Sans Arabic" w:eastAsia="Noto Sans Arabic"/>
                <w:b/>
                <w:color w:val="172B3A"/>
                <w:sz w:val="18"/>
                <w:rtl w:val="1"/>
              </w:rPr>
              <w:t>أنشطة تطوير وتحسين مهارات</w:t>
            </w:r>
          </w:p>
        </w:tc>
        <w:tc>
          <w:tcPr>
            <w:tcW w:type="dxa" w:w="3345"/>
            <w:shd w:fill="FFFFFF"/>
            <w:tcMar>
              <w:top w:w="150" w:type="dxa"/>
              <w:start w:w="120" w:type="dxa"/>
              <w:bottom w:w="130" w:type="dxa"/>
              <w:end w:w="120" w:type="dxa"/>
            </w:tcMar>
            <w:tcBorders>
              <w:top w:val="single" w:sz="7" w:color="D5E3EA"/>
              <w:left w:val="single" w:sz="7" w:color="D5E3EA"/>
              <w:bottom w:val="single" w:sz="7" w:color="D5E3EA"/>
              <w:right w:val="single" w:sz="7" w:color="D5E3EA"/>
            </w:tcBorders>
          </w:tcPr>
          <w:p>
            <w:pPr>
              <w:jc w:val="center"/>
              <w:bidi w:val="1"/>
            </w:pPr>
            <w:r>
              <w:rPr>
                <w:rFonts w:ascii="Noto Kufi Arabic" w:hAnsi="Noto Kufi Arabic" w:cs="Noto Kufi Arabic" w:eastAsia="Noto Kufi Arabic"/>
                <w:b/>
                <w:color w:val="005481"/>
                <w:sz w:val="52"/>
                <w:rtl w:val="1"/>
              </w:rPr>
              <w:t>3</w:t>
            </w:r>
          </w:p>
          <w:p>
            <w:pPr>
              <w:jc w:val="center"/>
              <w:bidi w:val="1"/>
            </w:pPr>
            <w:r>
              <w:rPr>
                <w:rFonts w:ascii="Noto Sans Arabic" w:hAnsi="Noto Sans Arabic" w:cs="Noto Sans Arabic" w:eastAsia="Noto Sans Arabic"/>
                <w:b/>
                <w:color w:val="172B3A"/>
                <w:sz w:val="18"/>
                <w:rtl w:val="1"/>
              </w:rPr>
              <w:t>مراحل متابعة استشارية</w:t>
            </w:r>
          </w:p>
        </w:tc>
      </w:tr>
    </w:tbl>
    <w:p>
      <w:pPr>
        <w:spacing w:after="60"/>
      </w:pPr>
    </w:p>
    <w:tbl>
      <w:tblPr>
        <w:tblW w:type="auto" w:w="0"/>
        <w:jc w:val="center"/>
        <w:tblLayout w:type="fixed"/>
        <w:tblLook w:firstColumn="1" w:firstRow="1" w:lastColumn="0" w:lastRow="0" w:noHBand="0" w:noVBand="1" w:val="04A0"/>
      </w:tblPr>
      <w:tblGrid>
        <w:gridCol w:w="198"/>
        <w:gridCol w:w="9269"/>
      </w:tblGrid>
      <w:tr>
        <w:tc>
          <w:tcPr>
            <w:tcW w:type="dxa" w:w="5018"/>
            <w:shd w:fill="C9A227"/>
            <w:tcBorders>
              <w:top w:val="nil"/>
              <w:left w:val="nil"/>
              <w:bottom w:val="nil"/>
              <w:right w:val="nil"/>
            </w:tcBorders>
          </w:tcPr>
          <w:p/>
        </w:tc>
        <w:tc>
          <w:tcPr>
            <w:tcW w:type="dxa" w:w="5018"/>
            <w:shd w:fill="F7F3E5"/>
            <w:tcMar>
              <w:top w:w="130" w:type="dxa"/>
              <w:start w:w="190" w:type="dxa"/>
              <w:bottom w:w="130" w:type="dxa"/>
              <w:end w:w="190" w:type="dxa"/>
            </w:tcMar>
            <w:tcBorders>
              <w:top w:val="nil"/>
              <w:left w:val="nil"/>
              <w:bottom w:val="nil"/>
              <w:right w:val="nil"/>
            </w:tcBorders>
          </w:tcPr>
          <w:p>
            <w:pPr>
              <w:jc w:val="right"/>
              <w:bidi w:val="1"/>
            </w:pPr>
            <w:r>
              <w:rPr>
                <w:rFonts w:ascii="Noto Kufi Arabic" w:hAnsi="Noto Kufi Arabic" w:cs="Noto Kufi Arabic" w:eastAsia="Noto Kufi Arabic"/>
                <w:b/>
                <w:color w:val="0B1F33"/>
                <w:sz w:val="24"/>
                <w:rtl w:val="1"/>
              </w:rPr>
              <w:t>أبرز محاور الإنجاز</w:t>
            </w:r>
          </w:p>
          <w:p>
            <w:pPr>
              <w:spacing w:line="300" w:lineRule="auto"/>
              <w:jc w:val="right"/>
              <w:bidi w:val="1"/>
            </w:pPr>
            <w:r>
              <w:rPr>
                <w:rFonts w:ascii="Noto Sans Arabic" w:hAnsi="Noto Sans Arabic" w:cs="Noto Sans Arabic" w:eastAsia="Noto Sans Arabic"/>
                <w:b w:val="0"/>
                <w:color w:val="172B3A"/>
                <w:sz w:val="21"/>
                <w:rtl w:val="1"/>
              </w:rPr>
              <w:t>• المبيعات والتواصل: اتصالات يومية مع العملاء المحتملين ومتابعة العملاء المهتمين.</w:t>
              <w:br/>
              <w:t>• إدارة علاقات العملاء: تحديث حالات التواصل ونقل البيانات الجديدة إلى قاعدة العملاء.</w:t>
              <w:br/>
              <w:t>• الاستشارات: تنسيق مواعيد، تجهيز معلومات مسبقة، ومتابعة ما بعد الاجتماعات.</w:t>
              <w:br/>
              <w:t>• الحضور الرقمي: نشر قصص واتساب ومنشورات لينكدإن بصورة منتظمة.</w:t>
              <w:br/>
              <w:t>• تطوير الأداء: متابعة تدريبات مبيعات وصياغة افتتاحيات أكثر فاعلية للمكالمات.</w:t>
            </w:r>
          </w:p>
        </w:tc>
      </w:tr>
    </w:tbl>
    <w:p>
      <w:pPr>
        <w:spacing w:after="40"/>
      </w:pPr>
    </w:p>
    <w:p>
      <w:pPr>
        <w:spacing w:before="0" w:after="0" w:line="20" w:lineRule="exact"/>
        <w:pageBreakBefore w:val="1"/>
      </w:pPr>
      <w:r>
        <w:rPr>
          <w:rFonts w:ascii="Noto Sans Arabic" w:hAnsi="Noto Sans Arabic" w:cs="Noto Sans Arabic" w:eastAsia="Noto Sans Arabic"/>
          <w:b w:val="0"/>
          <w:color w:val="FFFFFF"/>
          <w:sz w:val="2"/>
          <w:rtl w:val="1"/>
        </w:rPr>
        <w:t xml:space="preserve"> </w:t>
      </w:r>
    </w:p>
    <w:tbl>
      <w:tblPr>
        <w:tblW w:type="auto" w:w="0"/>
        <w:jc w:val="center"/>
        <w:tblLayout w:type="fixed"/>
        <w:tblLook w:firstColumn="1" w:firstRow="1" w:lastColumn="0" w:lastRow="0" w:noHBand="0" w:noVBand="1" w:val="04A0"/>
      </w:tblPr>
      <w:tblGrid>
        <w:gridCol w:w="170"/>
        <w:gridCol w:w="9354"/>
      </w:tblGrid>
      <w:tr>
        <w:tc>
          <w:tcPr>
            <w:tcW w:type="dxa" w:w="5018"/>
            <w:shd w:fill="C9A227"/>
            <w:tcBorders>
              <w:top w:val="nil"/>
              <w:left w:val="nil"/>
              <w:bottom w:val="nil"/>
              <w:right w:val="nil"/>
            </w:tcBorders>
          </w:tcPr>
          <w:p/>
        </w:tc>
        <w:tc>
          <w:tcPr>
            <w:tcW w:type="dxa" w:w="5018"/>
            <w:shd w:fill="FFFFFF"/>
            <w:tcBorders>
              <w:top w:val="nil"/>
              <w:left w:val="nil"/>
              <w:bottom w:val="nil"/>
              <w:right w:val="nil"/>
            </w:tcBorders>
            <w:tcMar>
              <w:top w:w="40" w:type="dxa"/>
              <w:start w:w="150" w:type="dxa"/>
              <w:bottom w:w="40" w:type="dxa"/>
              <w:end w:w="80" w:type="dxa"/>
            </w:tcMar>
          </w:tcPr>
          <w:p>
            <w:pPr>
              <w:jc w:val="right"/>
              <w:bidi w:val="1"/>
            </w:pPr>
            <w:r>
              <w:rPr>
                <w:rFonts w:ascii="Noto Kufi Arabic" w:hAnsi="Noto Kufi Arabic" w:cs="Noto Kufi Arabic" w:eastAsia="Noto Kufi Arabic"/>
                <w:b/>
                <w:color w:val="0B1F33"/>
                <w:sz w:val="38"/>
                <w:rtl w:val="1"/>
              </w:rPr>
              <w:t>تفاصيل الأعمال اليومية</w:t>
            </w:r>
          </w:p>
          <w:p>
            <w:pPr>
              <w:jc w:val="right"/>
              <w:bidi w:val="1"/>
            </w:pPr>
            <w:r>
              <w:rPr>
                <w:rFonts w:ascii="Noto Sans Arabic" w:hAnsi="Noto Sans Arabic" w:cs="Noto Sans Arabic" w:eastAsia="Noto Sans Arabic"/>
                <w:b w:val="0"/>
                <w:color w:val="607786"/>
                <w:sz w:val="18"/>
                <w:rtl w:val="1"/>
              </w:rPr>
              <w:t>عرض زمني منظم للأنشطة المنفذة خلال الفترة</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10036"/>
            <w:shd w:fill="005481"/>
            <w:tcMar>
              <w:top w:w="120" w:type="dxa"/>
              <w:start w:w="210" w:type="dxa"/>
              <w:bottom w:w="105" w:type="dxa"/>
              <w:end w:w="210" w:type="dxa"/>
            </w:tcMar>
            <w:tcBorders>
              <w:top w:val="single" w:sz="8" w:color="005481"/>
              <w:left w:val="single" w:sz="8" w:color="005481"/>
              <w:bottom w:val="single" w:sz="8" w:color="005481"/>
              <w:right w:val="single" w:sz="8" w:color="005481"/>
            </w:tcBorders>
          </w:tcPr>
          <w:p>
            <w:pPr>
              <w:jc w:val="right"/>
              <w:bidi w:val="1"/>
            </w:pPr>
            <w:r>
              <w:rPr>
                <w:rFonts w:ascii="Noto Kufi Arabic" w:hAnsi="Noto Kufi Arabic" w:cs="Noto Kufi Arabic" w:eastAsia="Noto Kufi Arabic"/>
                <w:b/>
                <w:color w:val="FFFFFF"/>
                <w:sz w:val="30"/>
                <w:rtl w:val="1"/>
              </w:rPr>
              <w:t>السبت</w:t>
            </w:r>
            <w:r>
              <w:rPr>
                <w:rFonts w:ascii="Noto Sans Arabic" w:hAnsi="Noto Sans Arabic" w:cs="Noto Sans Arabic" w:eastAsia="Noto Sans Arabic"/>
                <w:b w:val="0"/>
                <w:color w:val="F4EBCB"/>
                <w:sz w:val="20"/>
                <w:rtl w:val="1"/>
              </w:rPr>
              <w:t xml:space="preserve">   |   18 يوليو 2026</w:t>
            </w:r>
          </w:p>
        </w:tc>
      </w:tr>
      <w:tr>
        <w:trPr>
          <w:cantSplit/>
        </w:trPr>
        <w:tc>
          <w:tcPr>
            <w:tcW w:type="dxa" w:w="10036"/>
            <w:shd w:fill="FFFFFF"/>
            <w:tcMar>
              <w:top w:w="100" w:type="dxa"/>
              <w:start w:w="220" w:type="dxa"/>
              <w:bottom w:w="120" w:type="dxa"/>
              <w:end w:w="220" w:type="dxa"/>
            </w:tcMar>
            <w:tcBorders>
              <w:top w:val="single" w:sz="5" w:color="D9E4EA"/>
              <w:left w:val="single" w:sz="5" w:color="D9E4EA"/>
              <w:bottom w:val="single" w:sz="5" w:color="D9E4EA"/>
              <w:right w:val="single" w:sz="5" w:color="D9E4EA"/>
            </w:tcBorders>
          </w:tcP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تنظيم بيانات العملاء على برنامج إكسل، وإنشاء أوراق عمل منفصلة وفق حالة كل عميل لتسهيل المتابعة والفرز.</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التواصل مع أحد العملاء وتنسيق موعد استشارة مع المدير العام، مع متابعة إجراءات الاجتماع لضمان انعقاده في الموعد المحدد.</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إجراء اتصالات مع العملاء المحتملين للتعريف بخدمات الشركة وتحديد احتياجاتهم الأولية.</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البحث في نشاط شركة العميل المقرر عقد استشارة معه، وجمع معلومات مسبقة تساعد على فهم احتياجاته ورفع جاهزية الاجتماع.</w:t>
            </w:r>
          </w:p>
        </w:tc>
      </w:tr>
    </w:tbl>
    <w:p>
      <w:pPr>
        <w:spacing w:after="40"/>
      </w:pPr>
    </w:p>
    <w:tbl>
      <w:tblPr>
        <w:tblW w:type="auto" w:w="0"/>
        <w:jc w:val="center"/>
        <w:tblLayout w:type="fixed"/>
        <w:tblLook w:firstColumn="1" w:firstRow="1" w:lastColumn="0" w:lastRow="0" w:noHBand="0" w:noVBand="1" w:val="04A0"/>
      </w:tblPr>
      <w:tblGrid>
        <w:gridCol w:w="9468"/>
      </w:tblGrid>
      <w:tr>
        <w:trPr>
          <w:cantSplit/>
        </w:trPr>
        <w:tc>
          <w:tcPr>
            <w:tcW w:type="dxa" w:w="10036"/>
            <w:shd w:fill="0B1F33"/>
            <w:tcMar>
              <w:top w:w="120" w:type="dxa"/>
              <w:start w:w="210" w:type="dxa"/>
              <w:bottom w:w="105" w:type="dxa"/>
              <w:end w:w="210" w:type="dxa"/>
            </w:tcMar>
            <w:tcBorders>
              <w:top w:val="single" w:sz="8" w:color="0B1F33"/>
              <w:left w:val="single" w:sz="8" w:color="0B1F33"/>
              <w:bottom w:val="single" w:sz="8" w:color="0B1F33"/>
              <w:right w:val="single" w:sz="8" w:color="0B1F33"/>
            </w:tcBorders>
          </w:tcPr>
          <w:p>
            <w:pPr>
              <w:jc w:val="right"/>
              <w:bidi w:val="1"/>
            </w:pPr>
            <w:r>
              <w:rPr>
                <w:rFonts w:ascii="Noto Kufi Arabic" w:hAnsi="Noto Kufi Arabic" w:cs="Noto Kufi Arabic" w:eastAsia="Noto Kufi Arabic"/>
                <w:b/>
                <w:color w:val="FFFFFF"/>
                <w:sz w:val="30"/>
                <w:rtl w:val="1"/>
              </w:rPr>
              <w:t>الأحد</w:t>
            </w:r>
            <w:r>
              <w:rPr>
                <w:rFonts w:ascii="Noto Sans Arabic" w:hAnsi="Noto Sans Arabic" w:cs="Noto Sans Arabic" w:eastAsia="Noto Sans Arabic"/>
                <w:b w:val="0"/>
                <w:color w:val="F4EBCB"/>
                <w:sz w:val="20"/>
                <w:rtl w:val="1"/>
              </w:rPr>
              <w:t xml:space="preserve">   |   19 يوليو 2026</w:t>
            </w:r>
          </w:p>
        </w:tc>
      </w:tr>
      <w:tr>
        <w:trPr>
          <w:cantSplit/>
        </w:trPr>
        <w:tc>
          <w:tcPr>
            <w:tcW w:type="dxa" w:w="10036"/>
            <w:shd w:fill="FFFFFF"/>
            <w:tcMar>
              <w:top w:w="100" w:type="dxa"/>
              <w:start w:w="220" w:type="dxa"/>
              <w:bottom w:w="120" w:type="dxa"/>
              <w:end w:w="220" w:type="dxa"/>
            </w:tcMar>
            <w:tcBorders>
              <w:top w:val="single" w:sz="5" w:color="D9E4EA"/>
              <w:left w:val="single" w:sz="5" w:color="D9E4EA"/>
              <w:bottom w:val="single" w:sz="5" w:color="D9E4EA"/>
              <w:right w:val="single" w:sz="5" w:color="D9E4EA"/>
            </w:tcBorders>
          </w:tcP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متابعة مواد وفيديوهات تدريبية متخصصة لتطوير مهارات المبيعات وتحسين منهجية التعامل مع العملاء.</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التواصل هاتفياً مع العملاء المحتملين وعرض خدمات الشركة بصورة مباشرة واحترافية.</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نشر قصة عبر حساب واتساب الأعمال الرسمي للتعريف بالخدمات والمحافظة على الحضور اليومي أمام العملاء.</w:t>
            </w:r>
          </w:p>
        </w:tc>
      </w:tr>
    </w:tbl>
    <w:p>
      <w:pPr>
        <w:spacing w:after="40"/>
      </w:pPr>
    </w:p>
    <w:p>
      <w:pPr>
        <w:spacing w:before="0" w:after="0" w:line="20" w:lineRule="exact"/>
        <w:pageBreakBefore w:val="1"/>
      </w:pPr>
      <w:r>
        <w:rPr>
          <w:rFonts w:ascii="Noto Sans Arabic" w:hAnsi="Noto Sans Arabic" w:cs="Noto Sans Arabic" w:eastAsia="Noto Sans Arabic"/>
          <w:b w:val="0"/>
          <w:color w:val="FFFFFF"/>
          <w:sz w:val="2"/>
          <w:rtl w:val="1"/>
        </w:rPr>
        <w:t xml:space="preserve"> </w:t>
      </w:r>
    </w:p>
    <w:tbl>
      <w:tblPr>
        <w:tblW w:type="auto" w:w="0"/>
        <w:jc w:val="center"/>
        <w:tblLayout w:type="fixed"/>
        <w:tblLook w:firstColumn="1" w:firstRow="1" w:lastColumn="0" w:lastRow="0" w:noHBand="0" w:noVBand="1" w:val="04A0"/>
      </w:tblPr>
      <w:tblGrid>
        <w:gridCol w:w="170"/>
        <w:gridCol w:w="9354"/>
      </w:tblGrid>
      <w:tr>
        <w:tc>
          <w:tcPr>
            <w:tcW w:type="dxa" w:w="5018"/>
            <w:shd w:fill="C9A227"/>
            <w:tcBorders>
              <w:top w:val="nil"/>
              <w:left w:val="nil"/>
              <w:bottom w:val="nil"/>
              <w:right w:val="nil"/>
            </w:tcBorders>
          </w:tcPr>
          <w:p/>
        </w:tc>
        <w:tc>
          <w:tcPr>
            <w:tcW w:type="dxa" w:w="5018"/>
            <w:shd w:fill="FFFFFF"/>
            <w:tcBorders>
              <w:top w:val="nil"/>
              <w:left w:val="nil"/>
              <w:bottom w:val="nil"/>
              <w:right w:val="nil"/>
            </w:tcBorders>
            <w:tcMar>
              <w:top w:w="40" w:type="dxa"/>
              <w:start w:w="150" w:type="dxa"/>
              <w:bottom w:w="40" w:type="dxa"/>
              <w:end w:w="80" w:type="dxa"/>
            </w:tcMar>
          </w:tcPr>
          <w:p>
            <w:pPr>
              <w:jc w:val="right"/>
              <w:bidi w:val="1"/>
            </w:pPr>
            <w:r>
              <w:rPr>
                <w:rFonts w:ascii="Noto Kufi Arabic" w:hAnsi="Noto Kufi Arabic" w:cs="Noto Kufi Arabic" w:eastAsia="Noto Kufi Arabic"/>
                <w:b/>
                <w:color w:val="0B1F33"/>
                <w:sz w:val="38"/>
                <w:rtl w:val="1"/>
              </w:rPr>
              <w:t>تفاصيل الأعمال اليومية</w:t>
            </w:r>
          </w:p>
          <w:p>
            <w:pPr>
              <w:jc w:val="right"/>
              <w:bidi w:val="1"/>
            </w:pPr>
            <w:r>
              <w:rPr>
                <w:rFonts w:ascii="Noto Sans Arabic" w:hAnsi="Noto Sans Arabic" w:cs="Noto Sans Arabic" w:eastAsia="Noto Sans Arabic"/>
                <w:b w:val="0"/>
                <w:color w:val="607786"/>
                <w:sz w:val="18"/>
                <w:rtl w:val="1"/>
              </w:rPr>
              <w:t>متابعة التنفيذ اليومي - الجزء الثاني</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10036"/>
            <w:shd w:fill="246B9E"/>
            <w:tcMar>
              <w:top w:w="120" w:type="dxa"/>
              <w:start w:w="210" w:type="dxa"/>
              <w:bottom w:w="105" w:type="dxa"/>
              <w:end w:w="210" w:type="dxa"/>
            </w:tcMar>
            <w:tcBorders>
              <w:top w:val="single" w:sz="8" w:color="246B9E"/>
              <w:left w:val="single" w:sz="8" w:color="246B9E"/>
              <w:bottom w:val="single" w:sz="8" w:color="246B9E"/>
              <w:right w:val="single" w:sz="8" w:color="246B9E"/>
            </w:tcBorders>
          </w:tcPr>
          <w:p>
            <w:pPr>
              <w:jc w:val="right"/>
              <w:bidi w:val="1"/>
            </w:pPr>
            <w:r>
              <w:rPr>
                <w:rFonts w:ascii="Noto Kufi Arabic" w:hAnsi="Noto Kufi Arabic" w:cs="Noto Kufi Arabic" w:eastAsia="Noto Kufi Arabic"/>
                <w:b/>
                <w:color w:val="FFFFFF"/>
                <w:sz w:val="30"/>
                <w:rtl w:val="1"/>
              </w:rPr>
              <w:t>الاثنين</w:t>
            </w:r>
            <w:r>
              <w:rPr>
                <w:rFonts w:ascii="Noto Sans Arabic" w:hAnsi="Noto Sans Arabic" w:cs="Noto Sans Arabic" w:eastAsia="Noto Sans Arabic"/>
                <w:b w:val="0"/>
                <w:color w:val="F4EBCB"/>
                <w:sz w:val="20"/>
                <w:rtl w:val="1"/>
              </w:rPr>
              <w:t xml:space="preserve">   |   20 يوليو 2026</w:t>
            </w:r>
          </w:p>
        </w:tc>
      </w:tr>
      <w:tr>
        <w:trPr>
          <w:cantSplit/>
        </w:trPr>
        <w:tc>
          <w:tcPr>
            <w:tcW w:type="dxa" w:w="10036"/>
            <w:shd w:fill="FFFFFF"/>
            <w:tcMar>
              <w:top w:w="100" w:type="dxa"/>
              <w:start w:w="220" w:type="dxa"/>
              <w:bottom w:w="120" w:type="dxa"/>
              <w:end w:w="220" w:type="dxa"/>
            </w:tcMar>
            <w:tcBorders>
              <w:top w:val="single" w:sz="5" w:color="D9E4EA"/>
              <w:left w:val="single" w:sz="5" w:color="D9E4EA"/>
              <w:bottom w:val="single" w:sz="5" w:color="D9E4EA"/>
              <w:right w:val="single" w:sz="5" w:color="D9E4EA"/>
            </w:tcBorders>
          </w:tcP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متابعة الرسائل الواردة من الحملة الإعلانية والرد على استفسارات العملاء بسرعة ووضوح.</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تنسيق وحجز موعد استشارة مجانية مع أحد العملاء المهتمين بخدمات الشركة.</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إجراء اتصالات مع عملاء محتملين للتعريف بالخدمات واستكشاف فرص التعاون.</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متابعة بيانات العملاء وتحديث حالة التواصل وفق نتائج المكالمات وآخر الإجراءات.</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نشر قصة عبر الرقم الرسمي للشركة بهدف تعزيز الوصول والتفاعل مع العملاء.</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نشر منشور توعوي عبر منصة لينكدإن لدعم الحضور الرقمي للشركة وتعزيز التفاعل مع الجمهور المستهدف.</w:t>
            </w:r>
          </w:p>
        </w:tc>
      </w:tr>
    </w:tbl>
    <w:p>
      <w:pPr>
        <w:spacing w:after="40"/>
      </w:pPr>
    </w:p>
    <w:tbl>
      <w:tblPr>
        <w:tblW w:type="auto" w:w="0"/>
        <w:jc w:val="center"/>
        <w:tblLayout w:type="fixed"/>
        <w:tblLook w:firstColumn="1" w:firstRow="1" w:lastColumn="0" w:lastRow="0" w:noHBand="0" w:noVBand="1" w:val="04A0"/>
      </w:tblPr>
      <w:tblGrid>
        <w:gridCol w:w="9468"/>
      </w:tblGrid>
      <w:tr>
        <w:trPr>
          <w:cantSplit/>
        </w:trPr>
        <w:tc>
          <w:tcPr>
            <w:tcW w:type="dxa" w:w="10036"/>
            <w:shd w:fill="2F7D67"/>
            <w:tcMar>
              <w:top w:w="120" w:type="dxa"/>
              <w:start w:w="210" w:type="dxa"/>
              <w:bottom w:w="105" w:type="dxa"/>
              <w:end w:w="210" w:type="dxa"/>
            </w:tcMar>
            <w:tcBorders>
              <w:top w:val="single" w:sz="8" w:color="2F7D67"/>
              <w:left w:val="single" w:sz="8" w:color="2F7D67"/>
              <w:bottom w:val="single" w:sz="8" w:color="2F7D67"/>
              <w:right w:val="single" w:sz="8" w:color="2F7D67"/>
            </w:tcBorders>
          </w:tcPr>
          <w:p>
            <w:pPr>
              <w:jc w:val="right"/>
              <w:bidi w:val="1"/>
            </w:pPr>
            <w:r>
              <w:rPr>
                <w:rFonts w:ascii="Noto Kufi Arabic" w:hAnsi="Noto Kufi Arabic" w:cs="Noto Kufi Arabic" w:eastAsia="Noto Kufi Arabic"/>
                <w:b/>
                <w:color w:val="FFFFFF"/>
                <w:sz w:val="30"/>
                <w:rtl w:val="1"/>
              </w:rPr>
              <w:t>الثلاثاء</w:t>
            </w:r>
            <w:r>
              <w:rPr>
                <w:rFonts w:ascii="Noto Sans Arabic" w:hAnsi="Noto Sans Arabic" w:cs="Noto Sans Arabic" w:eastAsia="Noto Sans Arabic"/>
                <w:b w:val="0"/>
                <w:color w:val="F4EBCB"/>
                <w:sz w:val="20"/>
                <w:rtl w:val="1"/>
              </w:rPr>
              <w:t xml:space="preserve">   |   21 يوليو 2026</w:t>
            </w:r>
          </w:p>
        </w:tc>
      </w:tr>
      <w:tr>
        <w:trPr>
          <w:cantSplit/>
        </w:trPr>
        <w:tc>
          <w:tcPr>
            <w:tcW w:type="dxa" w:w="10036"/>
            <w:shd w:fill="FFFFFF"/>
            <w:tcMar>
              <w:top w:w="100" w:type="dxa"/>
              <w:start w:w="220" w:type="dxa"/>
              <w:bottom w:w="120" w:type="dxa"/>
              <w:end w:w="220" w:type="dxa"/>
            </w:tcMar>
            <w:tcBorders>
              <w:top w:val="single" w:sz="5" w:color="D9E4EA"/>
              <w:left w:val="single" w:sz="5" w:color="D9E4EA"/>
              <w:bottom w:val="single" w:sz="5" w:color="D9E4EA"/>
              <w:right w:val="single" w:sz="5" w:color="D9E4EA"/>
            </w:tcBorders>
          </w:tcP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التواصل هاتفياً مع العملاء المحتملين ومتابعة فرص الاهتمام بالخدمات.</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الرد على استفسارات ورسائل العملاء عبر مختلف قنوات التواصل.</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متابعة فيديو تدريبي لتطوير مهارات المبيعات وتحسين أساليب التواصل والإقناع.</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نشر قصة عبر واتساب الأعمال للتعريف بخدمات الشركة وزيادة التفاعل.</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نشر منشور احترافي عبر لينكدإن لتعزيز الحضور الرقمي للشركة.</w:t>
            </w:r>
          </w:p>
        </w:tc>
      </w:tr>
    </w:tbl>
    <w:p>
      <w:pPr>
        <w:spacing w:after="40"/>
      </w:pPr>
    </w:p>
    <w:p>
      <w:pPr>
        <w:spacing w:before="0" w:after="0" w:line="20" w:lineRule="exact"/>
        <w:pageBreakBefore w:val="1"/>
      </w:pPr>
      <w:r>
        <w:rPr>
          <w:rFonts w:ascii="Noto Sans Arabic" w:hAnsi="Noto Sans Arabic" w:cs="Noto Sans Arabic" w:eastAsia="Noto Sans Arabic"/>
          <w:b w:val="0"/>
          <w:color w:val="FFFFFF"/>
          <w:sz w:val="2"/>
          <w:rtl w:val="1"/>
        </w:rPr>
        <w:t xml:space="preserve"> </w:t>
      </w:r>
    </w:p>
    <w:tbl>
      <w:tblPr>
        <w:tblW w:type="auto" w:w="0"/>
        <w:jc w:val="center"/>
        <w:tblLayout w:type="fixed"/>
        <w:tblLook w:firstColumn="1" w:firstRow="1" w:lastColumn="0" w:lastRow="0" w:noHBand="0" w:noVBand="1" w:val="04A0"/>
      </w:tblPr>
      <w:tblGrid>
        <w:gridCol w:w="170"/>
        <w:gridCol w:w="9354"/>
      </w:tblGrid>
      <w:tr>
        <w:tc>
          <w:tcPr>
            <w:tcW w:type="dxa" w:w="5018"/>
            <w:shd w:fill="C9A227"/>
            <w:tcBorders>
              <w:top w:val="nil"/>
              <w:left w:val="nil"/>
              <w:bottom w:val="nil"/>
              <w:right w:val="nil"/>
            </w:tcBorders>
          </w:tcPr>
          <w:p/>
        </w:tc>
        <w:tc>
          <w:tcPr>
            <w:tcW w:type="dxa" w:w="5018"/>
            <w:shd w:fill="FFFFFF"/>
            <w:tcBorders>
              <w:top w:val="nil"/>
              <w:left w:val="nil"/>
              <w:bottom w:val="nil"/>
              <w:right w:val="nil"/>
            </w:tcBorders>
            <w:tcMar>
              <w:top w:w="40" w:type="dxa"/>
              <w:start w:w="150" w:type="dxa"/>
              <w:bottom w:w="40" w:type="dxa"/>
              <w:end w:w="80" w:type="dxa"/>
            </w:tcMar>
          </w:tcPr>
          <w:p>
            <w:pPr>
              <w:jc w:val="right"/>
              <w:bidi w:val="1"/>
            </w:pPr>
            <w:r>
              <w:rPr>
                <w:rFonts w:ascii="Noto Kufi Arabic" w:hAnsi="Noto Kufi Arabic" w:cs="Noto Kufi Arabic" w:eastAsia="Noto Kufi Arabic"/>
                <w:b/>
                <w:color w:val="0B1F33"/>
                <w:sz w:val="38"/>
                <w:rtl w:val="1"/>
              </w:rPr>
              <w:t>تفاصيل الأعمال اليومية</w:t>
            </w:r>
          </w:p>
          <w:p>
            <w:pPr>
              <w:jc w:val="right"/>
              <w:bidi w:val="1"/>
            </w:pPr>
            <w:r>
              <w:rPr>
                <w:rFonts w:ascii="Noto Sans Arabic" w:hAnsi="Noto Sans Arabic" w:cs="Noto Sans Arabic" w:eastAsia="Noto Sans Arabic"/>
                <w:b w:val="0"/>
                <w:color w:val="607786"/>
                <w:sz w:val="18"/>
                <w:rtl w:val="1"/>
              </w:rPr>
              <w:t>متابعة التنفيذ اليومي - الجزء الثالث</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10036"/>
            <w:shd w:fill="0B1F33"/>
            <w:tcMar>
              <w:top w:w="120" w:type="dxa"/>
              <w:start w:w="210" w:type="dxa"/>
              <w:bottom w:w="105" w:type="dxa"/>
              <w:end w:w="210" w:type="dxa"/>
            </w:tcMar>
            <w:tcBorders>
              <w:top w:val="single" w:sz="8" w:color="0B1F33"/>
              <w:left w:val="single" w:sz="8" w:color="0B1F33"/>
              <w:bottom w:val="single" w:sz="8" w:color="0B1F33"/>
              <w:right w:val="single" w:sz="8" w:color="0B1F33"/>
            </w:tcBorders>
          </w:tcPr>
          <w:p>
            <w:pPr>
              <w:jc w:val="right"/>
              <w:bidi w:val="1"/>
            </w:pPr>
            <w:r>
              <w:rPr>
                <w:rFonts w:ascii="Noto Kufi Arabic" w:hAnsi="Noto Kufi Arabic" w:cs="Noto Kufi Arabic" w:eastAsia="Noto Kufi Arabic"/>
                <w:b/>
                <w:color w:val="FFFFFF"/>
                <w:sz w:val="30"/>
                <w:rtl w:val="1"/>
              </w:rPr>
              <w:t>الأربعاء</w:t>
            </w:r>
            <w:r>
              <w:rPr>
                <w:rFonts w:ascii="Noto Sans Arabic" w:hAnsi="Noto Sans Arabic" w:cs="Noto Sans Arabic" w:eastAsia="Noto Sans Arabic"/>
                <w:b w:val="0"/>
                <w:color w:val="F4EBCB"/>
                <w:sz w:val="20"/>
                <w:rtl w:val="1"/>
              </w:rPr>
              <w:t xml:space="preserve">   |   22 يوليو 2026</w:t>
            </w:r>
          </w:p>
        </w:tc>
      </w:tr>
      <w:tr>
        <w:trPr>
          <w:cantSplit/>
        </w:trPr>
        <w:tc>
          <w:tcPr>
            <w:tcW w:type="dxa" w:w="10036"/>
            <w:shd w:fill="FFFFFF"/>
            <w:tcMar>
              <w:top w:w="100" w:type="dxa"/>
              <w:start w:w="220" w:type="dxa"/>
              <w:bottom w:w="120" w:type="dxa"/>
              <w:end w:w="220" w:type="dxa"/>
            </w:tcMar>
            <w:tcBorders>
              <w:top w:val="single" w:sz="5" w:color="D9E4EA"/>
              <w:left w:val="single" w:sz="5" w:color="D9E4EA"/>
              <w:bottom w:val="single" w:sz="5" w:color="D9E4EA"/>
              <w:right w:val="single" w:sz="5" w:color="D9E4EA"/>
            </w:tcBorders>
          </w:tcP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التواصل هاتفياً مع العملاء المحتملين للتعريف بخدمات الشركة وتحديد فرص المتابعة.</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متابعة العملاء الذين سبق لهم حضور اجتماع استشاري، للاستفسار عن نتائج الاجتماع ومعرفة مرحلة اتخاذ القرار.</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الرد على استفسارات ورسائل العملاء عبر منصات التواصل المختلفة.</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إعداد وصياغة افتتاحيات وأفكار جديدة للمكالمات الهاتفية بهدف جذب انتباه العملاء وتحسين أسلوب التواصل والإقناع.</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نشر قصة عبر واتساب الأعمال للترويج لخدمات الشركة وزيادة الوصول إلى العملاء المحتملين.</w:t>
            </w:r>
          </w:p>
        </w:tc>
      </w:tr>
    </w:tbl>
    <w:p>
      <w:pPr>
        <w:spacing w:after="40"/>
      </w:pPr>
    </w:p>
    <w:tbl>
      <w:tblPr>
        <w:tblW w:type="auto" w:w="0"/>
        <w:jc w:val="center"/>
        <w:tblLayout w:type="fixed"/>
        <w:tblLook w:firstColumn="1" w:firstRow="1" w:lastColumn="0" w:lastRow="0" w:noHBand="0" w:noVBand="1" w:val="04A0"/>
      </w:tblPr>
      <w:tblGrid>
        <w:gridCol w:w="9468"/>
      </w:tblGrid>
      <w:tr>
        <w:trPr>
          <w:cantSplit/>
        </w:trPr>
        <w:tc>
          <w:tcPr>
            <w:tcW w:type="dxa" w:w="10036"/>
            <w:shd w:fill="005481"/>
            <w:tcMar>
              <w:top w:w="120" w:type="dxa"/>
              <w:start w:w="210" w:type="dxa"/>
              <w:bottom w:w="105" w:type="dxa"/>
              <w:end w:w="210" w:type="dxa"/>
            </w:tcMar>
            <w:tcBorders>
              <w:top w:val="single" w:sz="8" w:color="005481"/>
              <w:left w:val="single" w:sz="8" w:color="005481"/>
              <w:bottom w:val="single" w:sz="8" w:color="005481"/>
              <w:right w:val="single" w:sz="8" w:color="005481"/>
            </w:tcBorders>
          </w:tcPr>
          <w:p>
            <w:pPr>
              <w:jc w:val="right"/>
              <w:bidi w:val="1"/>
            </w:pPr>
            <w:r>
              <w:rPr>
                <w:rFonts w:ascii="Noto Kufi Arabic" w:hAnsi="Noto Kufi Arabic" w:cs="Noto Kufi Arabic" w:eastAsia="Noto Kufi Arabic"/>
                <w:b/>
                <w:color w:val="FFFFFF"/>
                <w:sz w:val="30"/>
                <w:rtl w:val="1"/>
              </w:rPr>
              <w:t>الخميس</w:t>
            </w:r>
            <w:r>
              <w:rPr>
                <w:rFonts w:ascii="Noto Sans Arabic" w:hAnsi="Noto Sans Arabic" w:cs="Noto Sans Arabic" w:eastAsia="Noto Sans Arabic"/>
                <w:b w:val="0"/>
                <w:color w:val="F4EBCB"/>
                <w:sz w:val="20"/>
                <w:rtl w:val="1"/>
              </w:rPr>
              <w:t xml:space="preserve">   |   23 يوليو 2026</w:t>
            </w:r>
          </w:p>
        </w:tc>
      </w:tr>
      <w:tr>
        <w:trPr>
          <w:cantSplit/>
        </w:trPr>
        <w:tc>
          <w:tcPr>
            <w:tcW w:type="dxa" w:w="10036"/>
            <w:shd w:fill="FFFFFF"/>
            <w:tcMar>
              <w:top w:w="100" w:type="dxa"/>
              <w:start w:w="220" w:type="dxa"/>
              <w:bottom w:w="120" w:type="dxa"/>
              <w:end w:w="220" w:type="dxa"/>
            </w:tcMar>
            <w:tcBorders>
              <w:top w:val="single" w:sz="5" w:color="D9E4EA"/>
              <w:left w:val="single" w:sz="5" w:color="D9E4EA"/>
              <w:bottom w:val="single" w:sz="5" w:color="D9E4EA"/>
              <w:right w:val="single" w:sz="5" w:color="D9E4EA"/>
            </w:tcBorders>
          </w:tcP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التواصل هاتفياً مع العملاء الذين تواصلوا عبر واتساب وأبدوا اهتمامهم بخدمات الشركة.</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التواصل مع أرقام العملاء المدرجة في ورقة البيانات الجديدة ومباشرة المتابعة معهم.</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البحث عن شركات عبر مواقع التواصل الاجتماعي والتواصل معها لعرض خدمات الشركة.</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الرد على استفسارات ورسائل العملاء عبر منصات التواصل المختلفة.</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نقل بيانات العملاء الواردة من واتساب إلى ملف إكسل وتحديث قاعدة بيانات العملاء.</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الاطلاع على معلومات الشركات قبل التواصل معها لضمان تقديم عرض أكثر ارتباطاً بطبيعة نشاطها واحتياجاتها.</w:t>
            </w:r>
          </w:p>
          <w:p>
            <w:pPr>
              <w:spacing w:after="80" w:line="276" w:lineRule="auto"/>
              <w:jc w:val="right"/>
              <w:bidi w:val="1"/>
            </w:pPr>
            <w:r>
              <w:rPr>
                <w:rFonts w:ascii="Noto Sans Arabic" w:hAnsi="Noto Sans Arabic" w:cs="Noto Sans Arabic" w:eastAsia="Noto Sans Arabic"/>
                <w:b/>
                <w:color w:val="C9A227"/>
                <w:sz w:val="16"/>
                <w:rtl w:val="1"/>
              </w:rPr>
              <w:t xml:space="preserve">● </w:t>
            </w:r>
            <w:r>
              <w:rPr>
                <w:rFonts w:ascii="Noto Sans Arabic" w:hAnsi="Noto Sans Arabic" w:cs="Noto Sans Arabic" w:eastAsia="Noto Sans Arabic"/>
                <w:b w:val="0"/>
                <w:color w:val="172B3A"/>
                <w:sz w:val="20"/>
                <w:rtl w:val="1"/>
              </w:rPr>
              <w:t>نشر منشور عبر لينكدإن لدعم التواجد الرقمي للشركة.</w:t>
            </w:r>
          </w:p>
        </w:tc>
      </w:tr>
    </w:tbl>
    <w:p>
      <w:pPr>
        <w:spacing w:after="40"/>
      </w:pPr>
    </w:p>
    <w:tbl>
      <w:tblPr>
        <w:tblW w:type="auto" w:w="0"/>
        <w:jc w:val="center"/>
        <w:tblLayout w:type="fixed"/>
        <w:tblLook w:firstColumn="1" w:firstRow="1" w:lastColumn="0" w:lastRow="0" w:noHBand="0" w:noVBand="1" w:val="04A0"/>
      </w:tblPr>
      <w:tblGrid>
        <w:gridCol w:w="170"/>
        <w:gridCol w:w="9354"/>
      </w:tblGrid>
      <w:tr>
        <w:tc>
          <w:tcPr>
            <w:tcW w:type="dxa" w:w="5018"/>
            <w:shd w:fill="C9A227"/>
            <w:tcBorders>
              <w:top w:val="nil"/>
              <w:left w:val="nil"/>
              <w:bottom w:val="nil"/>
              <w:right w:val="nil"/>
            </w:tcBorders>
          </w:tcPr>
          <w:p/>
        </w:tc>
        <w:tc>
          <w:tcPr>
            <w:tcW w:type="dxa" w:w="5018"/>
            <w:shd w:fill="FFFFFF"/>
            <w:tcBorders>
              <w:top w:val="nil"/>
              <w:left w:val="nil"/>
              <w:bottom w:val="nil"/>
              <w:right w:val="nil"/>
            </w:tcBorders>
            <w:tcMar>
              <w:top w:w="40" w:type="dxa"/>
              <w:start w:w="150" w:type="dxa"/>
              <w:bottom w:w="40" w:type="dxa"/>
              <w:end w:w="80" w:type="dxa"/>
            </w:tcMar>
          </w:tcPr>
          <w:p>
            <w:pPr>
              <w:jc w:val="right"/>
              <w:bidi w:val="1"/>
            </w:pPr>
            <w:r>
              <w:rPr>
                <w:rFonts w:ascii="Noto Kufi Arabic" w:hAnsi="Noto Kufi Arabic" w:cs="Noto Kufi Arabic" w:eastAsia="Noto Kufi Arabic"/>
                <w:b/>
                <w:color w:val="0B1F33"/>
                <w:sz w:val="38"/>
                <w:rtl w:val="1"/>
              </w:rPr>
              <w:t>تحليل الأعمال حسب المسار</w:t>
            </w:r>
          </w:p>
          <w:p>
            <w:pPr>
              <w:jc w:val="right"/>
              <w:bidi w:val="1"/>
            </w:pPr>
            <w:r>
              <w:rPr>
                <w:rFonts w:ascii="Noto Sans Arabic" w:hAnsi="Noto Sans Arabic" w:cs="Noto Sans Arabic" w:eastAsia="Noto Sans Arabic"/>
                <w:b w:val="0"/>
                <w:color w:val="607786"/>
                <w:sz w:val="18"/>
                <w:rtl w:val="1"/>
              </w:rPr>
              <w:t>قراءة إدارية لنوعية الأنشطة وأثرها التشغيلي</w:t>
            </w:r>
          </w:p>
        </w:tc>
      </w:tr>
    </w:tbl>
    <w:p>
      <w:pPr>
        <w:spacing w:after="20"/>
      </w:pPr>
    </w:p>
    <w:tbl>
      <w:tblPr>
        <w:tblW w:type="auto" w:w="0"/>
        <w:jc w:val="center"/>
        <w:tblLayout w:type="fixed"/>
        <w:tblLook w:firstColumn="1" w:firstRow="1" w:lastColumn="0" w:lastRow="0" w:noHBand="0" w:noVBand="1" w:val="04A0"/>
        <w:bidiVisual w:val="1"/>
      </w:tblPr>
      <w:tblGrid>
        <w:gridCol w:w="1984"/>
        <w:gridCol w:w="4706"/>
        <w:gridCol w:w="2778"/>
      </w:tblGrid>
      <w:tr>
        <w:trPr>
          <w:cantSplit/>
        </w:trPr>
        <w:tc>
          <w:tcPr>
            <w:tcW w:type="dxa" w:w="3345"/>
            <w:shd w:fill="0B1F33"/>
            <w:tcMar>
              <w:top w:w="100" w:type="dxa"/>
              <w:start w:w="90" w:type="dxa"/>
              <w:bottom w:w="100" w:type="dxa"/>
              <w:end w:w="90" w:type="dxa"/>
            </w:tcMar>
            <w:tcBorders>
              <w:top w:val="single" w:sz="6" w:color="0B1F33"/>
              <w:left w:val="single" w:sz="4" w:color="FFFFFF"/>
              <w:bottom w:val="single" w:sz="6" w:color="0B1F33"/>
              <w:right w:val="single" w:sz="4" w:color="FFFFFF"/>
            </w:tcBorders>
          </w:tcPr>
          <w:p>
            <w:pPr>
              <w:jc w:val="center"/>
              <w:bidi w:val="1"/>
            </w:pPr>
            <w:r>
              <w:rPr>
                <w:rFonts w:ascii="Noto Kufi Arabic" w:hAnsi="Noto Kufi Arabic" w:cs="Noto Kufi Arabic" w:eastAsia="Noto Kufi Arabic"/>
                <w:b/>
                <w:color w:val="FFFFFF"/>
                <w:sz w:val="19"/>
                <w:rtl w:val="1"/>
              </w:rPr>
              <w:t>المسار</w:t>
            </w:r>
          </w:p>
        </w:tc>
        <w:tc>
          <w:tcPr>
            <w:tcW w:type="dxa" w:w="3345"/>
            <w:shd w:fill="0B1F33"/>
            <w:tcMar>
              <w:top w:w="100" w:type="dxa"/>
              <w:start w:w="90" w:type="dxa"/>
              <w:bottom w:w="100" w:type="dxa"/>
              <w:end w:w="90" w:type="dxa"/>
            </w:tcMar>
            <w:tcBorders>
              <w:top w:val="single" w:sz="6" w:color="0B1F33"/>
              <w:left w:val="single" w:sz="4" w:color="FFFFFF"/>
              <w:bottom w:val="single" w:sz="6" w:color="0B1F33"/>
              <w:right w:val="single" w:sz="4" w:color="FFFFFF"/>
            </w:tcBorders>
          </w:tcPr>
          <w:p>
            <w:pPr>
              <w:jc w:val="center"/>
              <w:bidi w:val="1"/>
            </w:pPr>
            <w:r>
              <w:rPr>
                <w:rFonts w:ascii="Noto Kufi Arabic" w:hAnsi="Noto Kufi Arabic" w:cs="Noto Kufi Arabic" w:eastAsia="Noto Kufi Arabic"/>
                <w:b/>
                <w:color w:val="FFFFFF"/>
                <w:sz w:val="19"/>
                <w:rtl w:val="1"/>
              </w:rPr>
              <w:t>ما تم تنفيذه</w:t>
            </w:r>
          </w:p>
        </w:tc>
        <w:tc>
          <w:tcPr>
            <w:tcW w:type="dxa" w:w="3345"/>
            <w:shd w:fill="0B1F33"/>
            <w:tcMar>
              <w:top w:w="100" w:type="dxa"/>
              <w:start w:w="90" w:type="dxa"/>
              <w:bottom w:w="100" w:type="dxa"/>
              <w:end w:w="90" w:type="dxa"/>
            </w:tcMar>
            <w:tcBorders>
              <w:top w:val="single" w:sz="6" w:color="0B1F33"/>
              <w:left w:val="single" w:sz="4" w:color="FFFFFF"/>
              <w:bottom w:val="single" w:sz="6" w:color="0B1F33"/>
              <w:right w:val="single" w:sz="4" w:color="FFFFFF"/>
            </w:tcBorders>
          </w:tcPr>
          <w:p>
            <w:pPr>
              <w:jc w:val="center"/>
              <w:bidi w:val="1"/>
            </w:pPr>
            <w:r>
              <w:rPr>
                <w:rFonts w:ascii="Noto Kufi Arabic" w:hAnsi="Noto Kufi Arabic" w:cs="Noto Kufi Arabic" w:eastAsia="Noto Kufi Arabic"/>
                <w:b/>
                <w:color w:val="FFFFFF"/>
                <w:sz w:val="19"/>
                <w:rtl w:val="1"/>
              </w:rPr>
              <w:t>الأثر التشغيلي المتوقع</w:t>
            </w:r>
          </w:p>
        </w:tc>
      </w:tr>
      <w:tr>
        <w:trPr>
          <w:cantSplit/>
        </w:trPr>
        <w:tc>
          <w:tcPr>
            <w:tcW w:type="dxa" w:w="3345"/>
            <w:shd w:fill="F8FAFB"/>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Kufi Arabic" w:hAnsi="Noto Kufi Arabic" w:cs="Noto Kufi Arabic" w:eastAsia="Noto Kufi Arabic"/>
                <w:b/>
                <w:color w:val="005481"/>
                <w:sz w:val="18"/>
                <w:rtl w:val="1"/>
              </w:rPr>
              <w:t>المبيعات وتوليد الفرص</w:t>
            </w:r>
          </w:p>
        </w:tc>
        <w:tc>
          <w:tcPr>
            <w:tcW w:type="dxa" w:w="3345"/>
            <w:shd w:fill="F8FAFB"/>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استمر التواصل الهاتفي على مدار أيام الأسبوع، مع توسيع دائرة الوصول لتشمل عملاء من الحملات الإعلانية، أرقاماً جديدة، وشركات تم البحث عنها عبر مواقع التواصل.</w:t>
            </w:r>
          </w:p>
        </w:tc>
        <w:tc>
          <w:tcPr>
            <w:tcW w:type="dxa" w:w="3345"/>
            <w:shd w:fill="F8FAFB"/>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تعزيز تدفق العملاء المحتملين وتوفير فرص جديدة للمتابعة والتحويل.</w:t>
            </w:r>
          </w:p>
        </w:tc>
      </w:tr>
      <w:tr>
        <w:trPr>
          <w:cantSplit/>
        </w:trPr>
        <w:tc>
          <w:tcPr>
            <w:tcW w:type="dxa" w:w="3345"/>
            <w:shd w:fill="EEF4F7"/>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Kufi Arabic" w:hAnsi="Noto Kufi Arabic" w:cs="Noto Kufi Arabic" w:eastAsia="Noto Kufi Arabic"/>
                <w:b/>
                <w:color w:val="005481"/>
                <w:sz w:val="18"/>
                <w:rtl w:val="1"/>
              </w:rPr>
              <w:t>إدارة علاقات العملاء والبيانات</w:t>
            </w:r>
          </w:p>
        </w:tc>
        <w:tc>
          <w:tcPr>
            <w:tcW w:type="dxa" w:w="3345"/>
            <w:shd w:fill="EEF4F7"/>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تم تنظيم بيانات العملاء، فصل الحالات في أوراق عمل، تحديث نتائج المكالمات، وإضافة العملاء الواردين من واتساب إلى قاعدة البيانات.</w:t>
            </w:r>
          </w:p>
        </w:tc>
        <w:tc>
          <w:tcPr>
            <w:tcW w:type="dxa" w:w="3345"/>
            <w:shd w:fill="EEF4F7"/>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تحسين دقة المتابعة وتقليل فقدان الفرص ورفع وضوح حالة كل عميل.</w:t>
            </w:r>
          </w:p>
        </w:tc>
      </w:tr>
      <w:tr>
        <w:trPr>
          <w:cantSplit/>
        </w:trPr>
        <w:tc>
          <w:tcPr>
            <w:tcW w:type="dxa" w:w="3345"/>
            <w:shd w:fill="F8FAFB"/>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Kufi Arabic" w:hAnsi="Noto Kufi Arabic" w:cs="Noto Kufi Arabic" w:eastAsia="Noto Kufi Arabic"/>
                <w:b/>
                <w:color w:val="005481"/>
                <w:sz w:val="18"/>
                <w:rtl w:val="1"/>
              </w:rPr>
              <w:t>الاستشارات والمتابعة</w:t>
            </w:r>
          </w:p>
        </w:tc>
        <w:tc>
          <w:tcPr>
            <w:tcW w:type="dxa" w:w="3345"/>
            <w:shd w:fill="F8FAFB"/>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شملت الأعمال تنسيق اجتماع استشاري، جمع معلومات عن نشاط العميل قبل الاجتماع، حجز استشارة مجانية، ومتابعة العملاء بعد الاجتماعات.</w:t>
            </w:r>
          </w:p>
        </w:tc>
        <w:tc>
          <w:tcPr>
            <w:tcW w:type="dxa" w:w="3345"/>
            <w:shd w:fill="F8FAFB"/>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رفع جاهزية الاجتماعات وتحسين جودة المتابعة بعد تقديم الاستشارة.</w:t>
            </w:r>
          </w:p>
        </w:tc>
      </w:tr>
      <w:tr>
        <w:trPr>
          <w:cantSplit/>
        </w:trPr>
        <w:tc>
          <w:tcPr>
            <w:tcW w:type="dxa" w:w="3345"/>
            <w:shd w:fill="EEF4F7"/>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Kufi Arabic" w:hAnsi="Noto Kufi Arabic" w:cs="Noto Kufi Arabic" w:eastAsia="Noto Kufi Arabic"/>
                <w:b/>
                <w:color w:val="005481"/>
                <w:sz w:val="18"/>
                <w:rtl w:val="1"/>
              </w:rPr>
              <w:t>الحضور الرقمي</w:t>
            </w:r>
          </w:p>
        </w:tc>
        <w:tc>
          <w:tcPr>
            <w:tcW w:type="dxa" w:w="3345"/>
            <w:shd w:fill="EEF4F7"/>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تم الحفاظ على نشاط منتظم عبر قصص واتساب الأعمال ومنشورات لينكدإن التوعوية والاحترافية.</w:t>
            </w:r>
          </w:p>
        </w:tc>
        <w:tc>
          <w:tcPr>
            <w:tcW w:type="dxa" w:w="3345"/>
            <w:shd w:fill="EEF4F7"/>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دعم الوعي بالخدمات والمحافظة على تواصل مستمر مع الجمهور المستهدف.</w:t>
            </w:r>
          </w:p>
        </w:tc>
      </w:tr>
      <w:tr>
        <w:trPr>
          <w:cantSplit/>
        </w:trPr>
        <w:tc>
          <w:tcPr>
            <w:tcW w:type="dxa" w:w="3345"/>
            <w:shd w:fill="F8FAFB"/>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Kufi Arabic" w:hAnsi="Noto Kufi Arabic" w:cs="Noto Kufi Arabic" w:eastAsia="Noto Kufi Arabic"/>
                <w:b/>
                <w:color w:val="005481"/>
                <w:sz w:val="18"/>
                <w:rtl w:val="1"/>
              </w:rPr>
              <w:t>تطوير مهارات البيع</w:t>
            </w:r>
          </w:p>
        </w:tc>
        <w:tc>
          <w:tcPr>
            <w:tcW w:type="dxa" w:w="3345"/>
            <w:shd w:fill="F8FAFB"/>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تمت متابعة مواد تدريبية وصياغة افتتاحيات جديدة للمكالمات بهدف تحسين الجذب والإقناع.</w:t>
            </w:r>
          </w:p>
        </w:tc>
        <w:tc>
          <w:tcPr>
            <w:tcW w:type="dxa" w:w="3345"/>
            <w:shd w:fill="F8FAFB"/>
            <w:tcMar>
              <w:top w:w="90" w:type="dxa"/>
              <w:start w:w="100" w:type="dxa"/>
              <w:bottom w:w="90" w:type="dxa"/>
              <w:end w:w="100" w:type="dxa"/>
            </w:tcMar>
            <w:tcBorders>
              <w:top w:val="single" w:sz="4" w:color="D8E3E9"/>
              <w:left w:val="single" w:sz="4" w:color="D8E3E9"/>
              <w:bottom w:val="single" w:sz="4" w:color="D8E3E9"/>
              <w:right w:val="single" w:sz="4" w:color="D8E3E9"/>
            </w:tcBorders>
          </w:tcPr>
          <w:p>
            <w:pPr>
              <w:jc w:val="right"/>
              <w:bidi w:val="1"/>
            </w:pPr>
            <w:r>
              <w:rPr>
                <w:rFonts w:ascii="Noto Sans Arabic" w:hAnsi="Noto Sans Arabic" w:cs="Noto Sans Arabic" w:eastAsia="Noto Sans Arabic"/>
                <w:b w:val="0"/>
                <w:color w:val="172B3A"/>
                <w:sz w:val="17"/>
                <w:rtl w:val="1"/>
              </w:rPr>
              <w:t>تطوير جودة المحادثة الهاتفية ورفع فرص استمرار العميل في المكالمة.</w:t>
            </w:r>
          </w:p>
        </w:tc>
      </w:tr>
    </w:tbl>
    <w:p>
      <w:pPr>
        <w:spacing w:after="40"/>
      </w:pPr>
    </w:p>
    <w:p>
      <w:pPr>
        <w:spacing w:before="0" w:after="0" w:line="20" w:lineRule="exact"/>
        <w:pageBreakBefore w:val="1"/>
      </w:pPr>
      <w:r>
        <w:rPr>
          <w:rFonts w:ascii="Noto Sans Arabic" w:hAnsi="Noto Sans Arabic" w:cs="Noto Sans Arabic" w:eastAsia="Noto Sans Arabic"/>
          <w:b w:val="0"/>
          <w:color w:val="FFFFFF"/>
          <w:sz w:val="2"/>
          <w:rtl w:val="1"/>
        </w:rPr>
        <w:t xml:space="preserve"> </w:t>
      </w:r>
    </w:p>
    <w:tbl>
      <w:tblPr>
        <w:tblW w:type="auto" w:w="0"/>
        <w:jc w:val="center"/>
        <w:tblLayout w:type="fixed"/>
        <w:tblLook w:firstColumn="1" w:firstRow="1" w:lastColumn="0" w:lastRow="0" w:noHBand="0" w:noVBand="1" w:val="04A0"/>
      </w:tblPr>
      <w:tblGrid>
        <w:gridCol w:w="170"/>
        <w:gridCol w:w="9354"/>
      </w:tblGrid>
      <w:tr>
        <w:tc>
          <w:tcPr>
            <w:tcW w:type="dxa" w:w="5018"/>
            <w:shd w:fill="C9A227"/>
            <w:tcBorders>
              <w:top w:val="nil"/>
              <w:left w:val="nil"/>
              <w:bottom w:val="nil"/>
              <w:right w:val="nil"/>
            </w:tcBorders>
          </w:tcPr>
          <w:p/>
        </w:tc>
        <w:tc>
          <w:tcPr>
            <w:tcW w:type="dxa" w:w="5018"/>
            <w:shd w:fill="FFFFFF"/>
            <w:tcBorders>
              <w:top w:val="nil"/>
              <w:left w:val="nil"/>
              <w:bottom w:val="nil"/>
              <w:right w:val="nil"/>
            </w:tcBorders>
            <w:tcMar>
              <w:top w:w="40" w:type="dxa"/>
              <w:start w:w="150" w:type="dxa"/>
              <w:bottom w:w="40" w:type="dxa"/>
              <w:end w:w="80" w:type="dxa"/>
            </w:tcMar>
          </w:tcPr>
          <w:p>
            <w:pPr>
              <w:jc w:val="right"/>
              <w:bidi w:val="1"/>
            </w:pPr>
            <w:r>
              <w:rPr>
                <w:rFonts w:ascii="Noto Kufi Arabic" w:hAnsi="Noto Kufi Arabic" w:cs="Noto Kufi Arabic" w:eastAsia="Noto Kufi Arabic"/>
                <w:b/>
                <w:color w:val="0B1F33"/>
                <w:sz w:val="38"/>
                <w:rtl w:val="1"/>
              </w:rPr>
              <w:t>النتائج والملاحظات الإدارية</w:t>
            </w:r>
          </w:p>
          <w:p>
            <w:pPr>
              <w:jc w:val="right"/>
              <w:bidi w:val="1"/>
            </w:pPr>
            <w:r>
              <w:rPr>
                <w:rFonts w:ascii="Noto Sans Arabic" w:hAnsi="Noto Sans Arabic" w:cs="Noto Sans Arabic" w:eastAsia="Noto Sans Arabic"/>
                <w:b w:val="0"/>
                <w:color w:val="607786"/>
                <w:sz w:val="18"/>
                <w:rtl w:val="1"/>
              </w:rPr>
              <w:t>أهم المخرجات العملية والتوصيات المقترحة للأسبوع التالي</w:t>
            </w:r>
          </w:p>
        </w:tc>
      </w:tr>
    </w:tbl>
    <w:p>
      <w:pPr>
        <w:spacing w:after="20"/>
      </w:pPr>
    </w:p>
    <w:tbl>
      <w:tblPr>
        <w:tblW w:type="auto" w:w="0"/>
        <w:jc w:val="center"/>
        <w:tblLayout w:type="fixed"/>
        <w:tblLook w:firstColumn="1" w:firstRow="1" w:lastColumn="0" w:lastRow="0" w:noHBand="0" w:noVBand="1" w:val="04A0"/>
      </w:tblPr>
      <w:tblGrid>
        <w:gridCol w:w="198"/>
        <w:gridCol w:w="9269"/>
      </w:tblGrid>
      <w:tr>
        <w:tc>
          <w:tcPr>
            <w:tcW w:type="dxa" w:w="5018"/>
            <w:shd w:fill="005481"/>
            <w:tcBorders>
              <w:top w:val="nil"/>
              <w:left w:val="nil"/>
              <w:bottom w:val="nil"/>
              <w:right w:val="nil"/>
            </w:tcBorders>
          </w:tcPr>
          <w:p/>
        </w:tc>
        <w:tc>
          <w:tcPr>
            <w:tcW w:type="dxa" w:w="5018"/>
            <w:shd w:fill="EAF3F7"/>
            <w:tcMar>
              <w:top w:w="130" w:type="dxa"/>
              <w:start w:w="190" w:type="dxa"/>
              <w:bottom w:w="130" w:type="dxa"/>
              <w:end w:w="190" w:type="dxa"/>
            </w:tcMar>
            <w:tcBorders>
              <w:top w:val="nil"/>
              <w:left w:val="nil"/>
              <w:bottom w:val="nil"/>
              <w:right w:val="nil"/>
            </w:tcBorders>
          </w:tcPr>
          <w:p>
            <w:pPr>
              <w:jc w:val="right"/>
              <w:bidi w:val="1"/>
            </w:pPr>
            <w:r>
              <w:rPr>
                <w:rFonts w:ascii="Noto Kufi Arabic" w:hAnsi="Noto Kufi Arabic" w:cs="Noto Kufi Arabic" w:eastAsia="Noto Kufi Arabic"/>
                <w:b/>
                <w:color w:val="0B1F33"/>
                <w:sz w:val="24"/>
                <w:rtl w:val="1"/>
              </w:rPr>
              <w:t>المخرجات المحققة</w:t>
            </w:r>
          </w:p>
          <w:p>
            <w:pPr>
              <w:spacing w:line="300" w:lineRule="auto"/>
              <w:jc w:val="right"/>
              <w:bidi w:val="1"/>
            </w:pPr>
            <w:r>
              <w:rPr>
                <w:rFonts w:ascii="Noto Sans Arabic" w:hAnsi="Noto Sans Arabic" w:cs="Noto Sans Arabic" w:eastAsia="Noto Sans Arabic"/>
                <w:b w:val="0"/>
                <w:color w:val="172B3A"/>
                <w:sz w:val="21"/>
                <w:rtl w:val="1"/>
              </w:rPr>
              <w:t>1. بناء متابعة أكثر تنظيماً لبيانات العملاء عبر تصنيف الحالات وتحديث نتائج التواصل.</w:t>
              <w:br/>
              <w:t>2. استمرار الوصول المباشر إلى العملاء المحتملين من عدة مصادر وقنوات.</w:t>
              <w:br/>
              <w:t>3. تحسين مستوى الجاهزية للاجتماعات الاستشارية من خلال البحث المسبق والمتابعة اللاحقة.</w:t>
              <w:br/>
              <w:t>4. الحفاظ على حضور رقمي مستمر عبر واتساب الأعمال ولينكدإن.</w:t>
              <w:br/>
              <w:t>5. تطوير أسلوب المكالمات وافتتاحياتها لدعم الإقناع وجذب الانتباه.</w:t>
            </w:r>
          </w:p>
        </w:tc>
      </w:tr>
    </w:tbl>
    <w:p>
      <w:pPr>
        <w:spacing w:after="40"/>
      </w:pPr>
    </w:p>
    <w:tbl>
      <w:tblPr>
        <w:tblW w:type="auto" w:w="0"/>
        <w:jc w:val="center"/>
        <w:tblLayout w:type="fixed"/>
        <w:tblLook w:firstColumn="1" w:firstRow="1" w:lastColumn="0" w:lastRow="0" w:noHBand="0" w:noVBand="1" w:val="04A0"/>
      </w:tblPr>
      <w:tblGrid>
        <w:gridCol w:w="3146"/>
        <w:gridCol w:w="3146"/>
        <w:gridCol w:w="3146"/>
      </w:tblGrid>
      <w:tr>
        <w:trPr>
          <w:cantSplit/>
        </w:trPr>
        <w:tc>
          <w:tcPr>
            <w:tcW w:type="dxa" w:w="3345"/>
            <w:shd w:fill="F7F3E5"/>
            <w:tcMar>
              <w:top w:w="160" w:type="dxa"/>
              <w:start w:w="140" w:type="dxa"/>
              <w:bottom w:w="150" w:type="dxa"/>
              <w:end w:w="140" w:type="dxa"/>
            </w:tcMar>
            <w:tcBorders>
              <w:top w:val="single" w:sz="8" w:color="C9A227"/>
              <w:left w:val="single" w:sz="5" w:color="DFD7B8"/>
              <w:bottom w:val="single" w:sz="5" w:color="DFD7B8"/>
              <w:right w:val="single" w:sz="5" w:color="DFD7B8"/>
            </w:tcBorders>
          </w:tcPr>
          <w:p>
            <w:pPr>
              <w:jc w:val="center"/>
              <w:bidi w:val="1"/>
            </w:pPr>
            <w:r>
              <w:rPr>
                <w:rFonts w:ascii="Noto Kufi Arabic" w:hAnsi="Noto Kufi Arabic" w:cs="Noto Kufi Arabic" w:eastAsia="Noto Kufi Arabic"/>
                <w:b/>
                <w:color w:val="0B1F33"/>
                <w:sz w:val="23"/>
                <w:rtl w:val="1"/>
              </w:rPr>
              <w:t>لوحة متابعة أسبوعية</w:t>
            </w:r>
          </w:p>
          <w:p>
            <w:pPr>
              <w:spacing w:line="276" w:lineRule="auto"/>
              <w:jc w:val="right"/>
              <w:bidi w:val="1"/>
            </w:pPr>
            <w:r>
              <w:rPr>
                <w:rFonts w:ascii="Noto Sans Arabic" w:hAnsi="Noto Sans Arabic" w:cs="Noto Sans Arabic" w:eastAsia="Noto Sans Arabic"/>
                <w:b w:val="0"/>
                <w:color w:val="172B3A"/>
                <w:sz w:val="18"/>
                <w:rtl w:val="1"/>
              </w:rPr>
              <w:t>تجميع أعداد الاتصالات، الردود، المواعيد، العملاء المؤهلين والفرص المغلقة في لوحة واحدة.</w:t>
            </w:r>
          </w:p>
        </w:tc>
        <w:tc>
          <w:tcPr>
            <w:tcW w:type="dxa" w:w="3345"/>
            <w:shd w:fill="F7F3E5"/>
            <w:tcMar>
              <w:top w:w="160" w:type="dxa"/>
              <w:start w:w="140" w:type="dxa"/>
              <w:bottom w:w="150" w:type="dxa"/>
              <w:end w:w="140" w:type="dxa"/>
            </w:tcMar>
            <w:tcBorders>
              <w:top w:val="single" w:sz="8" w:color="C9A227"/>
              <w:left w:val="single" w:sz="5" w:color="DFD7B8"/>
              <w:bottom w:val="single" w:sz="5" w:color="DFD7B8"/>
              <w:right w:val="single" w:sz="5" w:color="DFD7B8"/>
            </w:tcBorders>
          </w:tcPr>
          <w:p>
            <w:pPr>
              <w:jc w:val="center"/>
              <w:bidi w:val="1"/>
            </w:pPr>
            <w:r>
              <w:rPr>
                <w:rFonts w:ascii="Noto Kufi Arabic" w:hAnsi="Noto Kufi Arabic" w:cs="Noto Kufi Arabic" w:eastAsia="Noto Kufi Arabic"/>
                <w:b/>
                <w:color w:val="0B1F33"/>
                <w:sz w:val="23"/>
                <w:rtl w:val="1"/>
              </w:rPr>
              <w:t>جدول متابعة زمني</w:t>
            </w:r>
          </w:p>
          <w:p>
            <w:pPr>
              <w:spacing w:line="276" w:lineRule="auto"/>
              <w:jc w:val="right"/>
              <w:bidi w:val="1"/>
            </w:pPr>
            <w:r>
              <w:rPr>
                <w:rFonts w:ascii="Noto Sans Arabic" w:hAnsi="Noto Sans Arabic" w:cs="Noto Sans Arabic" w:eastAsia="Noto Sans Arabic"/>
                <w:b w:val="0"/>
                <w:color w:val="172B3A"/>
                <w:sz w:val="18"/>
                <w:rtl w:val="1"/>
              </w:rPr>
              <w:t>تحديد تاريخ المتابعة القادمة لكل عميل لمنع تأخر الاتصال أو فقدان الفرصة.</w:t>
            </w:r>
          </w:p>
        </w:tc>
        <w:tc>
          <w:tcPr>
            <w:tcW w:type="dxa" w:w="3345"/>
            <w:shd w:fill="F7F3E5"/>
            <w:tcMar>
              <w:top w:w="160" w:type="dxa"/>
              <w:start w:w="140" w:type="dxa"/>
              <w:bottom w:w="150" w:type="dxa"/>
              <w:end w:w="140" w:type="dxa"/>
            </w:tcMar>
            <w:tcBorders>
              <w:top w:val="single" w:sz="8" w:color="C9A227"/>
              <w:left w:val="single" w:sz="5" w:color="DFD7B8"/>
              <w:bottom w:val="single" w:sz="5" w:color="DFD7B8"/>
              <w:right w:val="single" w:sz="5" w:color="DFD7B8"/>
            </w:tcBorders>
          </w:tcPr>
          <w:p>
            <w:pPr>
              <w:jc w:val="center"/>
              <w:bidi w:val="1"/>
            </w:pPr>
            <w:r>
              <w:rPr>
                <w:rFonts w:ascii="Noto Kufi Arabic" w:hAnsi="Noto Kufi Arabic" w:cs="Noto Kufi Arabic" w:eastAsia="Noto Kufi Arabic"/>
                <w:b/>
                <w:color w:val="0B1F33"/>
                <w:sz w:val="23"/>
                <w:rtl w:val="1"/>
              </w:rPr>
              <w:t>نص موحّد للمكالمات</w:t>
            </w:r>
          </w:p>
          <w:p>
            <w:pPr>
              <w:spacing w:line="276" w:lineRule="auto"/>
              <w:jc w:val="right"/>
              <w:bidi w:val="1"/>
            </w:pPr>
            <w:r>
              <w:rPr>
                <w:rFonts w:ascii="Noto Sans Arabic" w:hAnsi="Noto Sans Arabic" w:cs="Noto Sans Arabic" w:eastAsia="Noto Sans Arabic"/>
                <w:b w:val="0"/>
                <w:color w:val="172B3A"/>
                <w:sz w:val="18"/>
                <w:rtl w:val="1"/>
              </w:rPr>
              <w:t>اعتماد افتتاحية قصيرة وأسئلة اكتشاف احتياج، مع مرونة التعديل حسب قطاع العميل.</w:t>
            </w:r>
          </w:p>
        </w:tc>
      </w:tr>
    </w:tbl>
    <w:p/>
    <w:tbl>
      <w:tblPr>
        <w:tblW w:type="auto" w:w="0"/>
        <w:jc w:val="center"/>
        <w:tblLayout w:type="fixed"/>
        <w:tblLook w:firstColumn="1" w:firstRow="1" w:lastColumn="0" w:lastRow="0" w:noHBand="0" w:noVBand="1" w:val="04A0"/>
      </w:tblPr>
      <w:tblGrid>
        <w:gridCol w:w="198"/>
        <w:gridCol w:w="9269"/>
      </w:tblGrid>
      <w:tr>
        <w:tc>
          <w:tcPr>
            <w:tcW w:type="dxa" w:w="5018"/>
            <w:shd w:fill="0B1F33"/>
            <w:tcBorders>
              <w:top w:val="nil"/>
              <w:left w:val="nil"/>
              <w:bottom w:val="nil"/>
              <w:right w:val="nil"/>
            </w:tcBorders>
          </w:tcPr>
          <w:p/>
        </w:tc>
        <w:tc>
          <w:tcPr>
            <w:tcW w:type="dxa" w:w="5018"/>
            <w:shd w:fill="F4F7F8"/>
            <w:tcMar>
              <w:top w:w="130" w:type="dxa"/>
              <w:start w:w="190" w:type="dxa"/>
              <w:bottom w:w="130" w:type="dxa"/>
              <w:end w:w="190" w:type="dxa"/>
            </w:tcMar>
            <w:tcBorders>
              <w:top w:val="nil"/>
              <w:left w:val="nil"/>
              <w:bottom w:val="nil"/>
              <w:right w:val="nil"/>
            </w:tcBorders>
          </w:tcPr>
          <w:p>
            <w:pPr>
              <w:jc w:val="right"/>
              <w:bidi w:val="1"/>
            </w:pPr>
            <w:r>
              <w:rPr>
                <w:rFonts w:ascii="Noto Kufi Arabic" w:hAnsi="Noto Kufi Arabic" w:cs="Noto Kufi Arabic" w:eastAsia="Noto Kufi Arabic"/>
                <w:b/>
                <w:color w:val="0B1F33"/>
                <w:sz w:val="24"/>
                <w:rtl w:val="1"/>
              </w:rPr>
              <w:t>التقييم العام</w:t>
            </w:r>
          </w:p>
          <w:p>
            <w:pPr>
              <w:spacing w:line="300" w:lineRule="auto"/>
              <w:jc w:val="right"/>
              <w:bidi w:val="1"/>
            </w:pPr>
            <w:r>
              <w:rPr>
                <w:rFonts w:ascii="Noto Sans Arabic" w:hAnsi="Noto Sans Arabic" w:cs="Noto Sans Arabic" w:eastAsia="Noto Sans Arabic"/>
                <w:b w:val="0"/>
                <w:color w:val="172B3A"/>
                <w:sz w:val="21"/>
                <w:rtl w:val="1"/>
              </w:rPr>
              <w:t>يعكس الأسبوع نشاطاً متوازناً بين التواصل المباشر، إدارة بيانات العملاء، دعم الاستشارات، والنشر الرقمي. ويُوصى في المرحلة القادمة بربط هذه الأنشطة بمؤشرات كمية ثابتة لقياس معدل الاستجابة، المواعيد المحجوزة، العملاء المؤهلين، ونسبة التحويل إلى فرص فعلية.</w:t>
            </w:r>
          </w:p>
        </w:tc>
      </w:tr>
    </w:tbl>
    <w:p>
      <w:pPr>
        <w:spacing w:after="40"/>
      </w:pPr>
    </w:p>
    <w:p>
      <w:pPr>
        <w:spacing w:before="240"/>
        <w:jc w:val="center"/>
        <w:bidi w:val="1"/>
      </w:pPr>
      <w:r>
        <w:rPr>
          <w:rFonts w:ascii="Noto Kufi Arabic" w:hAnsi="Noto Kufi Arabic" w:cs="Noto Kufi Arabic" w:eastAsia="Noto Kufi Arabic"/>
          <w:b/>
          <w:color w:val="C9A227"/>
          <w:sz w:val="20"/>
          <w:rtl w:val="1"/>
        </w:rPr>
        <w:t>— نهاية التقرير —</w:t>
      </w:r>
    </w:p>
    <w:sectPr w:rsidR="00FC693F" w:rsidRPr="0006063C" w:rsidSect="00034616">
      <w:headerReference w:type="default" r:id="rId10"/>
      <w:footerReference w:type="default" r:id="rId11"/>
      <w:pgSz w:w="11906" w:h="16838"/>
      <w:pgMar w:top="907" w:right="935" w:bottom="794" w:left="935" w:header="340" w:footer="312" w:gutter="0"/>
      <w:cols w:space="720"/>
      <w:docGrid w:linePitch="360"/>
      <w:pgBorders w:offsetFrom="page">
        <w:top w:val="single" w:sz="10" w:space="18" w:color="C9A227"/>
        <w:left w:val="single" w:sz="10" w:space="18" w:color="C9A227"/>
        <w:bottom w:val="single" w:sz="10" w:space="18" w:color="C9A227"/>
        <w:right w:val="single" w:sz="10" w:space="18" w:color="C9A22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cs="Noto Sans Arabic" w:eastAsia="Noto Sans Arabic"/>
        <w:b w:val="0"/>
        <w:color w:val="607786"/>
        <w:sz w:val="16"/>
        <w:rtl w:val="1"/>
      </w:rPr>
      <w:t xml:space="preserve">سري للاستخدام الإداري  •  صفحة </w:t>
    </w:r>
    <w:r>
      <w:rPr>
        <w:rFonts w:ascii="Noto Sans Arabic" w:hAnsi="Noto Sans Arabic" w:cs="Noto Sans Arabic" w:eastAsia="Noto Sans Arabic"/>
        <w:b w:val="0"/>
        <w:color w:val="607786"/>
        <w:sz w:val="16"/>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2835"/>
      <w:gridCol w:w="7200"/>
    </w:tblGrid>
    <w:tr>
      <w:tc>
        <w:tcPr>
          <w:tcW w:type="dxa" w:w="5017"/>
          <w:shd w:fill="C9A227"/>
          <w:tcMar>
            <w:top w:w="80" w:type="dxa"/>
            <w:start w:w="80" w:type="dxa"/>
            <w:bottom w:w="80" w:type="dxa"/>
            <w:end w:w="80" w:type="dxa"/>
          </w:tcMar>
          <w:tcBorders>
            <w:top w:val="nil"/>
            <w:left w:val="nil"/>
            <w:bottom w:val="nil"/>
            <w:right w:val="nil"/>
          </w:tcBorders>
        </w:tcPr>
        <w:p>
          <w:pPr>
            <w:jc w:val="center"/>
            <w:bidi w:val="1"/>
          </w:pPr>
          <w:r>
            <w:rPr>
              <w:rFonts w:ascii="Noto Sans Arabic" w:hAnsi="Noto Sans Arabic" w:cs="Noto Sans Arabic" w:eastAsia="Noto Sans Arabic"/>
              <w:b/>
              <w:color w:val="0B1F33"/>
              <w:sz w:val="17"/>
              <w:rtl w:val="1"/>
            </w:rPr>
            <w:t>من 18 إلى 23 يوليو 2026</w:t>
          </w:r>
        </w:p>
      </w:tc>
      <w:tc>
        <w:tcPr>
          <w:tcW w:type="dxa" w:w="5017"/>
          <w:shd w:fill="0B1F33"/>
          <w:tcMar>
            <w:top w:w="80" w:type="dxa"/>
            <w:start w:w="140" w:type="dxa"/>
            <w:bottom w:w="80" w:type="dxa"/>
            <w:end w:w="140" w:type="dxa"/>
          </w:tcMar>
          <w:tcBorders>
            <w:top w:val="nil"/>
            <w:left w:val="nil"/>
            <w:bottom w:val="nil"/>
            <w:right w:val="nil"/>
          </w:tcBorders>
        </w:tcPr>
        <w:p>
          <w:pPr>
            <w:jc w:val="right"/>
            <w:bidi w:val="1"/>
          </w:pPr>
          <w:r>
            <w:rPr>
              <w:rFonts w:ascii="Noto Kufi Arabic" w:hAnsi="Noto Kufi Arabic" w:cs="Noto Kufi Arabic" w:eastAsia="Noto Kufi Arabic"/>
              <w:b/>
              <w:color w:val="FFFFFF"/>
              <w:sz w:val="18"/>
              <w:rtl w:val="1"/>
            </w:rPr>
            <w:t>أساس الدقة لخدمات الأعمال  |  التقرير الأسبوعي</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Arabic" w:hAnsi="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الإنجاز الأسبوعي 18-23 يوليو 2026</dc:title>
  <dc:subject>تقرير أعمال المبيعات وتطوير الأعمال وإدارة علاقات العملاء</dc:subject>
  <dc:creator>أساس الدقة لخدمات الأعمال</dc:creator>
  <cp:keywords>تقرير أسبوعي، مبيعات، عملاء، لينكدإن، واتساب، إدارة علاقات العملاء</cp:keywords>
  <dc:description>generated by python-docx</dc:description>
  <cp:lastModifiedBy/>
  <cp:revision>1</cp:revision>
  <dcterms:created xsi:type="dcterms:W3CDTF">2013-12-23T23:15:00Z</dcterms:created>
  <dcterms:modified xsi:type="dcterms:W3CDTF">2013-12-23T23:15:00Z</dcterms:modified>
  <cp:category/>
</cp:coreProperties>
</file>