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B2A4A"/>
          <w:sz w:val="48"/>
          <w:szCs w:val="48"/>
        </w:rPr>
        <w:t xml:space="preserve">SERVICE AGREEMENT</w:t>
      </w:r>
    </w:p>
    <w:p>
      <w:pPr>
        <w:spacing w:after="60" w:before="0"/>
        <w:jc w:val="center"/>
      </w:pPr>
      <w:r>
        <w:rPr>
          <w:rFonts w:ascii="Arial" w:cs="Arial" w:eastAsia="Arial" w:hAnsi="Arial"/>
          <w:i/>
          <w:iCs/>
          <w:color w:val="2563EB"/>
          <w:sz w:val="26"/>
          <w:szCs w:val="26"/>
        </w:rPr>
        <w:t xml:space="preserve">Do-It Services — Technology Development &amp; Maintenance</w:t>
      </w:r>
    </w:p>
    <w:p>
      <w:pPr>
        <w:spacing w:after="40" w:before="0"/>
        <w:jc w:val="center"/>
      </w:pPr>
      <w:r>
        <w:rPr>
          <w:rFonts w:ascii="Arial" w:cs="Arial" w:eastAsia="Arial" w:hAnsi="Arial"/>
          <w:color w:val="1E293B"/>
          <w:sz w:val="22"/>
          <w:szCs w:val="22"/>
        </w:rPr>
        <w:t xml:space="preserve">Agreement Date: ___________________</w:t>
      </w:r>
    </w:p>
    <w:p>
      <w:pPr>
        <w:spacing w:after="60" w:before="0"/>
        <w:jc w:val="center"/>
      </w:pPr>
      <w:r>
        <w:rPr>
          <w:rFonts w:ascii="Arial" w:cs="Arial" w:eastAsia="Arial" w:hAnsi="Arial"/>
          <w:color w:val="1E293B"/>
          <w:sz w:val="22"/>
          <w:szCs w:val="22"/>
        </w:rPr>
        <w:t xml:space="preserve">Agreement No: XCL-DIT-2026-____</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BFDBFE" w:sz="1"/>
              <w:left w:val="single" w:color="BFDBFE" w:sz="1"/>
              <w:bottom w:val="single" w:color="BFDBFE" w:sz="1"/>
              <w:right w:val="single" w:color="BFDBFE" w:sz="1"/>
            </w:tcBorders>
            <w:shd w:fill="1B2A4A" w:val="clear"/>
            <w:tcMar>
              <w:top w:type="dxa" w:w="140"/>
              <w:left w:type="dxa" w:w="180"/>
              <w:bottom w:type="dxa" w:w="140"/>
              <w:right w:type="dxa" w:w="180"/>
            </w:tcMar>
          </w:tcPr>
          <w:p>
            <w:r>
              <w:rPr>
                <w:rFonts w:ascii="Arial" w:cs="Arial" w:eastAsia="Arial" w:hAnsi="Arial"/>
                <w:b/>
                <w:bCs/>
                <w:color w:val="FFFFFF"/>
                <w:sz w:val="20"/>
                <w:szCs w:val="20"/>
              </w:rPr>
              <w:t xml:space="preserve">SERVICE PROVIDER</w:t>
            </w:r>
          </w:p>
          <w:p>
            <w:pPr>
              <w:spacing w:after="0" w:before="60"/>
            </w:pPr>
            <w:r>
              <w:t xml:space="preserve"/>
            </w:r>
          </w:p>
          <w:p>
            <w:r>
              <w:rPr>
                <w:rFonts w:ascii="Arial" w:cs="Arial" w:eastAsia="Arial" w:hAnsi="Arial"/>
                <w:b/>
                <w:bCs/>
                <w:color w:val="FFFFFF"/>
                <w:sz w:val="22"/>
                <w:szCs w:val="22"/>
              </w:rPr>
              <w:t xml:space="preserve">Xenelasia Consultancy LLP</w:t>
            </w:r>
          </w:p>
          <w:p>
            <w:r>
              <w:rPr>
                <w:rFonts w:ascii="Arial" w:cs="Arial" w:eastAsia="Arial" w:hAnsi="Arial"/>
                <w:color w:val="CBD5E1"/>
                <w:sz w:val="20"/>
                <w:szCs w:val="20"/>
              </w:rPr>
              <w:t xml:space="preserve">1908 Iconic, Corenthum, Sector-62</w:t>
            </w:r>
          </w:p>
          <w:p>
            <w:r>
              <w:rPr>
                <w:rFonts w:ascii="Arial" w:cs="Arial" w:eastAsia="Arial" w:hAnsi="Arial"/>
                <w:color w:val="CBD5E1"/>
                <w:sz w:val="20"/>
                <w:szCs w:val="20"/>
              </w:rPr>
              <w:t xml:space="preserve">Noida, U.P. 201309</w:t>
            </w:r>
          </w:p>
          <w:p>
            <w:r>
              <w:rPr>
                <w:rFonts w:ascii="Arial" w:cs="Arial" w:eastAsia="Arial" w:hAnsi="Arial"/>
                <w:color w:val="CBD5E1"/>
                <w:sz w:val="20"/>
                <w:szCs w:val="20"/>
              </w:rPr>
              <w:t xml:space="preserve">Reg No: ABZ-8490</w:t>
            </w:r>
          </w:p>
          <w:p>
            <w:r>
              <w:rPr>
                <w:rFonts w:ascii="Arial" w:cs="Arial" w:eastAsia="Arial" w:hAnsi="Arial"/>
                <w:color w:val="CBD5E1"/>
                <w:sz w:val="20"/>
                <w:szCs w:val="20"/>
              </w:rPr>
              <w:t xml:space="preserve">+91-8010115618 | xcplllp@gmail.com</w:t>
            </w:r>
          </w:p>
        </w:tc>
        <w:tc>
          <w:tcPr>
            <w:tcW w:type="dxa" w:w="4753"/>
            <w:tcBorders>
              <w:top w:val="single" w:color="BFDBFE" w:sz="1"/>
              <w:left w:val="single" w:color="BFDBFE" w:sz="1"/>
              <w:bottom w:val="single" w:color="BFDBFE" w:sz="1"/>
              <w:right w:val="single" w:color="BFDBFE" w:sz="1"/>
            </w:tcBorders>
            <w:shd w:fill="EFF6FF" w:val="clear"/>
            <w:tcMar>
              <w:top w:type="dxa" w:w="140"/>
              <w:left w:type="dxa" w:w="180"/>
              <w:bottom w:type="dxa" w:w="140"/>
              <w:right w:type="dxa" w:w="180"/>
            </w:tcMar>
          </w:tcPr>
          <w:p>
            <w:r>
              <w:rPr>
                <w:rFonts w:ascii="Arial" w:cs="Arial" w:eastAsia="Arial" w:hAnsi="Arial"/>
                <w:b/>
                <w:bCs/>
                <w:color w:val="1B2A4A"/>
                <w:sz w:val="20"/>
                <w:szCs w:val="20"/>
              </w:rPr>
              <w:t xml:space="preserve">CLIENT</w:t>
            </w:r>
          </w:p>
          <w:p>
            <w:pPr>
              <w:spacing w:after="0" w:before="60"/>
            </w:pPr>
            <w:r>
              <w:t xml:space="preserve"/>
            </w:r>
          </w:p>
          <w:p>
            <w:r>
              <w:rPr>
                <w:rFonts w:ascii="Arial" w:cs="Arial" w:eastAsia="Arial" w:hAnsi="Arial"/>
                <w:b/>
                <w:bCs/>
                <w:color w:val="1B2A4A"/>
                <w:sz w:val="22"/>
                <w:szCs w:val="22"/>
              </w:rPr>
              <w:t xml:space="preserve">Do-It Services</w:t>
            </w:r>
          </w:p>
          <w:p>
            <w:r>
              <w:rPr>
                <w:rFonts w:ascii="Arial" w:cs="Arial" w:eastAsia="Arial" w:hAnsi="Arial"/>
                <w:color w:val="1E293B"/>
                <w:sz w:val="20"/>
                <w:szCs w:val="20"/>
              </w:rPr>
              <w:t xml:space="preserve">Address: _________________________________</w:t>
            </w:r>
          </w:p>
          <w:p>
            <w:r>
              <w:rPr>
                <w:rFonts w:ascii="Arial" w:cs="Arial" w:eastAsia="Arial" w:hAnsi="Arial"/>
                <w:color w:val="1E293B"/>
                <w:sz w:val="20"/>
                <w:szCs w:val="20"/>
              </w:rPr>
              <w:t xml:space="preserve">___________________________________________</w:t>
            </w:r>
          </w:p>
          <w:p>
            <w:r>
              <w:rPr>
                <w:rFonts w:ascii="Arial" w:cs="Arial" w:eastAsia="Arial" w:hAnsi="Arial"/>
                <w:color w:val="1E293B"/>
                <w:sz w:val="20"/>
                <w:szCs w:val="20"/>
              </w:rPr>
              <w:t xml:space="preserve">Contact: __________________________________</w:t>
            </w:r>
          </w:p>
          <w:p>
            <w:r>
              <w:rPr>
                <w:rFonts w:ascii="Arial" w:cs="Arial" w:eastAsia="Arial" w:hAnsi="Arial"/>
                <w:color w:val="1E293B"/>
                <w:sz w:val="20"/>
                <w:szCs w:val="20"/>
              </w:rPr>
              <w:t xml:space="preserve">GSTIN: ___________________________________</w:t>
            </w:r>
          </w:p>
        </w:tc>
      </w:tr>
    </w:tbl>
    <w:p>
      <w:pPr>
        <w:spacing w:after="0" w:before="200"/>
      </w:pPr>
      <w:r>
        <w:t xml:space="preserve"/>
      </w:r>
    </w:p>
    <w:p>
      <w:pPr>
        <w:pBdr>
          <w:bottom w:val="single" w:color="2563EB" w:sz="3" w:space="6"/>
        </w:pBdr>
        <w:spacing w:after="120" w:before="360"/>
      </w:pPr>
      <w:r>
        <w:rPr>
          <w:rFonts w:ascii="Arial" w:cs="Arial" w:eastAsia="Arial" w:hAnsi="Arial"/>
          <w:b/>
          <w:bCs/>
          <w:color w:val="1B2A4A"/>
          <w:sz w:val="28"/>
          <w:szCs w:val="28"/>
        </w:rPr>
        <w:t xml:space="preserve">1. RECITALS &amp; SCOPE OF WORK</w:t>
      </w:r>
    </w:p>
    <w:p>
      <w:pPr>
        <w:spacing w:after="80" w:before="60"/>
        <w:jc w:val="both"/>
      </w:pPr>
      <w:r>
        <w:rPr>
          <w:rFonts w:ascii="Arial" w:cs="Arial" w:eastAsia="Arial" w:hAnsi="Arial"/>
          <w:b w:val="false"/>
          <w:bCs w:val="false"/>
          <w:i w:val="false"/>
          <w:iCs w:val="false"/>
          <w:color w:val="1E293B"/>
          <w:sz w:val="22"/>
          <w:szCs w:val="22"/>
        </w:rPr>
        <w:t xml:space="preserve">This Service Agreement (hereinafter "Agreement") is entered into between Xenelasia Consultancy LLP ("Service Provider") and Do-It Services ("Client") for the design, development, deployment, and maintenance of a field-staff management and collection platform as detailed herein.</w:t>
      </w:r>
    </w:p>
    <w:p>
      <w:pPr>
        <w:spacing w:after="0" w:before="80"/>
      </w:pPr>
      <w:r>
        <w:t xml:space="preserve"/>
      </w:r>
    </w:p>
    <w:p>
      <w:pPr>
        <w:spacing w:after="80" w:before="240"/>
      </w:pPr>
      <w:r>
        <w:rPr>
          <w:rFonts w:ascii="Arial" w:cs="Arial" w:eastAsia="Arial" w:hAnsi="Arial"/>
          <w:b/>
          <w:bCs/>
          <w:color w:val="2563EB"/>
          <w:sz w:val="24"/>
          <w:szCs w:val="24"/>
        </w:rPr>
        <w:t xml:space="preserve">1.1 Scope of Development</w:t>
      </w:r>
    </w:p>
    <w:p>
      <w:pPr>
        <w:spacing w:after="80" w:before="60"/>
        <w:jc w:val="both"/>
      </w:pPr>
      <w:r>
        <w:rPr>
          <w:rFonts w:ascii="Arial" w:cs="Arial" w:eastAsia="Arial" w:hAnsi="Arial"/>
          <w:b w:val="false"/>
          <w:bCs w:val="false"/>
          <w:i w:val="false"/>
          <w:iCs w:val="false"/>
          <w:color w:val="1E293B"/>
          <w:sz w:val="22"/>
          <w:szCs w:val="22"/>
        </w:rPr>
        <w:t xml:space="preserve">The Service Provider agrees to develop and deliver the following software modules:</w:t>
      </w:r>
    </w:p>
    <w:p>
      <w:pPr>
        <w:pStyle w:val="ListParagraph"/>
        <w:numPr>
          <w:ilvl w:val="0"/>
          <w:numId w:val="2"/>
        </w:numPr>
        <w:spacing w:after="60" w:before="40"/>
      </w:pPr>
      <w:r>
        <w:rPr>
          <w:rFonts w:ascii="Arial" w:cs="Arial" w:eastAsia="Arial" w:hAnsi="Arial"/>
          <w:color w:val="1E293B"/>
          <w:sz w:val="22"/>
          <w:szCs w:val="22"/>
        </w:rPr>
        <w:t xml:space="preserve">Backend API Development (FastAPI, database architecture, authentication)</w:t>
      </w:r>
    </w:p>
    <w:p>
      <w:pPr>
        <w:pStyle w:val="ListParagraph"/>
        <w:numPr>
          <w:ilvl w:val="0"/>
          <w:numId w:val="2"/>
        </w:numPr>
        <w:spacing w:after="60" w:before="40"/>
      </w:pPr>
      <w:r>
        <w:rPr>
          <w:rFonts w:ascii="Arial" w:cs="Arial" w:eastAsia="Arial" w:hAnsi="Arial"/>
          <w:color w:val="1E293B"/>
          <w:sz w:val="22"/>
          <w:szCs w:val="22"/>
        </w:rPr>
        <w:t xml:space="preserve">Frontend Staff Panel — Progressive Web App (PWA) for field staff</w:t>
      </w:r>
    </w:p>
    <w:p>
      <w:pPr>
        <w:pStyle w:val="ListParagraph"/>
        <w:numPr>
          <w:ilvl w:val="0"/>
          <w:numId w:val="2"/>
        </w:numPr>
        <w:spacing w:after="60" w:before="40"/>
      </w:pPr>
      <w:r>
        <w:rPr>
          <w:rFonts w:ascii="Arial" w:cs="Arial" w:eastAsia="Arial" w:hAnsi="Arial"/>
          <w:color w:val="1E293B"/>
          <w:sz w:val="22"/>
          <w:szCs w:val="22"/>
        </w:rPr>
        <w:t xml:space="preserve">Admin Dashboard with live collection updates and monitoring</w:t>
      </w:r>
    </w:p>
    <w:p>
      <w:pPr>
        <w:pStyle w:val="ListParagraph"/>
        <w:numPr>
          <w:ilvl w:val="0"/>
          <w:numId w:val="2"/>
        </w:numPr>
        <w:spacing w:after="60" w:before="40"/>
      </w:pPr>
      <w:r>
        <w:rPr>
          <w:rFonts w:ascii="Arial" w:cs="Arial" w:eastAsia="Arial" w:hAnsi="Arial"/>
          <w:color w:val="1E293B"/>
          <w:sz w:val="22"/>
          <w:szCs w:val="22"/>
        </w:rPr>
        <w:t xml:space="preserve">Email Integration System</w:t>
      </w:r>
    </w:p>
    <w:p>
      <w:pPr>
        <w:pStyle w:val="ListParagraph"/>
        <w:numPr>
          <w:ilvl w:val="0"/>
          <w:numId w:val="2"/>
        </w:numPr>
        <w:spacing w:after="60" w:before="40"/>
      </w:pPr>
      <w:r>
        <w:rPr>
          <w:rFonts w:ascii="Arial" w:cs="Arial" w:eastAsia="Arial" w:hAnsi="Arial"/>
          <w:color w:val="1E293B"/>
          <w:sz w:val="22"/>
          <w:szCs w:val="22"/>
        </w:rPr>
        <w:t xml:space="preserve">Advanced Reports &amp; Filtering Module with PDF/Excel export</w:t>
      </w:r>
    </w:p>
    <w:p>
      <w:pPr>
        <w:pStyle w:val="ListParagraph"/>
        <w:numPr>
          <w:ilvl w:val="0"/>
          <w:numId w:val="2"/>
        </w:numPr>
        <w:spacing w:after="60" w:before="40"/>
      </w:pPr>
      <w:r>
        <w:rPr>
          <w:rFonts w:ascii="Arial" w:cs="Arial" w:eastAsia="Arial" w:hAnsi="Arial"/>
          <w:color w:val="1E293B"/>
          <w:sz w:val="22"/>
          <w:szCs w:val="22"/>
        </w:rPr>
        <w:t xml:space="preserve">Retailer Ledger &amp; Transaction Tracking System</w:t>
      </w:r>
    </w:p>
    <w:p>
      <w:pPr>
        <w:pStyle w:val="ListParagraph"/>
        <w:numPr>
          <w:ilvl w:val="0"/>
          <w:numId w:val="2"/>
        </w:numPr>
        <w:spacing w:after="60" w:before="40"/>
      </w:pPr>
      <w:r>
        <w:rPr>
          <w:rFonts w:ascii="Arial" w:cs="Arial" w:eastAsia="Arial" w:hAnsi="Arial"/>
          <w:color w:val="1E293B"/>
          <w:sz w:val="22"/>
          <w:szCs w:val="22"/>
        </w:rPr>
        <w:t xml:space="preserve">Role-Based Access Control (RBAC) and production deployment</w:t>
      </w:r>
    </w:p>
    <w:p>
      <w:pPr>
        <w:spacing w:after="0" w:before="80"/>
      </w:pPr>
      <w:r>
        <w:t xml:space="preserve"/>
      </w:r>
    </w:p>
    <w:p>
      <w:pPr>
        <w:spacing w:after="80" w:before="240"/>
      </w:pPr>
      <w:r>
        <w:rPr>
          <w:rFonts w:ascii="Arial" w:cs="Arial" w:eastAsia="Arial" w:hAnsi="Arial"/>
          <w:b/>
          <w:bCs/>
          <w:color w:val="2563EB"/>
          <w:sz w:val="24"/>
          <w:szCs w:val="24"/>
        </w:rPr>
        <w:t xml:space="preserve">1.2 Out-of-Scope</w:t>
      </w:r>
    </w:p>
    <w:p>
      <w:pPr>
        <w:spacing w:after="80" w:before="60"/>
        <w:jc w:val="both"/>
      </w:pPr>
      <w:r>
        <w:rPr>
          <w:rFonts w:ascii="Arial" w:cs="Arial" w:eastAsia="Arial" w:hAnsi="Arial"/>
          <w:b w:val="false"/>
          <w:bCs w:val="false"/>
          <w:i w:val="false"/>
          <w:iCs w:val="false"/>
          <w:color w:val="1E293B"/>
          <w:sz w:val="22"/>
          <w:szCs w:val="22"/>
        </w:rPr>
        <w:t xml:space="preserve">The following are expressly excluded from this Agreement unless separately quoted and agreed in writing:</w:t>
      </w:r>
    </w:p>
    <w:p>
      <w:pPr>
        <w:pStyle w:val="ListParagraph"/>
        <w:numPr>
          <w:ilvl w:val="0"/>
          <w:numId w:val="2"/>
        </w:numPr>
        <w:spacing w:after="60" w:before="40"/>
      </w:pPr>
      <w:r>
        <w:rPr>
          <w:rFonts w:ascii="Arial" w:cs="Arial" w:eastAsia="Arial" w:hAnsi="Arial"/>
          <w:color w:val="1E293B"/>
          <w:sz w:val="22"/>
          <w:szCs w:val="22"/>
        </w:rPr>
        <w:t xml:space="preserve">Any feature, module, or workflow not described in Clause 1.1 above</w:t>
      </w:r>
    </w:p>
    <w:p>
      <w:pPr>
        <w:pStyle w:val="ListParagraph"/>
        <w:numPr>
          <w:ilvl w:val="0"/>
          <w:numId w:val="2"/>
        </w:numPr>
        <w:spacing w:after="60" w:before="40"/>
      </w:pPr>
      <w:r>
        <w:rPr>
          <w:rFonts w:ascii="Arial" w:cs="Arial" w:eastAsia="Arial" w:hAnsi="Arial"/>
          <w:color w:val="1E293B"/>
          <w:sz w:val="22"/>
          <w:szCs w:val="22"/>
        </w:rPr>
        <w:t xml:space="preserve">Third-party API integrations beyond those already specified</w:t>
      </w:r>
    </w:p>
    <w:p>
      <w:pPr>
        <w:pStyle w:val="ListParagraph"/>
        <w:numPr>
          <w:ilvl w:val="0"/>
          <w:numId w:val="2"/>
        </w:numPr>
        <w:spacing w:after="60" w:before="40"/>
      </w:pPr>
      <w:r>
        <w:rPr>
          <w:rFonts w:ascii="Arial" w:cs="Arial" w:eastAsia="Arial" w:hAnsi="Arial"/>
          <w:color w:val="1E293B"/>
          <w:sz w:val="22"/>
          <w:szCs w:val="22"/>
        </w:rPr>
        <w:t xml:space="preserve">Mobile application development (Android/iOS native apps)</w:t>
      </w:r>
    </w:p>
    <w:p>
      <w:pPr>
        <w:pStyle w:val="ListParagraph"/>
        <w:numPr>
          <w:ilvl w:val="0"/>
          <w:numId w:val="2"/>
        </w:numPr>
        <w:spacing w:after="60" w:before="40"/>
      </w:pPr>
      <w:r>
        <w:rPr>
          <w:rFonts w:ascii="Arial" w:cs="Arial" w:eastAsia="Arial" w:hAnsi="Arial"/>
          <w:color w:val="1E293B"/>
          <w:sz w:val="22"/>
          <w:szCs w:val="22"/>
        </w:rPr>
        <w:t xml:space="preserve">Data migration from legacy systems</w:t>
      </w:r>
    </w:p>
    <w:p>
      <w:pPr>
        <w:pStyle w:val="ListParagraph"/>
        <w:numPr>
          <w:ilvl w:val="0"/>
          <w:numId w:val="2"/>
        </w:numPr>
        <w:spacing w:after="60" w:before="40"/>
      </w:pPr>
      <w:r>
        <w:rPr>
          <w:rFonts w:ascii="Arial" w:cs="Arial" w:eastAsia="Arial" w:hAnsi="Arial"/>
          <w:color w:val="1E293B"/>
          <w:sz w:val="22"/>
          <w:szCs w:val="22"/>
        </w:rPr>
        <w:t xml:space="preserve">Custom hardware or network infrastructure setup</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2. PRICING OVERVIEW</w:t>
      </w:r>
    </w:p>
    <w:p>
      <w:pPr>
        <w:spacing w:after="80" w:before="60"/>
        <w:jc w:val="both"/>
      </w:pPr>
      <w:r>
        <w:rPr>
          <w:rFonts w:ascii="Arial" w:cs="Arial" w:eastAsia="Arial" w:hAnsi="Arial"/>
          <w:b w:val="false"/>
          <w:bCs w:val="false"/>
          <w:i w:val="false"/>
          <w:iCs w:val="false"/>
          <w:color w:val="1E293B"/>
          <w:sz w:val="22"/>
          <w:szCs w:val="22"/>
        </w:rPr>
        <w:t xml:space="preserve">All amounts are exclusive of applicable GST (18%) unless stated otherwise.</w:t>
      </w:r>
    </w:p>
    <w:p>
      <w:pPr>
        <w:spacing w:after="0" w:before="80"/>
      </w:pPr>
      <w:r>
        <w:t xml:space="preserve"/>
      </w:r>
    </w:p>
    <w:p>
      <w:pPr>
        <w:spacing w:after="80" w:before="240"/>
      </w:pPr>
      <w:r>
        <w:rPr>
          <w:rFonts w:ascii="Arial" w:cs="Arial" w:eastAsia="Arial" w:hAnsi="Arial"/>
          <w:b/>
          <w:bCs/>
          <w:color w:val="2563EB"/>
          <w:sz w:val="24"/>
          <w:szCs w:val="24"/>
        </w:rPr>
        <w:t xml:space="preserve">2.1 One-Time Development Cost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304"/>
        <w:gridCol w:w="1601"/>
        <w:gridCol w:w="1601"/>
      </w:tblGrid>
      <w:tr>
        <w:trPr>
          <w:tblHeader/>
        </w:trPr>
        <w:tc>
          <w:tcPr>
            <w:tcW w:type="dxa" w:w="6304"/>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Development Module</w:t>
            </w:r>
          </w:p>
        </w:tc>
        <w:tc>
          <w:tcPr>
            <w:tcW w:type="dxa" w:w="1601"/>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(INR)</w:t>
            </w:r>
          </w:p>
        </w:tc>
        <w:tc>
          <w:tcPr>
            <w:tcW w:type="dxa" w:w="1601"/>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630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Backend Development (FastAPI, DB, Auth, APIs)</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₹20,000</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Frontend Staff Panel (PWA)</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₹17,000</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Admin Dashboard with Live Updates</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₹20,000</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Email Integration</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₹3,500</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Reports &amp; Advanced Filtering Module</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₹6,000</w:t>
            </w:r>
          </w:p>
        </w:tc>
        <w:tc>
          <w:tcPr>
            <w:tcW w:type="dxa" w:w="1601"/>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Retailer Ledger</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₹4,500</w:t>
            </w:r>
          </w:p>
        </w:tc>
        <w:tc>
          <w:tcPr>
            <w:tcW w:type="dxa" w:w="1601"/>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Included</w:t>
            </w:r>
          </w:p>
        </w:tc>
      </w:tr>
      <w:tr>
        <w:tc>
          <w:tcPr>
            <w:tcW w:type="dxa" w:w="6304"/>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r>
              <w:rPr>
                <w:rFonts w:ascii="Arial" w:cs="Arial" w:eastAsia="Arial" w:hAnsi="Arial"/>
                <w:b/>
                <w:bCs/>
                <w:color w:val="FFFFFF"/>
                <w:sz w:val="22"/>
                <w:szCs w:val="22"/>
              </w:rPr>
              <w:t xml:space="preserve">TOTAL (Before GST)</w:t>
            </w:r>
          </w:p>
        </w:tc>
        <w:tc>
          <w:tcPr>
            <w:tcW w:type="dxa" w:w="1601"/>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₹71,000</w:t>
            </w:r>
          </w:p>
        </w:tc>
        <w:tc>
          <w:tcPr>
            <w:tcW w:type="dxa" w:w="1601"/>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r>
      <w:tr>
        <w:tc>
          <w:tcPr>
            <w:tcW w:type="dxa" w:w="6304"/>
            <w:tcBorders>
              <w:top w:val="single" w:color="BFDBFE" w:sz="1"/>
              <w:left w:val="single" w:color="BFDBFE" w:sz="1"/>
              <w:bottom w:val="single" w:color="BFDBFE" w:sz="1"/>
              <w:right w:val="single" w:color="BFDBFE"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GST @ 18%</w:t>
            </w:r>
          </w:p>
        </w:tc>
        <w:tc>
          <w:tcPr>
            <w:tcW w:type="dxa" w:w="1601"/>
            <w:tcBorders>
              <w:top w:val="single" w:color="BFDBFE" w:sz="1"/>
              <w:left w:val="single" w:color="BFDBFE" w:sz="1"/>
              <w:bottom w:val="single" w:color="BFDBFE" w:sz="1"/>
              <w:right w:val="single" w:color="BFDBFE" w:sz="1"/>
            </w:tcBorders>
            <w:shd w:fill="2563EB"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₹12,780</w:t>
            </w:r>
          </w:p>
        </w:tc>
        <w:tc>
          <w:tcPr>
            <w:tcW w:type="dxa" w:w="1601"/>
            <w:tcBorders>
              <w:top w:val="single" w:color="BFDBFE" w:sz="1"/>
              <w:left w:val="single" w:color="BFDBFE" w:sz="1"/>
              <w:bottom w:val="single" w:color="BFDBFE" w:sz="1"/>
              <w:right w:val="single" w:color="BFDBFE" w:sz="1"/>
            </w:tcBorders>
            <w:shd w:fill="2563E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r>
      <w:tr>
        <w:tc>
          <w:tcPr>
            <w:tcW w:type="dxa" w:w="6304"/>
            <w:tcBorders>
              <w:top w:val="single" w:color="BFDBFE" w:sz="1"/>
              <w:left w:val="single" w:color="BFDBFE" w:sz="1"/>
              <w:bottom w:val="single" w:color="BFDBFE" w:sz="1"/>
              <w:right w:val="single" w:color="BFDBFE" w:sz="1"/>
            </w:tcBorders>
            <w:shd w:fill="0F4C81" w:val="clear"/>
            <w:tcMar>
              <w:top w:type="dxa" w:w="120"/>
              <w:left w:type="dxa" w:w="140"/>
              <w:bottom w:type="dxa" w:w="120"/>
              <w:right w:type="dxa" w:w="140"/>
            </w:tcMar>
          </w:tcPr>
          <w:p>
            <w:r>
              <w:rPr>
                <w:rFonts w:ascii="Arial" w:cs="Arial" w:eastAsia="Arial" w:hAnsi="Arial"/>
                <w:b/>
                <w:bCs/>
                <w:color w:val="FFFFFF"/>
                <w:sz w:val="24"/>
                <w:szCs w:val="24"/>
              </w:rPr>
              <w:t xml:space="preserve">GRAND TOTAL (Inclusive of GST)</w:t>
            </w:r>
          </w:p>
        </w:tc>
        <w:tc>
          <w:tcPr>
            <w:tcW w:type="dxa" w:w="1601"/>
            <w:tcBorders>
              <w:top w:val="single" w:color="BFDBFE" w:sz="1"/>
              <w:left w:val="single" w:color="BFDBFE" w:sz="1"/>
              <w:bottom w:val="single" w:color="BFDBFE" w:sz="1"/>
              <w:right w:val="single" w:color="BFDBFE" w:sz="1"/>
            </w:tcBorders>
            <w:shd w:fill="0F4C81" w:val="clear"/>
            <w:tcMar>
              <w:top w:type="dxa" w:w="120"/>
              <w:left w:type="dxa" w:w="140"/>
              <w:bottom w:type="dxa" w:w="120"/>
              <w:right w:type="dxa" w:w="140"/>
            </w:tcMar>
          </w:tcPr>
          <w:p>
            <w:pPr>
              <w:jc w:val="right"/>
            </w:pPr>
            <w:r>
              <w:rPr>
                <w:rFonts w:ascii="Arial" w:cs="Arial" w:eastAsia="Arial" w:hAnsi="Arial"/>
                <w:b/>
                <w:bCs/>
                <w:color w:val="FCD34D"/>
                <w:sz w:val="24"/>
                <w:szCs w:val="24"/>
              </w:rPr>
              <w:t xml:space="preserve">₹83,780</w:t>
            </w:r>
          </w:p>
        </w:tc>
        <w:tc>
          <w:tcPr>
            <w:tcW w:type="dxa" w:w="1601"/>
            <w:tcBorders>
              <w:top w:val="single" w:color="BFDBFE" w:sz="1"/>
              <w:left w:val="single" w:color="BFDBFE" w:sz="1"/>
              <w:bottom w:val="single" w:color="BFDBFE" w:sz="1"/>
              <w:right w:val="single" w:color="BFDBFE" w:sz="1"/>
            </w:tcBorders>
            <w:shd w:fill="0F4C81" w:val="clear"/>
            <w:tcMar>
              <w:top w:type="dxa" w:w="120"/>
              <w:left w:type="dxa" w:w="140"/>
              <w:bottom w:type="dxa" w:w="120"/>
              <w:right w:type="dxa" w:w="140"/>
            </w:tcMar>
          </w:tcPr>
          <w:p/>
        </w:tc>
      </w:tr>
    </w:tbl>
    <w:p>
      <w:pPr>
        <w:spacing w:after="0" w:before="120"/>
      </w:pPr>
      <w:r>
        <w:t xml:space="preserve"/>
      </w:r>
    </w:p>
    <w:p>
      <w:pPr>
        <w:spacing w:after="80" w:before="240"/>
      </w:pPr>
      <w:r>
        <w:rPr>
          <w:rFonts w:ascii="Arial" w:cs="Arial" w:eastAsia="Arial" w:hAnsi="Arial"/>
          <w:b/>
          <w:bCs/>
          <w:color w:val="2563EB"/>
          <w:sz w:val="24"/>
          <w:szCs w:val="24"/>
        </w:rPr>
        <w:t xml:space="preserve">2.2 Recurring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2253"/>
        <w:gridCol w:w="2253"/>
      </w:tblGrid>
      <w:tr>
        <w:trPr>
          <w:tblHeader/>
        </w:trPr>
        <w:tc>
          <w:tcPr>
            <w:tcW w:type="dxa" w:w="50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253"/>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(INR)</w:t>
            </w:r>
          </w:p>
        </w:tc>
        <w:tc>
          <w:tcPr>
            <w:tcW w:type="dxa" w:w="2253"/>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5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Hosting, Domain &amp; Email Services</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₹2,000–₹2,500</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Monthly</w:t>
            </w:r>
          </w:p>
        </w:tc>
      </w:tr>
      <w:tr>
        <w:tc>
          <w:tcPr>
            <w:tcW w:type="dxa" w:w="5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Annual Maintenance Contract (AMC) — Year 1</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bCs/>
                <w:color w:val="1E293B"/>
                <w:sz w:val="21"/>
                <w:szCs w:val="21"/>
              </w:rPr>
              <w:t xml:space="preserve">FREE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1st Year</w:t>
            </w:r>
          </w:p>
        </w:tc>
      </w:tr>
      <w:tr>
        <w:tc>
          <w:tcPr>
            <w:tcW w:type="dxa" w:w="5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Annual Maintenance Contract (AMC) — Year 2 onwards</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₹24,000/yr</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Annual</w:t>
            </w:r>
          </w:p>
        </w:tc>
      </w:tr>
      <w:tr>
        <w:tc>
          <w:tcPr>
            <w:tcW w:type="dxa" w:w="5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AMC Commitment Deposit (25% of ₹24,000, payable at launch)</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bCs/>
                <w:color w:val="1E293B"/>
                <w:sz w:val="21"/>
                <w:szCs w:val="21"/>
              </w:rPr>
              <w:t xml:space="preserve">₹6,000</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One-Time</w:t>
            </w:r>
          </w:p>
        </w:tc>
      </w:tr>
    </w:tbl>
    <w:p>
      <w:pPr>
        <w:spacing w:after="0" w:before="80"/>
      </w:pPr>
      <w:r>
        <w:t xml:space="preserve"/>
      </w:r>
    </w:p>
    <w:p>
      <w:pPr>
        <w:spacing w:after="80" w:before="60"/>
        <w:jc w:val="both"/>
      </w:pPr>
      <w:r>
        <w:rPr>
          <w:rFonts w:ascii="Arial" w:cs="Arial" w:eastAsia="Arial" w:hAnsi="Arial"/>
          <w:b w:val="false"/>
          <w:bCs w:val="false"/>
          <w:i/>
          <w:iCs/>
          <w:color w:val="6B7280"/>
          <w:sz w:val="22"/>
          <w:szCs w:val="22"/>
        </w:rPr>
        <w:t xml:space="preserve">Note: Hosting and third-party costs are pass-through charges borne entirely by the Client and may vary with provider pricing and usage volumes. GST applicable as per applicable government rates on AMC charges.</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3. PAYMENT PLAN &amp; SCHEDULE</w:t>
      </w:r>
    </w:p>
    <w:p>
      <w:pPr>
        <w:spacing w:after="80" w:before="60"/>
        <w:jc w:val="both"/>
      </w:pPr>
      <w:r>
        <w:rPr>
          <w:rFonts w:ascii="Arial" w:cs="Arial" w:eastAsia="Arial" w:hAnsi="Arial"/>
          <w:b w:val="false"/>
          <w:bCs w:val="false"/>
          <w:i w:val="false"/>
          <w:iCs w:val="false"/>
          <w:color w:val="1E293B"/>
          <w:sz w:val="22"/>
          <w:szCs w:val="22"/>
        </w:rPr>
        <w:t xml:space="preserve">All payments are to be made via bank transfer to the account details provided in Section 9. Payment milestones are tied to project deliverables as described below.</w:t>
      </w:r>
    </w:p>
    <w:p>
      <w:pPr>
        <w:spacing w:after="0" w:before="80"/>
      </w:pPr>
      <w:r>
        <w:t xml:space="preserve"/>
      </w:r>
    </w:p>
    <w:p>
      <w:pPr>
        <w:spacing w:after="80" w:before="240"/>
      </w:pPr>
      <w:r>
        <w:rPr>
          <w:rFonts w:ascii="Arial" w:cs="Arial" w:eastAsia="Arial" w:hAnsi="Arial"/>
          <w:b/>
          <w:bCs/>
          <w:color w:val="2563EB"/>
          <w:sz w:val="24"/>
          <w:szCs w:val="24"/>
        </w:rPr>
        <w:t xml:space="preserve">3.1 Development Payment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506"/>
        <w:gridCol w:w="2400"/>
        <w:gridCol w:w="2000"/>
        <w:gridCol w:w="1800"/>
      </w:tblGrid>
      <w:tr>
        <w:trPr>
          <w:tblHeader/>
        </w:trPr>
        <w:tc>
          <w:tcPr>
            <w:tcW w:type="dxa" w:w="8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506"/>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 / Trigger</w:t>
            </w:r>
          </w:p>
        </w:tc>
        <w:tc>
          <w:tcPr>
            <w:tcW w:type="dxa" w:w="24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Due Date / Condition</w:t>
            </w:r>
          </w:p>
        </w:tc>
        <w:tc>
          <w:tcPr>
            <w:tcW w:type="dxa" w:w="20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Amount (INR)</w:t>
            </w:r>
          </w:p>
        </w:tc>
        <w:tc>
          <w:tcPr>
            <w:tcW w:type="dxa" w:w="18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Amount + GST</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1</w:t>
            </w:r>
          </w:p>
        </w:tc>
        <w:tc>
          <w:tcPr>
            <w:tcW w:type="dxa" w:w="25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Advance — Project Kickoff (50%)</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Due before work commences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₹35,500</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bCs/>
                <w:color w:val="1E293B"/>
                <w:sz w:val="21"/>
                <w:szCs w:val="21"/>
              </w:rPr>
              <w:t xml:space="preserve">₹41,890</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2</w:t>
            </w:r>
          </w:p>
        </w:tc>
        <w:tc>
          <w:tcPr>
            <w:tcW w:type="dxa" w:w="2506"/>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Final Payment — Project Completion (50%)</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Upon delivery of production-ready demo (Phase 4 sign-off)</w:t>
            </w:r>
          </w:p>
        </w:tc>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₹35,500</w:t>
            </w:r>
          </w:p>
        </w:tc>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right"/>
            </w:pPr>
            <w:r>
              <w:rPr>
                <w:rFonts w:ascii="Arial" w:cs="Arial" w:eastAsia="Arial" w:hAnsi="Arial"/>
                <w:b/>
                <w:bCs/>
                <w:color w:val="1E293B"/>
                <w:sz w:val="21"/>
                <w:szCs w:val="21"/>
              </w:rPr>
              <w:t xml:space="preserve">₹41,890</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3</w:t>
            </w:r>
          </w:p>
        </w:tc>
        <w:tc>
          <w:tcPr>
            <w:tcW w:type="dxa" w:w="25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AMC Commitment Deposit (25% of Year 2 AMC)</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Payable at production launch alongside final payment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val="false"/>
                <w:bCs w:val="false"/>
                <w:color w:val="1E293B"/>
                <w:sz w:val="21"/>
                <w:szCs w:val="21"/>
              </w:rPr>
              <w:t xml:space="preserve">₹6,000</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right"/>
            </w:pPr>
            <w:r>
              <w:rPr>
                <w:rFonts w:ascii="Arial" w:cs="Arial" w:eastAsia="Arial" w:hAnsi="Arial"/>
                <w:b/>
                <w:bCs/>
                <w:color w:val="1E293B"/>
                <w:sz w:val="21"/>
                <w:szCs w:val="21"/>
              </w:rPr>
              <w:t xml:space="preserve">₹7,080</w:t>
            </w:r>
          </w:p>
        </w:tc>
      </w:tr>
      <w:tr>
        <w:tc>
          <w:tcPr>
            <w:tcW w:type="dxa" w:w="800"/>
            <w:tcBorders>
              <w:top w:val="single" w:color="BFDBFE" w:sz="1"/>
              <w:left w:val="single" w:color="BFDBFE" w:sz="1"/>
              <w:bottom w:val="single" w:color="BFDBFE" w:sz="1"/>
              <w:right w:val="single" w:color="BFDBFE" w:sz="1"/>
            </w:tcBorders>
            <w:shd w:fill="0F4C81" w:val="clear"/>
            <w:tcMar>
              <w:top w:type="dxa" w:w="110"/>
              <w:left w:type="dxa" w:w="140"/>
              <w:bottom w:type="dxa" w:w="110"/>
              <w:right w:type="dxa" w:w="140"/>
            </w:tcMar>
          </w:tcPr>
          <w:p/>
        </w:tc>
        <w:tc>
          <w:tcPr>
            <w:tcW w:type="dxa" w:w="2506"/>
            <w:tcBorders>
              <w:top w:val="single" w:color="BFDBFE" w:sz="1"/>
              <w:left w:val="single" w:color="BFDBFE" w:sz="1"/>
              <w:bottom w:val="single" w:color="BFDBFE" w:sz="1"/>
              <w:right w:val="single" w:color="BFDBFE" w:sz="1"/>
            </w:tcBorders>
            <w:shd w:fill="0F4C81" w:val="clear"/>
            <w:tcMar>
              <w:top w:type="dxa" w:w="110"/>
              <w:left w:type="dxa" w:w="140"/>
              <w:bottom w:type="dxa" w:w="110"/>
              <w:right w:type="dxa" w:w="140"/>
            </w:tcMar>
          </w:tcPr>
          <w:p>
            <w:r>
              <w:rPr>
                <w:rFonts w:ascii="Arial" w:cs="Arial" w:eastAsia="Arial" w:hAnsi="Arial"/>
                <w:b/>
                <w:bCs/>
                <w:color w:val="FFFFFF"/>
                <w:sz w:val="22"/>
                <w:szCs w:val="22"/>
              </w:rPr>
              <w:t xml:space="preserve">TOTAL PAYABLE</w:t>
            </w:r>
          </w:p>
        </w:tc>
        <w:tc>
          <w:tcPr>
            <w:tcW w:type="dxa" w:w="2400"/>
            <w:tcBorders>
              <w:top w:val="single" w:color="BFDBFE" w:sz="1"/>
              <w:left w:val="single" w:color="BFDBFE" w:sz="1"/>
              <w:bottom w:val="single" w:color="BFDBFE" w:sz="1"/>
              <w:right w:val="single" w:color="BFDBFE" w:sz="1"/>
            </w:tcBorders>
            <w:shd w:fill="0F4C81" w:val="clear"/>
            <w:tcMar>
              <w:top w:type="dxa" w:w="110"/>
              <w:left w:type="dxa" w:w="140"/>
              <w:bottom w:type="dxa" w:w="110"/>
              <w:right w:type="dxa" w:w="140"/>
            </w:tcMar>
          </w:tcPr>
          <w:p/>
        </w:tc>
        <w:tc>
          <w:tcPr>
            <w:tcW w:type="dxa" w:w="2000"/>
            <w:tcBorders>
              <w:top w:val="single" w:color="BFDBFE" w:sz="1"/>
              <w:left w:val="single" w:color="BFDBFE" w:sz="1"/>
              <w:bottom w:val="single" w:color="BFDBFE" w:sz="1"/>
              <w:right w:val="single" w:color="BFDBFE" w:sz="1"/>
            </w:tcBorders>
            <w:shd w:fill="0F4C81" w:val="clear"/>
            <w:tcMar>
              <w:top w:type="dxa" w:w="110"/>
              <w:left w:type="dxa" w:w="140"/>
              <w:bottom w:type="dxa" w:w="110"/>
              <w:right w:type="dxa" w:w="140"/>
            </w:tcMar>
          </w:tcPr>
          <w:p>
            <w:pPr>
              <w:jc w:val="right"/>
            </w:pPr>
            <w:r>
              <w:rPr>
                <w:rFonts w:ascii="Arial" w:cs="Arial" w:eastAsia="Arial" w:hAnsi="Arial"/>
                <w:b/>
                <w:bCs/>
                <w:color w:val="FFFFFF"/>
                <w:sz w:val="22"/>
                <w:szCs w:val="22"/>
              </w:rPr>
              <w:t xml:space="preserve">₹77,000</w:t>
            </w:r>
          </w:p>
        </w:tc>
        <w:tc>
          <w:tcPr>
            <w:tcW w:type="dxa" w:w="1800"/>
            <w:tcBorders>
              <w:top w:val="single" w:color="BFDBFE" w:sz="1"/>
              <w:left w:val="single" w:color="BFDBFE" w:sz="1"/>
              <w:bottom w:val="single" w:color="BFDBFE" w:sz="1"/>
              <w:right w:val="single" w:color="BFDBFE" w:sz="1"/>
            </w:tcBorders>
            <w:shd w:fill="0F4C81" w:val="clear"/>
            <w:tcMar>
              <w:top w:type="dxa" w:w="110"/>
              <w:left w:type="dxa" w:w="140"/>
              <w:bottom w:type="dxa" w:w="110"/>
              <w:right w:type="dxa" w:w="140"/>
            </w:tcMar>
          </w:tcPr>
          <w:p>
            <w:pPr>
              <w:jc w:val="right"/>
            </w:pPr>
            <w:r>
              <w:rPr>
                <w:rFonts w:ascii="Arial" w:cs="Arial" w:eastAsia="Arial" w:hAnsi="Arial"/>
                <w:b/>
                <w:bCs/>
                <w:color w:val="FCD34D"/>
                <w:sz w:val="22"/>
                <w:szCs w:val="22"/>
              </w:rPr>
              <w:t xml:space="preserve">₹90,860</w:t>
            </w:r>
          </w:p>
        </w:tc>
      </w:tr>
    </w:tbl>
    <w:p>
      <w:pPr>
        <w:spacing w:after="0" w:before="120"/>
      </w:pPr>
      <w:r>
        <w:t xml:space="preserve"/>
      </w:r>
    </w:p>
    <w:p>
      <w:pPr>
        <w:spacing w:after="80" w:before="240"/>
      </w:pPr>
      <w:r>
        <w:rPr>
          <w:rFonts w:ascii="Arial" w:cs="Arial" w:eastAsia="Arial" w:hAnsi="Arial"/>
          <w:b/>
          <w:bCs/>
          <w:color w:val="2563EB"/>
          <w:sz w:val="24"/>
          <w:szCs w:val="24"/>
        </w:rPr>
        <w:t xml:space="preserve">3.2 Payment Conditions</w:t>
      </w:r>
    </w:p>
    <w:p>
      <w:pPr>
        <w:pStyle w:val="ListParagraph"/>
        <w:numPr>
          <w:ilvl w:val="0"/>
          <w:numId w:val="3"/>
        </w:numPr>
        <w:spacing w:after="80" w:before="60"/>
      </w:pPr>
      <w:r>
        <w:rPr>
          <w:rFonts w:ascii="Arial" w:cs="Arial" w:eastAsia="Arial" w:hAnsi="Arial"/>
          <w:color w:val="1E293B"/>
          <w:sz w:val="22"/>
          <w:szCs w:val="22"/>
        </w:rPr>
        <w:t xml:space="preserve">Work shall not commence until the 50% advance payment (Milestone 1 — ₹41,890 incl. GST) is received and confirmed in the Service Provider's account.</w:t>
      </w:r>
    </w:p>
    <w:p>
      <w:pPr>
        <w:pStyle w:val="ListParagraph"/>
        <w:numPr>
          <w:ilvl w:val="0"/>
          <w:numId w:val="3"/>
        </w:numPr>
        <w:spacing w:after="80" w:before="60"/>
      </w:pPr>
      <w:r>
        <w:rPr>
          <w:rFonts w:ascii="Arial" w:cs="Arial" w:eastAsia="Arial" w:hAnsi="Arial"/>
          <w:color w:val="1E293B"/>
          <w:sz w:val="22"/>
          <w:szCs w:val="22"/>
        </w:rPr>
        <w:t xml:space="preserve">The final 50% payment (Milestone 2) becomes due upon the Client's receipt of the production-ready demo link and notification from the Service Provider. Payment must be made within 5 business days of such notification.</w:t>
      </w:r>
    </w:p>
    <w:p>
      <w:pPr>
        <w:pStyle w:val="ListParagraph"/>
        <w:numPr>
          <w:ilvl w:val="0"/>
          <w:numId w:val="3"/>
        </w:numPr>
        <w:spacing w:after="80" w:before="60"/>
      </w:pPr>
      <w:r>
        <w:rPr>
          <w:rFonts w:ascii="Arial" w:cs="Arial" w:eastAsia="Arial" w:hAnsi="Arial"/>
          <w:color w:val="1E293B"/>
          <w:sz w:val="22"/>
          <w:szCs w:val="22"/>
        </w:rPr>
        <w:t xml:space="preserve">The AMC Commitment Deposit of ₹7,080 (incl. GST) is payable alongside Milestone 2 at project launch.</w:t>
      </w:r>
    </w:p>
    <w:p>
      <w:pPr>
        <w:pStyle w:val="ListParagraph"/>
        <w:numPr>
          <w:ilvl w:val="0"/>
          <w:numId w:val="3"/>
        </w:numPr>
        <w:spacing w:after="80" w:before="60"/>
      </w:pPr>
      <w:r>
        <w:rPr>
          <w:rFonts w:ascii="Arial" w:cs="Arial" w:eastAsia="Arial" w:hAnsi="Arial"/>
          <w:color w:val="1E293B"/>
          <w:sz w:val="22"/>
          <w:szCs w:val="22"/>
        </w:rPr>
        <w:t xml:space="preserve">In the event the Client delays Milestone 2 payment beyond 5 business days post-notification without written justification, the Service Provider reserves the right to suspend access to all environments (staging, production) until payment is cleared.</w:t>
      </w:r>
    </w:p>
    <w:p>
      <w:pPr>
        <w:pStyle w:val="ListParagraph"/>
        <w:numPr>
          <w:ilvl w:val="0"/>
          <w:numId w:val="3"/>
        </w:numPr>
        <w:spacing w:after="80" w:before="60"/>
      </w:pPr>
      <w:r>
        <w:rPr>
          <w:rFonts w:ascii="Arial" w:cs="Arial" w:eastAsia="Arial" w:hAnsi="Arial"/>
          <w:color w:val="1E293B"/>
          <w:sz w:val="22"/>
          <w:szCs w:val="22"/>
        </w:rPr>
        <w:t xml:space="preserve">All payments are non-refundable once the corresponding project phase is delivered and signed off, except in cases of material breach by the Service Provider.</w:t>
      </w:r>
    </w:p>
    <w:p>
      <w:pPr>
        <w:spacing w:after="0" w:before="120"/>
      </w:pPr>
      <w:r>
        <w:t xml:space="preserve"/>
      </w:r>
    </w:p>
    <w:p>
      <w:pPr>
        <w:spacing w:after="80" w:before="240"/>
      </w:pPr>
      <w:r>
        <w:rPr>
          <w:rFonts w:ascii="Arial" w:cs="Arial" w:eastAsia="Arial" w:hAnsi="Arial"/>
          <w:b/>
          <w:bCs/>
          <w:color w:val="2563EB"/>
          <w:sz w:val="24"/>
          <w:szCs w:val="24"/>
        </w:rPr>
        <w:t xml:space="preserve">3.3 Late Payment</w:t>
      </w:r>
    </w:p>
    <w:p>
      <w:pPr>
        <w:spacing w:after="80" w:before="60"/>
        <w:jc w:val="both"/>
      </w:pPr>
      <w:r>
        <w:rPr>
          <w:rFonts w:ascii="Arial" w:cs="Arial" w:eastAsia="Arial" w:hAnsi="Arial"/>
          <w:b w:val="false"/>
          <w:bCs w:val="false"/>
          <w:i w:val="false"/>
          <w:iCs w:val="false"/>
          <w:color w:val="1E293B"/>
          <w:sz w:val="22"/>
          <w:szCs w:val="22"/>
        </w:rPr>
        <w:t xml:space="preserve">Any payment not received by the due date shall attract a late payment charge of 2% per month (or part thereof) on the outstanding amount, compounded monthly, until full settlement.</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4. IMPLEMENTATION TIMELINE</w:t>
      </w:r>
    </w:p>
    <w:p>
      <w:pPr>
        <w:spacing w:after="80" w:before="60"/>
        <w:jc w:val="both"/>
      </w:pPr>
      <w:r>
        <w:rPr>
          <w:rFonts w:ascii="Arial" w:cs="Arial" w:eastAsia="Arial" w:hAnsi="Arial"/>
          <w:b w:val="false"/>
          <w:bCs w:val="false"/>
          <w:i w:val="false"/>
          <w:iCs w:val="false"/>
          <w:color w:val="1E293B"/>
          <w:sz w:val="22"/>
          <w:szCs w:val="22"/>
        </w:rPr>
        <w:t xml:space="preserve">The total development timeline is estimated at 4 weeks from the date of receipt of the advance payment (Milestone 1), subject to timely feedback and approvals from the Client.</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006"/>
        <w:gridCol w:w="3500"/>
        <w:gridCol w:w="1800"/>
      </w:tblGrid>
      <w:tr>
        <w:trPr>
          <w:tblHeader/>
        </w:trPr>
        <w:tc>
          <w:tcPr>
            <w:tcW w:type="dxa" w:w="12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006"/>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35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Deliverable</w:t>
            </w:r>
          </w:p>
        </w:tc>
        <w:tc>
          <w:tcPr>
            <w:tcW w:type="dxa" w:w="1800"/>
            <w:tcBorders>
              <w:top w:val="single" w:color="BFDBFE" w:sz="1"/>
              <w:left w:val="single" w:color="BFDBFE" w:sz="1"/>
              <w:bottom w:val="single" w:color="BFDBFE" w:sz="1"/>
              <w:right w:val="single" w:color="BFDBFE"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Phase 1</w:t>
            </w:r>
          </w:p>
        </w:tc>
        <w:tc>
          <w:tcPr>
            <w:tcW w:type="dxa" w:w="30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Core Backend &amp; Authentication</w:t>
            </w:r>
          </w:p>
        </w:tc>
        <w:tc>
          <w:tcPr>
            <w:tcW w:type="dxa" w:w="3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Working backend demo link with auth &amp; data flow</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Week 1</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Phase 2</w:t>
            </w:r>
          </w:p>
        </w:tc>
        <w:tc>
          <w:tcPr>
            <w:tcW w:type="dxa" w:w="3006"/>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Staff Panel PWA Development</w:t>
            </w:r>
          </w:p>
        </w:tc>
        <w:tc>
          <w:tcPr>
            <w:tcW w:type="dxa" w:w="35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Live staff panel demo link for mobile testing</w:t>
            </w:r>
          </w:p>
        </w:tc>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Week 2</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Phase 3</w:t>
            </w:r>
          </w:p>
        </w:tc>
        <w:tc>
          <w:tcPr>
            <w:tcW w:type="dxa" w:w="30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Admin Dashboard &amp; Reporting</w:t>
            </w:r>
          </w:p>
        </w:tc>
        <w:tc>
          <w:tcPr>
            <w:tcW w:type="dxa" w:w="3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Admin dashboard with reports and live data tracking</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Week 3</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Phase 4</w:t>
            </w:r>
          </w:p>
        </w:tc>
        <w:tc>
          <w:tcPr>
            <w:tcW w:type="dxa" w:w="3006"/>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Deployment &amp; Final Integration</w:t>
            </w:r>
          </w:p>
        </w:tc>
        <w:tc>
          <w:tcPr>
            <w:tcW w:type="dxa" w:w="35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Complete production-ready demo for final review</w:t>
            </w:r>
          </w:p>
        </w:tc>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Week 4+</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Phase 5</w:t>
            </w:r>
          </w:p>
        </w:tc>
        <w:tc>
          <w:tcPr>
            <w:tcW w:type="dxa" w:w="30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Testing &amp; Stabilization</w:t>
            </w:r>
          </w:p>
        </w:tc>
        <w:tc>
          <w:tcPr>
            <w:tcW w:type="dxa" w:w="3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Bug fixes, security validation, platform stabilization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E293B"/>
                <w:sz w:val="21"/>
                <w:szCs w:val="21"/>
              </w:rPr>
              <w:t xml:space="preserve">30 Days post-launch</w:t>
            </w:r>
          </w:p>
        </w:tc>
      </w:tr>
    </w:tbl>
    <w:p>
      <w:pPr>
        <w:spacing w:after="0" w:before="80"/>
      </w:pPr>
      <w:r>
        <w:t xml:space="preserve"/>
      </w:r>
    </w:p>
    <w:p>
      <w:pPr>
        <w:spacing w:after="80" w:before="60"/>
        <w:jc w:val="both"/>
      </w:pPr>
      <w:r>
        <w:rPr>
          <w:rFonts w:ascii="Arial" w:cs="Arial" w:eastAsia="Arial" w:hAnsi="Arial"/>
          <w:b w:val="false"/>
          <w:bCs w:val="false"/>
          <w:i/>
          <w:iCs/>
          <w:color w:val="6B7280"/>
          <w:sz w:val="22"/>
          <w:szCs w:val="22"/>
        </w:rPr>
        <w:t xml:space="preserve">Client delays (feedback, approvals, content, or access provisioning delayed beyond 48 hours per phase) shall result in a corresponding extension of the delivery timeline, with no penalty to the Service Provider.</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5. ANNUAL MAINTENANCE CONTRACT (AMC)</w:t>
      </w:r>
    </w:p>
    <w:p>
      <w:pPr>
        <w:spacing w:after="80" w:before="60"/>
        <w:jc w:val="both"/>
      </w:pPr>
      <w:r>
        <w:rPr>
          <w:rFonts w:ascii="Arial" w:cs="Arial" w:eastAsia="Arial" w:hAnsi="Arial"/>
          <w:b w:val="false"/>
          <w:bCs w:val="false"/>
          <w:i w:val="false"/>
          <w:iCs w:val="false"/>
          <w:color w:val="1E293B"/>
          <w:sz w:val="22"/>
          <w:szCs w:val="22"/>
        </w:rPr>
        <w:t xml:space="preserve">An Annual Maintenance Contract is mandatory for continued platform stability, security, and support.</w:t>
      </w:r>
    </w:p>
    <w:p>
      <w:pPr>
        <w:spacing w:after="0" w:before="80"/>
      </w:pPr>
      <w:r>
        <w:t xml:space="preserve"/>
      </w:r>
    </w:p>
    <w:p>
      <w:pPr>
        <w:spacing w:after="80" w:before="240"/>
      </w:pPr>
      <w:r>
        <w:rPr>
          <w:rFonts w:ascii="Arial" w:cs="Arial" w:eastAsia="Arial" w:hAnsi="Arial"/>
          <w:b/>
          <w:bCs/>
          <w:color w:val="2563EB"/>
          <w:sz w:val="24"/>
          <w:szCs w:val="24"/>
        </w:rPr>
        <w:t xml:space="preserve">5.1 AMC Coverage</w:t>
      </w:r>
    </w:p>
    <w:p>
      <w:pPr>
        <w:pStyle w:val="ListParagraph"/>
        <w:numPr>
          <w:ilvl w:val="0"/>
          <w:numId w:val="2"/>
        </w:numPr>
        <w:spacing w:after="60" w:before="40"/>
      </w:pPr>
      <w:r>
        <w:rPr>
          <w:rFonts w:ascii="Arial" w:cs="Arial" w:eastAsia="Arial" w:hAnsi="Arial"/>
          <w:color w:val="1E293B"/>
          <w:sz w:val="22"/>
          <w:szCs w:val="22"/>
        </w:rPr>
        <w:t xml:space="preserve">Minor UI/UX enhancements and bug fixes</w:t>
      </w:r>
    </w:p>
    <w:p>
      <w:pPr>
        <w:pStyle w:val="ListParagraph"/>
        <w:numPr>
          <w:ilvl w:val="0"/>
          <w:numId w:val="2"/>
        </w:numPr>
        <w:spacing w:after="60" w:before="40"/>
      </w:pPr>
      <w:r>
        <w:rPr>
          <w:rFonts w:ascii="Arial" w:cs="Arial" w:eastAsia="Arial" w:hAnsi="Arial"/>
          <w:color w:val="1E293B"/>
          <w:sz w:val="22"/>
          <w:szCs w:val="22"/>
        </w:rPr>
        <w:t xml:space="preserve">Security patches and framework updates</w:t>
      </w:r>
    </w:p>
    <w:p>
      <w:pPr>
        <w:pStyle w:val="ListParagraph"/>
        <w:numPr>
          <w:ilvl w:val="0"/>
          <w:numId w:val="2"/>
        </w:numPr>
        <w:spacing w:after="60" w:before="40"/>
      </w:pPr>
      <w:r>
        <w:rPr>
          <w:rFonts w:ascii="Arial" w:cs="Arial" w:eastAsia="Arial" w:hAnsi="Arial"/>
          <w:color w:val="1E293B"/>
          <w:sz w:val="22"/>
          <w:szCs w:val="22"/>
        </w:rPr>
        <w:t xml:space="preserve">20 hours of technical support per month</w:t>
      </w:r>
    </w:p>
    <w:p>
      <w:pPr>
        <w:pStyle w:val="ListParagraph"/>
        <w:numPr>
          <w:ilvl w:val="0"/>
          <w:numId w:val="2"/>
        </w:numPr>
        <w:spacing w:after="60" w:before="40"/>
      </w:pPr>
      <w:r>
        <w:rPr>
          <w:rFonts w:ascii="Arial" w:cs="Arial" w:eastAsia="Arial" w:hAnsi="Arial"/>
          <w:color w:val="1E293B"/>
          <w:sz w:val="22"/>
          <w:szCs w:val="22"/>
        </w:rPr>
        <w:t xml:space="preserve">Performance monitoring and server health checks</w:t>
      </w:r>
    </w:p>
    <w:p>
      <w:pPr>
        <w:pStyle w:val="ListParagraph"/>
        <w:numPr>
          <w:ilvl w:val="0"/>
          <w:numId w:val="2"/>
        </w:numPr>
        <w:spacing w:after="60" w:before="40"/>
      </w:pPr>
      <w:r>
        <w:rPr>
          <w:rFonts w:ascii="Arial" w:cs="Arial" w:eastAsia="Arial" w:hAnsi="Arial"/>
          <w:color w:val="1E293B"/>
          <w:sz w:val="22"/>
          <w:szCs w:val="22"/>
        </w:rPr>
        <w:t xml:space="preserve">Quarterly code reviews and deployment optimizations</w:t>
      </w:r>
    </w:p>
    <w:p>
      <w:pPr>
        <w:spacing w:after="0" w:before="80"/>
      </w:pPr>
      <w:r>
        <w:t xml:space="preserve"/>
      </w:r>
    </w:p>
    <w:p>
      <w:pPr>
        <w:spacing w:after="80" w:before="240"/>
      </w:pPr>
      <w:r>
        <w:rPr>
          <w:rFonts w:ascii="Arial" w:cs="Arial" w:eastAsia="Arial" w:hAnsi="Arial"/>
          <w:b/>
          <w:bCs/>
          <w:color w:val="2563EB"/>
          <w:sz w:val="24"/>
          <w:szCs w:val="24"/>
        </w:rPr>
        <w:t xml:space="preserve">5.2 AMC Terms</w:t>
      </w:r>
    </w:p>
    <w:p>
      <w:pPr>
        <w:pStyle w:val="ListParagraph"/>
        <w:numPr>
          <w:ilvl w:val="0"/>
          <w:numId w:val="3"/>
        </w:numPr>
        <w:spacing w:after="80" w:before="60"/>
      </w:pPr>
      <w:r>
        <w:rPr>
          <w:rFonts w:ascii="Arial" w:cs="Arial" w:eastAsia="Arial" w:hAnsi="Arial"/>
          <w:color w:val="1E293B"/>
          <w:sz w:val="22"/>
          <w:szCs w:val="22"/>
        </w:rPr>
        <w:t xml:space="preserve">The first year of AMC is provided free of charge commencing from the production launch date.</w:t>
      </w:r>
    </w:p>
    <w:p>
      <w:pPr>
        <w:pStyle w:val="ListParagraph"/>
        <w:numPr>
          <w:ilvl w:val="0"/>
          <w:numId w:val="3"/>
        </w:numPr>
        <w:spacing w:after="80" w:before="60"/>
      </w:pPr>
      <w:r>
        <w:rPr>
          <w:rFonts w:ascii="Arial" w:cs="Arial" w:eastAsia="Arial" w:hAnsi="Arial"/>
          <w:color w:val="1E293B"/>
          <w:sz w:val="22"/>
          <w:szCs w:val="22"/>
        </w:rPr>
        <w:t xml:space="preserve">A mandatory 3-year AMC commitment applies from Year 2 onwards, billed annually at ₹24,000 per year (+GST).</w:t>
      </w:r>
    </w:p>
    <w:p>
      <w:pPr>
        <w:pStyle w:val="ListParagraph"/>
        <w:numPr>
          <w:ilvl w:val="0"/>
          <w:numId w:val="3"/>
        </w:numPr>
        <w:spacing w:after="80" w:before="60"/>
      </w:pPr>
      <w:r>
        <w:rPr>
          <w:rFonts w:ascii="Arial" w:cs="Arial" w:eastAsia="Arial" w:hAnsi="Arial"/>
          <w:color w:val="1E293B"/>
          <w:sz w:val="22"/>
          <w:szCs w:val="22"/>
        </w:rPr>
        <w:t xml:space="preserve">An AMC Commitment Deposit equivalent to 25% of the Year 2 AMC value (₹6,000 + GST = ₹7,080) is payable at the time of production launch.</w:t>
      </w:r>
    </w:p>
    <w:p>
      <w:pPr>
        <w:pStyle w:val="ListParagraph"/>
        <w:numPr>
          <w:ilvl w:val="0"/>
          <w:numId w:val="3"/>
        </w:numPr>
        <w:spacing w:after="80" w:before="60"/>
      </w:pPr>
      <w:r>
        <w:rPr>
          <w:rFonts w:ascii="Arial" w:cs="Arial" w:eastAsia="Arial" w:hAnsi="Arial"/>
          <w:color w:val="1E293B"/>
          <w:sz w:val="22"/>
          <w:szCs w:val="22"/>
        </w:rPr>
        <w:t xml:space="preserve">AMC invoices for Year 2 and Year 3 will be raised 30 days prior to each anniversary of the production launch date.</w:t>
      </w:r>
    </w:p>
    <w:p>
      <w:pPr>
        <w:pStyle w:val="ListParagraph"/>
        <w:numPr>
          <w:ilvl w:val="0"/>
          <w:numId w:val="3"/>
        </w:numPr>
        <w:spacing w:after="80" w:before="60"/>
      </w:pPr>
      <w:r>
        <w:rPr>
          <w:rFonts w:ascii="Arial" w:cs="Arial" w:eastAsia="Arial" w:hAnsi="Arial"/>
          <w:color w:val="1E293B"/>
          <w:sz w:val="22"/>
          <w:szCs w:val="22"/>
        </w:rPr>
        <w:t xml:space="preserve">Any new features, workflow changes, or module additions requested during the AMC period will be quoted and billed separately.</w:t>
      </w:r>
    </w:p>
    <w:p>
      <w:pPr>
        <w:pStyle w:val="ListParagraph"/>
        <w:numPr>
          <w:ilvl w:val="0"/>
          <w:numId w:val="3"/>
        </w:numPr>
        <w:spacing w:after="80" w:before="60"/>
      </w:pPr>
      <w:r>
        <w:rPr>
          <w:rFonts w:ascii="Arial" w:cs="Arial" w:eastAsia="Arial" w:hAnsi="Arial"/>
          <w:color w:val="1E293B"/>
          <w:sz w:val="22"/>
          <w:szCs w:val="22"/>
        </w:rPr>
        <w:t xml:space="preserve">Failure to renew the AMC after the mandatory 3-year period will not attract any penalty; however, re-enrollment will be subject to prevailing rates at that time.</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6. GENERAL TERMS &amp; CONDITIONS</w:t>
      </w:r>
    </w:p>
    <w:p>
      <w:pPr>
        <w:spacing w:after="0" w:before="60"/>
      </w:pPr>
      <w:r>
        <w:t xml:space="preserve"/>
      </w:r>
    </w:p>
    <w:p>
      <w:pPr>
        <w:spacing w:after="80" w:before="240"/>
      </w:pPr>
      <w:r>
        <w:rPr>
          <w:rFonts w:ascii="Arial" w:cs="Arial" w:eastAsia="Arial" w:hAnsi="Arial"/>
          <w:b/>
          <w:bCs/>
          <w:color w:val="2563EB"/>
          <w:sz w:val="24"/>
          <w:szCs w:val="24"/>
        </w:rPr>
        <w:t xml:space="preserve">6.1 Change Requests &amp; Scope Additions</w:t>
      </w:r>
    </w:p>
    <w:p>
      <w:pPr>
        <w:spacing w:after="80" w:before="60"/>
        <w:jc w:val="both"/>
      </w:pPr>
      <w:r>
        <w:rPr>
          <w:rFonts w:ascii="Arial" w:cs="Arial" w:eastAsia="Arial" w:hAnsi="Arial"/>
          <w:b w:val="false"/>
          <w:bCs w:val="false"/>
          <w:i w:val="false"/>
          <w:iCs w:val="false"/>
          <w:color w:val="1E293B"/>
          <w:sz w:val="22"/>
          <w:szCs w:val="22"/>
        </w:rPr>
        <w:t xml:space="preserve">Any feature, module, or change beyond the scope described in Clause 1.1 shall be treated as a Change Request. Change Requests will be assessed, quoted separately in writing, and must be approved by both parties before implementation.</w:t>
      </w:r>
    </w:p>
    <w:p>
      <w:pPr>
        <w:spacing w:after="0" w:before="80"/>
      </w:pPr>
      <w:r>
        <w:t xml:space="preserve"/>
      </w:r>
    </w:p>
    <w:p>
      <w:pPr>
        <w:spacing w:after="80" w:before="240"/>
      </w:pPr>
      <w:r>
        <w:rPr>
          <w:rFonts w:ascii="Arial" w:cs="Arial" w:eastAsia="Arial" w:hAnsi="Arial"/>
          <w:b/>
          <w:bCs/>
          <w:color w:val="2563EB"/>
          <w:sz w:val="24"/>
          <w:szCs w:val="24"/>
        </w:rPr>
        <w:t xml:space="preserve">6.2 Client Responsibilities</w:t>
      </w:r>
    </w:p>
    <w:p>
      <w:pPr>
        <w:spacing w:after="80" w:before="60"/>
        <w:jc w:val="both"/>
      </w:pPr>
      <w:r>
        <w:rPr>
          <w:rFonts w:ascii="Arial" w:cs="Arial" w:eastAsia="Arial" w:hAnsi="Arial"/>
          <w:b w:val="false"/>
          <w:bCs w:val="false"/>
          <w:i w:val="false"/>
          <w:iCs w:val="false"/>
          <w:color w:val="1E293B"/>
          <w:sz w:val="22"/>
          <w:szCs w:val="22"/>
        </w:rPr>
        <w:t xml:space="preserve">The Client agrees to:</w:t>
      </w:r>
    </w:p>
    <w:p>
      <w:pPr>
        <w:pStyle w:val="ListParagraph"/>
        <w:numPr>
          <w:ilvl w:val="0"/>
          <w:numId w:val="2"/>
        </w:numPr>
        <w:spacing w:after="60" w:before="40"/>
      </w:pPr>
      <w:r>
        <w:rPr>
          <w:rFonts w:ascii="Arial" w:cs="Arial" w:eastAsia="Arial" w:hAnsi="Arial"/>
          <w:color w:val="1E293B"/>
          <w:sz w:val="22"/>
          <w:szCs w:val="22"/>
        </w:rPr>
        <w:t xml:space="preserve">Provide timely feedback (within 48 hours per phase) and access to required systems, content, and stakeholders</w:t>
      </w:r>
    </w:p>
    <w:p>
      <w:pPr>
        <w:pStyle w:val="ListParagraph"/>
        <w:numPr>
          <w:ilvl w:val="0"/>
          <w:numId w:val="2"/>
        </w:numPr>
        <w:spacing w:after="60" w:before="40"/>
      </w:pPr>
      <w:r>
        <w:rPr>
          <w:rFonts w:ascii="Arial" w:cs="Arial" w:eastAsia="Arial" w:hAnsi="Arial"/>
          <w:color w:val="1E293B"/>
          <w:sz w:val="22"/>
          <w:szCs w:val="22"/>
        </w:rPr>
        <w:t xml:space="preserve">Designate a single point of contact for all project communications</w:t>
      </w:r>
    </w:p>
    <w:p>
      <w:pPr>
        <w:pStyle w:val="ListParagraph"/>
        <w:numPr>
          <w:ilvl w:val="0"/>
          <w:numId w:val="2"/>
        </w:numPr>
        <w:spacing w:after="60" w:before="40"/>
      </w:pPr>
      <w:r>
        <w:rPr>
          <w:rFonts w:ascii="Arial" w:cs="Arial" w:eastAsia="Arial" w:hAnsi="Arial"/>
          <w:color w:val="1E293B"/>
          <w:sz w:val="22"/>
          <w:szCs w:val="22"/>
        </w:rPr>
        <w:t xml:space="preserve">Bear all third-party costs including hosting, domain registration, email services, payment gateway fees, and API subscriptions</w:t>
      </w:r>
    </w:p>
    <w:p>
      <w:pPr>
        <w:pStyle w:val="ListParagraph"/>
        <w:numPr>
          <w:ilvl w:val="0"/>
          <w:numId w:val="2"/>
        </w:numPr>
        <w:spacing w:after="60" w:before="40"/>
      </w:pPr>
      <w:r>
        <w:rPr>
          <w:rFonts w:ascii="Arial" w:cs="Arial" w:eastAsia="Arial" w:hAnsi="Arial"/>
          <w:color w:val="1E293B"/>
          <w:sz w:val="22"/>
          <w:szCs w:val="22"/>
        </w:rPr>
        <w:t xml:space="preserve">Ensure accurate and complete information is provided to the Service Provider for system configuration</w:t>
      </w:r>
    </w:p>
    <w:p>
      <w:pPr>
        <w:spacing w:after="0" w:before="80"/>
      </w:pPr>
      <w:r>
        <w:t xml:space="preserve"/>
      </w:r>
    </w:p>
    <w:p>
      <w:pPr>
        <w:spacing w:after="80" w:before="240"/>
      </w:pPr>
      <w:r>
        <w:rPr>
          <w:rFonts w:ascii="Arial" w:cs="Arial" w:eastAsia="Arial" w:hAnsi="Arial"/>
          <w:b/>
          <w:bCs/>
          <w:color w:val="2563EB"/>
          <w:sz w:val="24"/>
          <w:szCs w:val="24"/>
        </w:rPr>
        <w:t xml:space="preserve">6.3 Intellectual Property</w:t>
      </w:r>
    </w:p>
    <w:p>
      <w:pPr>
        <w:spacing w:after="80" w:before="60"/>
        <w:jc w:val="both"/>
      </w:pPr>
      <w:r>
        <w:rPr>
          <w:rFonts w:ascii="Arial" w:cs="Arial" w:eastAsia="Arial" w:hAnsi="Arial"/>
          <w:b w:val="false"/>
          <w:bCs w:val="false"/>
          <w:i w:val="false"/>
          <w:iCs w:val="false"/>
          <w:color w:val="1E293B"/>
          <w:sz w:val="22"/>
          <w:szCs w:val="22"/>
        </w:rPr>
        <w:t xml:space="preserve">Upon full and final payment of all amounts due under this Agreement, the intellectual property rights in the custom-developed codebase shall vest in the Client. The Service Provider retains the right to reference this project in its portfolio (without disclosing confidential business data) unless the Client provides written objection within 30 days of project completion.</w:t>
      </w:r>
    </w:p>
    <w:p>
      <w:pPr>
        <w:spacing w:after="0" w:before="80"/>
      </w:pPr>
      <w:r>
        <w:t xml:space="preserve"/>
      </w:r>
    </w:p>
    <w:p>
      <w:pPr>
        <w:spacing w:after="80" w:before="240"/>
      </w:pPr>
      <w:r>
        <w:rPr>
          <w:rFonts w:ascii="Arial" w:cs="Arial" w:eastAsia="Arial" w:hAnsi="Arial"/>
          <w:b/>
          <w:bCs/>
          <w:color w:val="2563EB"/>
          <w:sz w:val="24"/>
          <w:szCs w:val="24"/>
        </w:rPr>
        <w:t xml:space="preserve">6.4 Confidentiality</w:t>
      </w:r>
    </w:p>
    <w:p>
      <w:pPr>
        <w:spacing w:after="80" w:before="60"/>
        <w:jc w:val="both"/>
      </w:pPr>
      <w:r>
        <w:rPr>
          <w:rFonts w:ascii="Arial" w:cs="Arial" w:eastAsia="Arial" w:hAnsi="Arial"/>
          <w:b w:val="false"/>
          <w:bCs w:val="false"/>
          <w:i w:val="false"/>
          <w:iCs w:val="false"/>
          <w:color w:val="1E293B"/>
          <w:sz w:val="22"/>
          <w:szCs w:val="22"/>
        </w:rPr>
        <w:t xml:space="preserve">Both parties agree to keep all project-related information, business processes, credentials, and data confidential. This obligation survives termination of this Agreement for a period of 2 (two) years.</w:t>
      </w:r>
    </w:p>
    <w:p>
      <w:pPr>
        <w:spacing w:after="0" w:before="80"/>
      </w:pPr>
      <w:r>
        <w:t xml:space="preserve"/>
      </w:r>
    </w:p>
    <w:p>
      <w:pPr>
        <w:spacing w:after="80" w:before="240"/>
      </w:pPr>
      <w:r>
        <w:rPr>
          <w:rFonts w:ascii="Arial" w:cs="Arial" w:eastAsia="Arial" w:hAnsi="Arial"/>
          <w:b/>
          <w:bCs/>
          <w:color w:val="2563EB"/>
          <w:sz w:val="24"/>
          <w:szCs w:val="24"/>
        </w:rPr>
        <w:t xml:space="preserve">6.5 Limitation of Liability</w:t>
      </w:r>
    </w:p>
    <w:p>
      <w:pPr>
        <w:spacing w:after="80" w:before="60"/>
        <w:jc w:val="both"/>
      </w:pPr>
      <w:r>
        <w:rPr>
          <w:rFonts w:ascii="Arial" w:cs="Arial" w:eastAsia="Arial" w:hAnsi="Arial"/>
          <w:b w:val="false"/>
          <w:bCs w:val="false"/>
          <w:i w:val="false"/>
          <w:iCs w:val="false"/>
          <w:color w:val="1E293B"/>
          <w:sz w:val="22"/>
          <w:szCs w:val="22"/>
        </w:rPr>
        <w:t xml:space="preserve">The Service Provider's total liability under or in connection with this Agreement shall not exceed the total fees paid by the Client in the 3 months preceding the event giving rise to the claim. The Service Provider shall not be liable for any indirect, consequential, or incidental damages.</w:t>
      </w:r>
    </w:p>
    <w:p>
      <w:pPr>
        <w:spacing w:after="0" w:before="80"/>
      </w:pPr>
      <w:r>
        <w:t xml:space="preserve"/>
      </w:r>
    </w:p>
    <w:p>
      <w:pPr>
        <w:spacing w:after="80" w:before="240"/>
      </w:pPr>
      <w:r>
        <w:rPr>
          <w:rFonts w:ascii="Arial" w:cs="Arial" w:eastAsia="Arial" w:hAnsi="Arial"/>
          <w:b/>
          <w:bCs/>
          <w:color w:val="2563EB"/>
          <w:sz w:val="24"/>
          <w:szCs w:val="24"/>
        </w:rPr>
        <w:t xml:space="preserve">6.6 Force Majeure</w:t>
      </w:r>
    </w:p>
    <w:p>
      <w:pPr>
        <w:spacing w:after="80" w:before="60"/>
        <w:jc w:val="both"/>
      </w:pPr>
      <w:r>
        <w:rPr>
          <w:rFonts w:ascii="Arial" w:cs="Arial" w:eastAsia="Arial" w:hAnsi="Arial"/>
          <w:b w:val="false"/>
          <w:bCs w:val="false"/>
          <w:i w:val="false"/>
          <w:iCs w:val="false"/>
          <w:color w:val="1E293B"/>
          <w:sz w:val="22"/>
          <w:szCs w:val="22"/>
        </w:rPr>
        <w:t xml:space="preserve">Neither party shall be held liable for delays caused by events beyond their reasonable control including natural disasters, government restrictions, cyberattacks on third-party infrastructure, or telecommunication failures.</w:t>
      </w:r>
    </w:p>
    <w:p>
      <w:pPr>
        <w:spacing w:after="0" w:before="80"/>
      </w:pPr>
      <w:r>
        <w:t xml:space="preserve"/>
      </w:r>
    </w:p>
    <w:p>
      <w:pPr>
        <w:spacing w:after="80" w:before="240"/>
      </w:pPr>
      <w:r>
        <w:rPr>
          <w:rFonts w:ascii="Arial" w:cs="Arial" w:eastAsia="Arial" w:hAnsi="Arial"/>
          <w:b/>
          <w:bCs/>
          <w:color w:val="2563EB"/>
          <w:sz w:val="24"/>
          <w:szCs w:val="24"/>
        </w:rPr>
        <w:t xml:space="preserve">6.7 Governing Law &amp; Dispute Resolution</w:t>
      </w:r>
    </w:p>
    <w:p>
      <w:pPr>
        <w:spacing w:after="80" w:before="60"/>
        <w:jc w:val="both"/>
      </w:pPr>
      <w:r>
        <w:rPr>
          <w:rFonts w:ascii="Arial" w:cs="Arial" w:eastAsia="Arial" w:hAnsi="Arial"/>
          <w:b w:val="false"/>
          <w:bCs w:val="false"/>
          <w:i w:val="false"/>
          <w:iCs w:val="false"/>
          <w:color w:val="1E293B"/>
          <w:sz w:val="22"/>
          <w:szCs w:val="22"/>
        </w:rPr>
        <w:t xml:space="preserve">This Agreement shall be governed by the laws of India. Any disputes arising under this Agreement shall first be resolved through good-faith negotiation. If unresolved within 30 days, disputes shall be referred to arbitration under the Arbitration and Conciliation Act, 1996, with the seat of arbitration in Noida, Uttar Pradesh.</w:t>
      </w:r>
    </w:p>
    <w:p>
      <w:pPr>
        <w:spacing w:after="0" w:before="80"/>
      </w:pPr>
      <w:r>
        <w:t xml:space="preserve"/>
      </w:r>
    </w:p>
    <w:p>
      <w:pPr>
        <w:spacing w:after="80" w:before="240"/>
      </w:pPr>
      <w:r>
        <w:rPr>
          <w:rFonts w:ascii="Arial" w:cs="Arial" w:eastAsia="Arial" w:hAnsi="Arial"/>
          <w:b/>
          <w:bCs/>
          <w:color w:val="2563EB"/>
          <w:sz w:val="24"/>
          <w:szCs w:val="24"/>
        </w:rPr>
        <w:t xml:space="preserve">6.8 Termination</w:t>
      </w:r>
    </w:p>
    <w:p>
      <w:pPr>
        <w:spacing w:after="80" w:before="60"/>
        <w:jc w:val="both"/>
      </w:pPr>
      <w:r>
        <w:rPr>
          <w:rFonts w:ascii="Arial" w:cs="Arial" w:eastAsia="Arial" w:hAnsi="Arial"/>
          <w:b w:val="false"/>
          <w:bCs w:val="false"/>
          <w:i w:val="false"/>
          <w:iCs w:val="false"/>
          <w:color w:val="1E293B"/>
          <w:sz w:val="22"/>
          <w:szCs w:val="22"/>
        </w:rPr>
        <w:t xml:space="preserve">Either party may terminate this Agreement with 30 days' written notice. In the event of termination by the Client after work has commenced, fees for all work completed up to the termination date shall be payable. In the event of termination due to material breach by the Service Provider, a pro-rata refund of advance payments (less work completed) shall be made within 15 business days.</w:t>
      </w:r>
    </w:p>
    <w:p>
      <w:pPr>
        <w:spacing w:after="0" w:before="80"/>
      </w:pPr>
      <w:r>
        <w:t xml:space="preserve"/>
      </w:r>
    </w:p>
    <w:p>
      <w:pPr>
        <w:spacing w:after="80" w:before="240"/>
      </w:pPr>
      <w:r>
        <w:rPr>
          <w:rFonts w:ascii="Arial" w:cs="Arial" w:eastAsia="Arial" w:hAnsi="Arial"/>
          <w:b/>
          <w:bCs/>
          <w:color w:val="2563EB"/>
          <w:sz w:val="24"/>
          <w:szCs w:val="24"/>
        </w:rPr>
        <w:t xml:space="preserve">6.9 Referral Benefit</w:t>
      </w:r>
    </w:p>
    <w:p>
      <w:pPr>
        <w:spacing w:after="80" w:before="60"/>
        <w:jc w:val="both"/>
      </w:pPr>
      <w:r>
        <w:rPr>
          <w:rFonts w:ascii="Arial" w:cs="Arial" w:eastAsia="Arial" w:hAnsi="Arial"/>
          <w:b w:val="false"/>
          <w:bCs w:val="false"/>
          <w:i w:val="false"/>
          <w:iCs w:val="false"/>
          <w:color w:val="1E293B"/>
          <w:sz w:val="22"/>
          <w:szCs w:val="22"/>
        </w:rPr>
        <w:t xml:space="preserve">The Client is eligible to receive a referral benefit of ₹5,000 for each successful client referral made to Xenelasia Consultancy LLP, credited upon completion of the referred client's initial 50% advance payment. This benefit may be applied as a credit against outstanding invoices or paid out as agreed.</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7. HOSTING &amp; THIRD-PARTY SERVICES</w:t>
      </w:r>
    </w:p>
    <w:p>
      <w:pPr>
        <w:spacing w:after="80" w:before="60"/>
        <w:jc w:val="both"/>
      </w:pPr>
      <w:r>
        <w:rPr>
          <w:rFonts w:ascii="Arial" w:cs="Arial" w:eastAsia="Arial" w:hAnsi="Arial"/>
          <w:b w:val="false"/>
          <w:bCs w:val="false"/>
          <w:i w:val="false"/>
          <w:iCs w:val="false"/>
          <w:color w:val="1E293B"/>
          <w:sz w:val="22"/>
          <w:szCs w:val="22"/>
        </w:rPr>
        <w:t xml:space="preserve">All costs relating to hosting (cloud/VPS), domain names, SSL certificates, email hosting, payment gateway charges, and any other third-party subscriptions or services required for the operation of the platform shall be borne entirely by the Client.</w:t>
      </w:r>
    </w:p>
    <w:p>
      <w:pPr>
        <w:pStyle w:val="ListParagraph"/>
        <w:numPr>
          <w:ilvl w:val="0"/>
          <w:numId w:val="2"/>
        </w:numPr>
        <w:spacing w:after="60" w:before="40"/>
      </w:pPr>
      <w:r>
        <w:rPr>
          <w:rFonts w:ascii="Arial" w:cs="Arial" w:eastAsia="Arial" w:hAnsi="Arial"/>
          <w:color w:val="1E293B"/>
          <w:sz w:val="22"/>
          <w:szCs w:val="22"/>
        </w:rPr>
        <w:t xml:space="preserve">Estimated hosting and infrastructure cost: ₹2,000–₹2,500/month (indicative; subject to actual usage)</w:t>
      </w:r>
    </w:p>
    <w:p>
      <w:pPr>
        <w:pStyle w:val="ListParagraph"/>
        <w:numPr>
          <w:ilvl w:val="0"/>
          <w:numId w:val="2"/>
        </w:numPr>
        <w:spacing w:after="60" w:before="40"/>
      </w:pPr>
      <w:r>
        <w:rPr>
          <w:rFonts w:ascii="Arial" w:cs="Arial" w:eastAsia="Arial" w:hAnsi="Arial"/>
          <w:color w:val="1E293B"/>
          <w:sz w:val="22"/>
          <w:szCs w:val="22"/>
        </w:rPr>
        <w:t xml:space="preserve">The Service Provider will assist with onboarding and configuration of third-party services but is not liable for their uptime, pricing changes, or service discontinuations</w:t>
      </w:r>
    </w:p>
    <w:p>
      <w:pPr>
        <w:pStyle w:val="ListParagraph"/>
        <w:numPr>
          <w:ilvl w:val="0"/>
          <w:numId w:val="2"/>
        </w:numPr>
        <w:spacing w:after="60" w:before="40"/>
      </w:pPr>
      <w:r>
        <w:rPr>
          <w:rFonts w:ascii="Arial" w:cs="Arial" w:eastAsia="Arial" w:hAnsi="Arial"/>
          <w:color w:val="1E293B"/>
          <w:sz w:val="22"/>
          <w:szCs w:val="22"/>
        </w:rPr>
        <w:t xml:space="preserve">All third-party account credentials shall be owned and maintained by the Client</w:t>
      </w:r>
    </w:p>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8. SIGNATURES</w:t>
      </w:r>
    </w:p>
    <w:p>
      <w:pPr>
        <w:spacing w:after="80" w:before="60"/>
        <w:jc w:val="both"/>
      </w:pPr>
      <w:r>
        <w:rPr>
          <w:rFonts w:ascii="Arial" w:cs="Arial" w:eastAsia="Arial" w:hAnsi="Arial"/>
          <w:b w:val="false"/>
          <w:bCs w:val="false"/>
          <w:i w:val="false"/>
          <w:iCs w:val="false"/>
          <w:color w:val="1E293B"/>
          <w:sz w:val="22"/>
          <w:szCs w:val="22"/>
        </w:rPr>
        <w:t xml:space="preserve">By signing below, both parties agree to be bound by all the terms and conditions of this Agreement.</w:t>
      </w:r>
    </w:p>
    <w:p>
      <w:pPr>
        <w:spacing w:after="0" w:before="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53"/>
        <w:gridCol w:w="400"/>
        <w:gridCol w:w="4553"/>
      </w:tblGrid>
      <w:tr>
        <w:tc>
          <w:tcPr>
            <w:tcW w:type="dxa" w:w="4553"/>
            <w:tcBorders>
              <w:top w:val="none" w:color="FFFFFF" w:sz="0"/>
              <w:left w:val="none" w:color="FFFFFF" w:sz="0"/>
              <w:bottom w:val="none" w:color="FFFFFF" w:sz="0"/>
              <w:right w:val="none" w:color="FFFFFF" w:sz="0"/>
            </w:tcBorders>
            <w:shd w:fill="EFF6FF" w:val="clear"/>
            <w:tcMar>
              <w:top w:type="dxa" w:w="200"/>
              <w:left w:type="dxa" w:w="200"/>
              <w:bottom w:type="dxa" w:w="200"/>
              <w:right w:type="dxa" w:w="200"/>
            </w:tcMar>
          </w:tcPr>
          <w:p>
            <w:r>
              <w:rPr>
                <w:rFonts w:ascii="Arial" w:cs="Arial" w:eastAsia="Arial" w:hAnsi="Arial"/>
                <w:b/>
                <w:bCs/>
                <w:color w:val="1B2A4A"/>
                <w:sz w:val="22"/>
                <w:szCs w:val="22"/>
              </w:rPr>
              <w:t xml:space="preserve">For Xenelasia Consultancy LLP</w:t>
            </w:r>
          </w:p>
          <w:p>
            <w:pPr>
              <w:spacing w:after="0" w:before="160"/>
            </w:pPr>
            <w:r>
              <w:t xml:space="preserve"/>
            </w:r>
          </w:p>
          <w:p>
            <w:pPr>
              <w:pBdr>
                <w:bottom w:val="single" w:color="1B2A4A" w:sz="2" w:space="2"/>
              </w:pBdr>
            </w:pPr>
            <w:r>
              <w:t xml:space="preserve"/>
            </w:r>
          </w:p>
          <w:p>
            <w:pPr>
              <w:spacing w:after="0" w:before="60"/>
            </w:pPr>
            <w:r>
              <w:t xml:space="preserve"/>
            </w:r>
          </w:p>
          <w:p>
            <w:r>
              <w:rPr>
                <w:rFonts w:ascii="Arial" w:cs="Arial" w:eastAsia="Arial" w:hAnsi="Arial"/>
                <w:color w:val="6B7280"/>
                <w:sz w:val="20"/>
                <w:szCs w:val="20"/>
              </w:rPr>
              <w:t xml:space="preserve">Authorised Signatory</w:t>
            </w:r>
          </w:p>
          <w:p>
            <w:r>
              <w:rPr>
                <w:rFonts w:ascii="Arial" w:cs="Arial" w:eastAsia="Arial" w:hAnsi="Arial"/>
                <w:color w:val="1E293B"/>
                <w:sz w:val="20"/>
                <w:szCs w:val="20"/>
              </w:rPr>
              <w:t xml:space="preserve">Name: ________________________</w:t>
            </w:r>
          </w:p>
          <w:p>
            <w:r>
              <w:rPr>
                <w:rFonts w:ascii="Arial" w:cs="Arial" w:eastAsia="Arial" w:hAnsi="Arial"/>
                <w:color w:val="1E293B"/>
                <w:sz w:val="20"/>
                <w:szCs w:val="20"/>
              </w:rPr>
              <w:t xml:space="preserve">Date: _________________________</w:t>
            </w:r>
          </w:p>
          <w:p>
            <w:r>
              <w:rPr>
                <w:rFonts w:ascii="Arial" w:cs="Arial" w:eastAsia="Arial" w:hAnsi="Arial"/>
                <w:color w:val="1E293B"/>
                <w:sz w:val="20"/>
                <w:szCs w:val="20"/>
              </w:rPr>
              <w:t xml:space="preserve">Stamp: ________________________</w:t>
            </w:r>
          </w:p>
        </w:tc>
        <w:tc>
          <w:tcPr>
            <w:tcW w:type="dxa" w:w="400"/>
            <w:tcBorders>
              <w:top w:val="none" w:color="FFFFFF" w:sz="0"/>
              <w:left w:val="none" w:color="FFFFFF" w:sz="0"/>
              <w:bottom w:val="none" w:color="FFFFFF" w:sz="0"/>
              <w:right w:val="none" w:color="FFFFFF" w:sz="0"/>
            </w:tcBorders>
          </w:tcPr>
          <w:p/>
        </w:tc>
        <w:tc>
          <w:tcPr>
            <w:tcW w:type="dxa" w:w="4553"/>
            <w:tcBorders>
              <w:top w:val="none" w:color="FFFFFF" w:sz="0"/>
              <w:left w:val="none" w:color="FFFFFF" w:sz="0"/>
              <w:bottom w:val="none" w:color="FFFFFF" w:sz="0"/>
              <w:right w:val="none" w:color="FFFFFF" w:sz="0"/>
            </w:tcBorders>
            <w:shd w:fill="EFF6FF" w:val="clear"/>
            <w:tcMar>
              <w:top w:type="dxa" w:w="200"/>
              <w:left w:type="dxa" w:w="200"/>
              <w:bottom w:type="dxa" w:w="200"/>
              <w:right w:type="dxa" w:w="200"/>
            </w:tcMar>
          </w:tcPr>
          <w:p>
            <w:r>
              <w:rPr>
                <w:rFonts w:ascii="Arial" w:cs="Arial" w:eastAsia="Arial" w:hAnsi="Arial"/>
                <w:b/>
                <w:bCs/>
                <w:color w:val="1B2A4A"/>
                <w:sz w:val="22"/>
                <w:szCs w:val="22"/>
              </w:rPr>
              <w:t xml:space="preserve">For Do-It Services (Client)</w:t>
            </w:r>
          </w:p>
          <w:p>
            <w:pPr>
              <w:spacing w:after="0" w:before="160"/>
            </w:pPr>
            <w:r>
              <w:t xml:space="preserve"/>
            </w:r>
          </w:p>
          <w:p>
            <w:pPr>
              <w:pBdr>
                <w:bottom w:val="single" w:color="1B2A4A" w:sz="2" w:space="2"/>
              </w:pBdr>
            </w:pPr>
            <w:r>
              <w:t xml:space="preserve"/>
            </w:r>
          </w:p>
          <w:p>
            <w:pPr>
              <w:spacing w:after="0" w:before="60"/>
            </w:pPr>
            <w:r>
              <w:t xml:space="preserve"/>
            </w:r>
          </w:p>
          <w:p>
            <w:r>
              <w:rPr>
                <w:rFonts w:ascii="Arial" w:cs="Arial" w:eastAsia="Arial" w:hAnsi="Arial"/>
                <w:color w:val="6B7280"/>
                <w:sz w:val="20"/>
                <w:szCs w:val="20"/>
              </w:rPr>
              <w:t xml:space="preserve">Authorised Signatory</w:t>
            </w:r>
          </w:p>
          <w:p>
            <w:r>
              <w:rPr>
                <w:rFonts w:ascii="Arial" w:cs="Arial" w:eastAsia="Arial" w:hAnsi="Arial"/>
                <w:color w:val="1E293B"/>
                <w:sz w:val="20"/>
                <w:szCs w:val="20"/>
              </w:rPr>
              <w:t xml:space="preserve">Name: ________________________</w:t>
            </w:r>
          </w:p>
          <w:p>
            <w:r>
              <w:rPr>
                <w:rFonts w:ascii="Arial" w:cs="Arial" w:eastAsia="Arial" w:hAnsi="Arial"/>
                <w:color w:val="1E293B"/>
                <w:sz w:val="20"/>
                <w:szCs w:val="20"/>
              </w:rPr>
              <w:t xml:space="preserve">Date: _________________________</w:t>
            </w:r>
          </w:p>
          <w:p>
            <w:r>
              <w:rPr>
                <w:rFonts w:ascii="Arial" w:cs="Arial" w:eastAsia="Arial" w:hAnsi="Arial"/>
                <w:color w:val="1E293B"/>
                <w:sz w:val="20"/>
                <w:szCs w:val="20"/>
              </w:rPr>
              <w:t xml:space="preserve">Stamp: ________________________</w:t>
            </w:r>
          </w:p>
        </w:tc>
      </w:tr>
    </w:tbl>
    <w:p>
      <w:pPr>
        <w:spacing w:after="0" w:before="140"/>
      </w:pPr>
      <w:r>
        <w:t xml:space="preserve"/>
      </w:r>
    </w:p>
    <w:p>
      <w:pPr>
        <w:pBdr>
          <w:bottom w:val="single" w:color="2563EB" w:sz="3" w:space="6"/>
        </w:pBdr>
        <w:spacing w:after="120" w:before="360"/>
      </w:pPr>
      <w:r>
        <w:rPr>
          <w:rFonts w:ascii="Arial" w:cs="Arial" w:eastAsia="Arial" w:hAnsi="Arial"/>
          <w:b/>
          <w:bCs/>
          <w:color w:val="1B2A4A"/>
          <w:sz w:val="28"/>
          <w:szCs w:val="28"/>
        </w:rPr>
        <w:t xml:space="preserve">9. PAYMENT BANK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Account Name</w:t>
            </w:r>
          </w:p>
        </w:tc>
        <w:tc>
          <w:tcPr>
            <w:tcW w:type="dxa" w:w="65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Xenelasia Consultancy LLP</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Account Number</w:t>
            </w:r>
          </w:p>
        </w:tc>
        <w:tc>
          <w:tcPr>
            <w:tcW w:type="dxa" w:w="6506"/>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10141866247</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Bank</w:t>
            </w:r>
          </w:p>
        </w:tc>
        <w:tc>
          <w:tcPr>
            <w:tcW w:type="dxa" w:w="65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IDFC Bank</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IFSC Code</w:t>
            </w:r>
          </w:p>
        </w:tc>
        <w:tc>
          <w:tcPr>
            <w:tcW w:type="dxa" w:w="6506"/>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IDFB0021332</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bCs/>
                <w:color w:val="1E293B"/>
                <w:sz w:val="21"/>
                <w:szCs w:val="21"/>
              </w:rPr>
              <w:t xml:space="preserve">Payment Reference</w:t>
            </w:r>
          </w:p>
        </w:tc>
        <w:tc>
          <w:tcPr>
            <w:tcW w:type="dxa" w:w="6506"/>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1"/>
                <w:szCs w:val="21"/>
              </w:rPr>
              <w:t xml:space="preserve">Agreement No: XCL-DIT-2026-____</w:t>
            </w:r>
          </w:p>
        </w:tc>
      </w:tr>
    </w:tbl>
    <w:p>
      <w:pPr>
        <w:spacing w:after="0" w:before="80"/>
      </w:pPr>
      <w:r>
        <w:t xml:space="preserve"/>
      </w:r>
    </w:p>
    <w:p>
      <w:pPr>
        <w:spacing w:after="80" w:before="60"/>
        <w:jc w:val="both"/>
      </w:pPr>
      <w:r>
        <w:rPr>
          <w:rFonts w:ascii="Arial" w:cs="Arial" w:eastAsia="Arial" w:hAnsi="Arial"/>
          <w:b w:val="false"/>
          <w:bCs w:val="false"/>
          <w:i w:val="false"/>
          <w:iCs w:val="false"/>
          <w:color w:val="1E293B"/>
          <w:sz w:val="22"/>
          <w:szCs w:val="22"/>
        </w:rPr>
        <w:t xml:space="preserve">Please mention the Agreement Number in all payment references/UTR descriptions for faster reconciliation.</w:t>
      </w:r>
    </w:p>
    <w:p>
      <w:pPr>
        <w:spacing w:after="0" w:before="80"/>
      </w:pPr>
      <w:r>
        <w:t xml:space="preserve"/>
      </w:r>
    </w:p>
    <w:p>
      <w:pPr>
        <w:spacing w:after="60" w:before="200"/>
        <w:jc w:val="center"/>
      </w:pPr>
      <w:r>
        <w:rPr>
          <w:rFonts w:ascii="Arial" w:cs="Arial" w:eastAsia="Arial" w:hAnsi="Arial"/>
          <w:b/>
          <w:bCs/>
          <w:i/>
          <w:iCs/>
          <w:color w:val="1B2A4A"/>
          <w:sz w:val="24"/>
          <w:szCs w:val="24"/>
        </w:rPr>
        <w:t xml:space="preserve">We look forward to a successful and rewarding partnership.</w:t>
      </w:r>
    </w:p>
    <w:p>
      <w:pPr>
        <w:spacing w:after="0" w:before="0"/>
        <w:jc w:val="center"/>
      </w:pPr>
      <w:r>
        <w:rPr>
          <w:rFonts w:ascii="Arial" w:cs="Arial" w:eastAsia="Arial" w:hAnsi="Arial"/>
          <w:color w:val="6B7280"/>
          <w:sz w:val="20"/>
          <w:szCs w:val="20"/>
        </w:rPr>
        <w:t xml:space="preserve">Xenelasia Consultancy LLP — xcplllp@gmail.com — +91-8010115618</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after="0" w:before="60"/>
    </w:pPr>
    <w:r>
      <w:rPr>
        <w:rFonts w:ascii="Arial" w:cs="Arial" w:eastAsia="Arial" w:hAnsi="Arial"/>
        <w:color w:val="6B7280"/>
        <w:sz w:val="18"/>
        <w:szCs w:val="18"/>
      </w:rPr>
      <w:t xml:space="preserve">Confidential — Xenelasia Consultancy LLP | Reg No: ABZ-8490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before="0"/>
    </w:pPr>
    <w:r>
      <w:rPr>
        <w:rFonts w:ascii="Arial" w:cs="Arial" w:eastAsia="Arial" w:hAnsi="Arial"/>
        <w:b/>
        <w:bCs/>
        <w:color w:val="1B2A4A"/>
        <w:sz w:val="22"/>
        <w:szCs w:val="22"/>
      </w:rPr>
      <w:t xml:space="preserve">XENELASIA CONSULTANCY LLP</w:t>
    </w:r>
    <w:r>
      <w:rPr>
        <w:rFonts w:ascii="Arial" w:cs="Arial" w:eastAsia="Arial" w:hAnsi="Arial"/>
        <w:color w:val="6B7280"/>
        <w:sz w:val="20"/>
        <w:szCs w:val="20"/>
      </w:rPr>
      <w:t xml:space="preserve">    |    Service Agreement — Do-It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2026-05-21T07:24:42.903Z</dcterms:created>
  <dcterms:modified xsi:type="dcterms:W3CDTF">2026-05-21T07:24:42.903Z</dcterms:modified>
</cp:coreProperties>
</file>

<file path=docProps/custom.xml><?xml version="1.0" encoding="utf-8"?>
<Properties xmlns="http://schemas.openxmlformats.org/officeDocument/2006/custom-properties" xmlns:vt="http://schemas.openxmlformats.org/officeDocument/2006/docPropsVTypes"/>
</file>