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480"/>
      </w:pPr>
      <w:r>
        <w:rPr>
          <w:rFonts w:ascii="DFKai-SB" w:hAnsi="DFKai-SB" w:eastAsia="DFKai-SB" w:cs="DFKai-SB"/>
          <w:b/>
          <w:i w:val="0"/>
          <w:color w:val="D7653E"/>
          <w:sz w:val="20"/>
        </w:rPr>
        <w:t>CLINICAL SOCIOLINGUISTICS · RESEARCH PACK</w:t>
      </w:r>
    </w:p>
    <w:p>
      <w:pPr>
        <w:spacing w:after="360"/>
      </w:pPr>
      <w:r>
        <w:rPr>
          <w:rFonts w:ascii="DFKai-SB" w:hAnsi="DFKai-SB" w:eastAsia="DFKai-SB" w:cs="DFKai-SB"/>
          <w:b/>
          <w:i w:val="0"/>
          <w:color w:val="19352D"/>
          <w:sz w:val="50"/>
        </w:rPr>
        <w:t>《臨床社會語言學》</w:t>
        <w:br/>
        <w:t>圖表、研究脈絡與研究缺口整理</w:t>
      </w:r>
    </w:p>
    <w:p>
      <w:pPr>
        <w:spacing w:after="680"/>
      </w:pPr>
      <w:r>
        <w:rPr>
          <w:rFonts w:ascii="DFKai-SB" w:hAnsi="DFKai-SB" w:eastAsia="DFKai-SB" w:cs="DFKai-SB"/>
          <w:b w:val="0"/>
          <w:i w:val="0"/>
          <w:color w:val="D7653E"/>
          <w:sz w:val="28"/>
        </w:rPr>
        <w:t>以高齡阿美族語、多語生命史與文化公平評估為研究轉譯焦點</w:t>
      </w:r>
    </w:p>
    <w:tbl>
      <w:tblPr>
        <w:tblW w:type="dxa" w:w="8730"/>
        <w:jc w:val="center"/>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2040"/>
        <w:gridCol w:w="6689"/>
      </w:tblGrid>
      <w:tr>
        <w:tc>
          <w:tcPr>
            <w:tcW w:type="dxa" w:w="2040"/>
            <w:shd w:fill="19352D"/>
            <w:tcMar>
              <w:top w:w="160" w:type="dxa"/>
              <w:left w:w="160" w:type="dxa"/>
              <w:bottom w:w="160" w:type="dxa"/>
              <w:right w:w="160" w:type="dxa"/>
            </w:tcMar>
          </w:tcPr>
          <w:p>
            <w:r>
              <w:rPr>
                <w:rFonts w:ascii="DFKai-SB" w:hAnsi="DFKai-SB" w:eastAsia="DFKai-SB" w:cs="DFKai-SB"/>
                <w:b/>
                <w:i w:val="0"/>
                <w:color w:val="FFFFFF"/>
                <w:sz w:val="20"/>
              </w:rPr>
              <w:t>文件型態</w:t>
            </w:r>
          </w:p>
        </w:tc>
        <w:tc>
          <w:tcPr>
            <w:tcW w:type="dxa" w:w="6689"/>
            <w:shd w:fill="F7F3EA"/>
            <w:tcMar>
              <w:top w:w="160" w:type="dxa"/>
              <w:left w:w="160" w:type="dxa"/>
              <w:bottom w:w="160" w:type="dxa"/>
              <w:right w:w="160" w:type="dxa"/>
            </w:tcMar>
          </w:tcPr>
          <w:p>
            <w:r>
              <w:rPr>
                <w:rFonts w:ascii="DFKai-SB" w:hAnsi="DFKai-SB" w:eastAsia="DFKai-SB" w:cs="DFKai-SB"/>
                <w:b w:val="0"/>
                <w:i w:val="0"/>
                <w:color w:val="19352D"/>
                <w:sz w:val="20"/>
              </w:rPr>
              <w:t>APA 第 7 版格式之研究整理包</w:t>
            </w:r>
          </w:p>
        </w:tc>
      </w:tr>
      <w:tr>
        <w:tc>
          <w:tcPr>
            <w:tcW w:type="dxa" w:w="2040"/>
            <w:shd w:fill="19352D"/>
            <w:tcMar>
              <w:top w:w="160" w:type="dxa"/>
              <w:left w:w="160" w:type="dxa"/>
              <w:bottom w:w="160" w:type="dxa"/>
              <w:right w:w="160" w:type="dxa"/>
            </w:tcMar>
          </w:tcPr>
          <w:p>
            <w:r>
              <w:rPr>
                <w:rFonts w:ascii="DFKai-SB" w:hAnsi="DFKai-SB" w:eastAsia="DFKai-SB" w:cs="DFKai-SB"/>
                <w:b/>
                <w:i w:val="0"/>
                <w:color w:val="FFFFFF"/>
                <w:sz w:val="20"/>
              </w:rPr>
              <w:t>字體與版面</w:t>
            </w:r>
          </w:p>
        </w:tc>
        <w:tc>
          <w:tcPr>
            <w:tcW w:type="dxa" w:w="6689"/>
            <w:shd w:fill="F7F3EA"/>
            <w:tcMar>
              <w:top w:w="160" w:type="dxa"/>
              <w:left w:w="160" w:type="dxa"/>
              <w:bottom w:w="160" w:type="dxa"/>
              <w:right w:w="160" w:type="dxa"/>
            </w:tcMar>
          </w:tcPr>
          <w:p>
            <w:r>
              <w:rPr>
                <w:rFonts w:ascii="DFKai-SB" w:hAnsi="DFKai-SB" w:eastAsia="DFKai-SB" w:cs="DFKai-SB"/>
                <w:b w:val="0"/>
                <w:i w:val="0"/>
                <w:color w:val="19352D"/>
                <w:sz w:val="20"/>
              </w:rPr>
              <w:t>標楷體；內文左右對齊；雙行距；四邊 1 吋</w:t>
            </w:r>
          </w:p>
        </w:tc>
      </w:tr>
      <w:tr>
        <w:tc>
          <w:tcPr>
            <w:tcW w:type="dxa" w:w="2040"/>
            <w:shd w:fill="19352D"/>
            <w:tcMar>
              <w:top w:w="160" w:type="dxa"/>
              <w:left w:w="160" w:type="dxa"/>
              <w:bottom w:w="160" w:type="dxa"/>
              <w:right w:w="160" w:type="dxa"/>
            </w:tcMar>
          </w:tcPr>
          <w:p>
            <w:r>
              <w:rPr>
                <w:rFonts w:ascii="DFKai-SB" w:hAnsi="DFKai-SB" w:eastAsia="DFKai-SB" w:cs="DFKai-SB"/>
                <w:b/>
                <w:i w:val="0"/>
                <w:color w:val="FFFFFF"/>
                <w:sz w:val="20"/>
              </w:rPr>
              <w:t>整理日期</w:t>
            </w:r>
          </w:p>
        </w:tc>
        <w:tc>
          <w:tcPr>
            <w:tcW w:type="dxa" w:w="6689"/>
            <w:shd w:fill="F7F3EA"/>
            <w:tcMar>
              <w:top w:w="160" w:type="dxa"/>
              <w:left w:w="160" w:type="dxa"/>
              <w:bottom w:w="160" w:type="dxa"/>
              <w:right w:w="160" w:type="dxa"/>
            </w:tcMar>
          </w:tcPr>
          <w:p>
            <w:r>
              <w:rPr>
                <w:rFonts w:ascii="DFKai-SB" w:hAnsi="DFKai-SB" w:eastAsia="DFKai-SB" w:cs="DFKai-SB"/>
                <w:b w:val="0"/>
                <w:i w:val="0"/>
                <w:color w:val="19352D"/>
                <w:sz w:val="20"/>
              </w:rPr>
              <w:t>2026 年 9 月 6 日</w:t>
            </w:r>
          </w:p>
        </w:tc>
      </w:tr>
    </w:tbl>
    <w:p>
      <w:pPr>
        <w:spacing w:after="0" w:line="348" w:lineRule="auto"/>
        <w:jc w:val="both"/>
      </w:pPr>
      <w:r>
        <w:rPr>
          <w:rFonts w:ascii="DFKai-SB" w:hAnsi="DFKai-SB" w:eastAsia="DFKai-SB" w:cs="DFKai-SB"/>
          <w:b w:val="0"/>
          <w:i w:val="0"/>
          <w:color w:val="19352D"/>
          <w:sz w:val="20"/>
        </w:rPr>
        <w:t>使用聲明：本文件將閱讀心得中的概念整理為可供研究設計討論的表格與脈絡圖。圖中的箭頭表示待驗證的概念關係，不代表已建立因果效果；阿美族相關研究連結置於每一圖表的註釋中。</w:t>
      </w:r>
    </w:p>
    <w:p>
      <w:r>
        <w:br w:type="page"/>
      </w:r>
    </w:p>
    <w:p>
      <w:pPr>
        <w:keepNext/>
        <w:spacing w:before="320" w:after="160"/>
      </w:pPr>
      <w:r>
        <w:rPr>
          <w:rFonts w:ascii="DFKai-SB" w:hAnsi="DFKai-SB" w:eastAsia="DFKai-SB" w:cs="DFKai-SB"/>
          <w:b/>
          <w:i w:val="0"/>
          <w:color w:val="19352D"/>
          <w:sz w:val="32"/>
        </w:rPr>
        <w:t>摘要</w:t>
      </w:r>
    </w:p>
    <w:p>
      <w:pPr>
        <w:spacing w:after="160" w:line="480" w:lineRule="auto"/>
        <w:jc w:val="both"/>
      </w:pPr>
      <w:r>
        <w:rPr>
          <w:rFonts w:ascii="DFKai-SB" w:hAnsi="DFKai-SB" w:eastAsia="DFKai-SB" w:cs="DFKai-SB"/>
          <w:b w:val="0"/>
          <w:i w:val="0"/>
          <w:color w:val="19352D"/>
          <w:sz w:val="24"/>
        </w:rPr>
        <w:t>本整理包將《Clinical Sociolinguistics》（Ball, 2005）21章閱讀心得及《關鍵科技探索—人工智慧》五章課程整理轉譯為研究設計資源。文件以高齡阿美族語與神經認知研究為情境，彙整章節資料、變項操作化、概念路徑、人工智慧知識地圖、雙軸證據框架、研究缺口優先序與參與式資料流程。每一圖表均附阿美族相關研究的可點擊連結與連接說明，以便追索證據與延伸閱讀。</w:t>
      </w:r>
    </w:p>
    <w:p>
      <w:pPr>
        <w:keepNext/>
        <w:spacing w:before="200" w:after="160"/>
      </w:pPr>
      <w:r>
        <w:rPr>
          <w:rFonts w:ascii="DFKai-SB" w:hAnsi="DFKai-SB" w:eastAsia="DFKai-SB" w:cs="DFKai-SB"/>
          <w:b/>
          <w:i w:val="0"/>
          <w:color w:val="D7653E"/>
          <w:sz w:val="26"/>
        </w:rPr>
        <w:t>使用與判讀原則</w:t>
      </w:r>
    </w:p>
    <w:p>
      <w:pPr>
        <w:spacing w:before="0" w:after="160" w:line="480" w:lineRule="auto"/>
        <w:ind w:left="340" w:hanging="198"/>
        <w:jc w:val="both"/>
      </w:pPr>
      <w:r>
        <w:rPr>
          <w:rFonts w:ascii="DFKai-SB" w:hAnsi="DFKai-SB" w:eastAsia="DFKai-SB" w:cs="DFKai-SB"/>
          <w:b w:val="0"/>
          <w:i w:val="0"/>
          <w:color w:val="19352D"/>
          <w:sz w:val="24"/>
        </w:rPr>
        <w:t xml:space="preserve">• </w:t>
      </w:r>
      <w:r>
        <w:rPr>
          <w:rFonts w:ascii="DFKai-SB" w:hAnsi="DFKai-SB" w:eastAsia="DFKai-SB" w:cs="DFKai-SB"/>
          <w:b w:val="0"/>
          <w:i w:val="0"/>
          <w:color w:val="19352D"/>
          <w:sz w:val="24"/>
        </w:rPr>
        <w:t>差異不等於障礙：方言、語碼轉換、識字經驗與文化熟悉度必須納入低分的替代解釋。</w:t>
      </w:r>
    </w:p>
    <w:p>
      <w:pPr>
        <w:spacing w:before="0" w:after="160" w:line="480" w:lineRule="auto"/>
        <w:ind w:left="340" w:hanging="198"/>
        <w:jc w:val="both"/>
      </w:pPr>
      <w:r>
        <w:rPr>
          <w:rFonts w:ascii="DFKai-SB" w:hAnsi="DFKai-SB" w:eastAsia="DFKai-SB" w:cs="DFKai-SB"/>
          <w:b w:val="0"/>
          <w:i w:val="0"/>
          <w:color w:val="19352D"/>
          <w:sz w:val="24"/>
        </w:rPr>
        <w:t xml:space="preserve">• </w:t>
      </w:r>
      <w:r>
        <w:rPr>
          <w:rFonts w:ascii="DFKai-SB" w:hAnsi="DFKai-SB" w:eastAsia="DFKai-SB" w:cs="DFKai-SB"/>
          <w:b w:val="0"/>
          <w:i w:val="0"/>
          <w:color w:val="19352D"/>
          <w:sz w:val="24"/>
        </w:rPr>
        <w:t>生命史先於分數：同一位多語使用者的各語言能力可能隨家庭、教育、工作、遷徙與健康事件改變。</w:t>
      </w:r>
    </w:p>
    <w:p>
      <w:pPr>
        <w:spacing w:before="0" w:after="160" w:line="480" w:lineRule="auto"/>
        <w:ind w:left="340" w:hanging="198"/>
        <w:jc w:val="both"/>
      </w:pPr>
      <w:r>
        <w:rPr>
          <w:rFonts w:ascii="DFKai-SB" w:hAnsi="DFKai-SB" w:eastAsia="DFKai-SB" w:cs="DFKai-SB"/>
          <w:b w:val="0"/>
          <w:i w:val="0"/>
          <w:color w:val="19352D"/>
          <w:sz w:val="24"/>
        </w:rPr>
        <w:t xml:space="preserve">• </w:t>
      </w:r>
      <w:r>
        <w:rPr>
          <w:rFonts w:ascii="DFKai-SB" w:hAnsi="DFKai-SB" w:eastAsia="DFKai-SB" w:cs="DFKai-SB"/>
          <w:b w:val="0"/>
          <w:i w:val="0"/>
          <w:color w:val="19352D"/>
          <w:sz w:val="24"/>
        </w:rPr>
        <w:t>圖表不宣稱因果：本文件沒有原始受試者資料，所有路徑與優先序均是研究設計假設。</w:t>
      </w:r>
    </w:p>
    <w:p>
      <w:pPr>
        <w:spacing w:before="0" w:after="160" w:line="480" w:lineRule="auto"/>
        <w:ind w:left="340" w:hanging="198"/>
        <w:jc w:val="both"/>
      </w:pPr>
      <w:r>
        <w:rPr>
          <w:rFonts w:ascii="DFKai-SB" w:hAnsi="DFKai-SB" w:eastAsia="DFKai-SB" w:cs="DFKai-SB"/>
          <w:b w:val="0"/>
          <w:i w:val="0"/>
          <w:color w:val="19352D"/>
          <w:sz w:val="24"/>
        </w:rPr>
        <w:t xml:space="preserve">• </w:t>
      </w:r>
      <w:r>
        <w:rPr>
          <w:rFonts w:ascii="DFKai-SB" w:hAnsi="DFKai-SB" w:eastAsia="DFKai-SB" w:cs="DFKai-SB"/>
          <w:b w:val="0"/>
          <w:i w:val="0"/>
          <w:color w:val="19352D"/>
          <w:sz w:val="24"/>
        </w:rPr>
        <w:t>連結需持續核對：下列學位論文連結以臺灣博碩士論文知識加值系統為主，正式引用前宜再次檢查書目頁。</w:t>
      </w:r>
    </w:p>
    <w:p>
      <w:r>
        <w:br w:type="page"/>
      </w:r>
    </w:p>
    <w:p>
      <w:pPr>
        <w:keepNext/>
        <w:spacing w:before="200" w:after="0"/>
      </w:pPr>
      <w:r>
        <w:rPr>
          <w:rFonts w:ascii="DFKai-SB" w:hAnsi="DFKai-SB" w:eastAsia="DFKai-SB" w:cs="DFKai-SB"/>
          <w:b/>
          <w:i w:val="0"/>
          <w:color w:val="19352D"/>
          <w:sz w:val="22"/>
        </w:rPr>
        <w:t>表 1</w:t>
      </w:r>
    </w:p>
    <w:p>
      <w:pPr>
        <w:keepNext/>
        <w:spacing w:after="100"/>
      </w:pPr>
      <w:r>
        <w:rPr>
          <w:rFonts w:ascii="DFKai-SB" w:hAnsi="DFKai-SB" w:eastAsia="DFKai-SB" w:cs="DFKai-SB"/>
          <w:b w:val="0"/>
          <w:i/>
          <w:color w:val="19352D"/>
          <w:sz w:val="22"/>
        </w:rPr>
        <w:t>章節主題群、完成度與研究用途</w:t>
      </w:r>
    </w:p>
    <w:tbl>
      <w:tblPr>
        <w:tblW w:type="dxa" w:w="8730"/>
        <w:jc w:val="center"/>
        <w:tblLayout w:type="fixed"/>
        <w:tblLook w:firstColumn="1" w:firstRow="1" w:lastColumn="0" w:lastRow="0" w:noHBand="0" w:noVBand="1" w:val="04A0"/>
        <w:tblBorders>
          <w:top w:val="single" w:sz="6" w:color="C8CFC8"/>
          <w:left w:val="single" w:sz="6" w:color="C8CFC8"/>
          <w:bottom w:val="single" w:sz="6" w:color="C8CFC8"/>
          <w:right w:val="single" w:sz="6" w:color="C8CFC8"/>
          <w:insideH w:val="single" w:sz="6" w:color="C8CFC8"/>
          <w:insideV w:val="single" w:sz="6" w:color="C8CFC8"/>
        </w:tblBorders>
      </w:tblPr>
      <w:tblGrid>
        <w:gridCol w:w="1700"/>
        <w:gridCol w:w="1303"/>
        <w:gridCol w:w="2834"/>
        <w:gridCol w:w="2891"/>
      </w:tblGrid>
      <w:tr>
        <w:trPr>
          <w:tblHeader/>
        </w:trPr>
        <w:tc>
          <w:tcPr>
            <w:tcW w:type="dxa" w:w="1700"/>
            <w:shd w:fill="19352D"/>
            <w:tcMar>
              <w:top w:w="90" w:type="dxa"/>
              <w:left w:w="100" w:type="dxa"/>
              <w:bottom w:w="90" w:type="dxa"/>
              <w:right w:w="100" w:type="dxa"/>
            </w:tcMar>
            <w:vAlign w:val="center"/>
          </w:tcPr>
          <w:p>
            <w:pPr>
              <w:spacing w:after="0"/>
              <w:jc w:val="center"/>
            </w:pPr>
            <w:r>
              <w:rPr>
                <w:rFonts w:ascii="DFKai-SB" w:hAnsi="DFKai-SB" w:eastAsia="DFKai-SB" w:cs="DFKai-SB"/>
                <w:b/>
                <w:i w:val="0"/>
                <w:color w:val="FFFFFF"/>
                <w:sz w:val="18"/>
              </w:rPr>
              <w:t>主題群</w:t>
            </w:r>
          </w:p>
        </w:tc>
        <w:tc>
          <w:tcPr>
            <w:tcW w:type="dxa" w:w="1303"/>
            <w:shd w:fill="19352D"/>
            <w:tcMar>
              <w:top w:w="90" w:type="dxa"/>
              <w:left w:w="100" w:type="dxa"/>
              <w:bottom w:w="90" w:type="dxa"/>
              <w:right w:w="100" w:type="dxa"/>
            </w:tcMar>
            <w:vAlign w:val="center"/>
          </w:tcPr>
          <w:p>
            <w:pPr>
              <w:spacing w:after="0"/>
              <w:jc w:val="center"/>
            </w:pPr>
            <w:r>
              <w:rPr>
                <w:rFonts w:ascii="DFKai-SB" w:hAnsi="DFKai-SB" w:eastAsia="DFKai-SB" w:cs="DFKai-SB"/>
                <w:b/>
                <w:i w:val="0"/>
                <w:color w:val="FFFFFF"/>
                <w:sz w:val="18"/>
              </w:rPr>
              <w:t>章數／完成</w:t>
            </w:r>
          </w:p>
        </w:tc>
        <w:tc>
          <w:tcPr>
            <w:tcW w:type="dxa" w:w="2834"/>
            <w:shd w:fill="19352D"/>
            <w:tcMar>
              <w:top w:w="90" w:type="dxa"/>
              <w:left w:w="100" w:type="dxa"/>
              <w:bottom w:w="90" w:type="dxa"/>
              <w:right w:w="100" w:type="dxa"/>
            </w:tcMar>
            <w:vAlign w:val="center"/>
          </w:tcPr>
          <w:p>
            <w:pPr>
              <w:spacing w:after="0"/>
              <w:jc w:val="center"/>
            </w:pPr>
            <w:r>
              <w:rPr>
                <w:rFonts w:ascii="DFKai-SB" w:hAnsi="DFKai-SB" w:eastAsia="DFKai-SB" w:cs="DFKai-SB"/>
                <w:b/>
                <w:i w:val="0"/>
                <w:color w:val="FFFFFF"/>
                <w:sz w:val="18"/>
              </w:rPr>
              <w:t>整合重點</w:t>
            </w:r>
          </w:p>
        </w:tc>
        <w:tc>
          <w:tcPr>
            <w:tcW w:type="dxa" w:w="2891"/>
            <w:shd w:fill="19352D"/>
            <w:tcMar>
              <w:top w:w="90" w:type="dxa"/>
              <w:left w:w="100" w:type="dxa"/>
              <w:bottom w:w="90" w:type="dxa"/>
              <w:right w:w="100" w:type="dxa"/>
            </w:tcMar>
            <w:vAlign w:val="center"/>
          </w:tcPr>
          <w:p>
            <w:pPr>
              <w:spacing w:after="0"/>
              <w:jc w:val="center"/>
            </w:pPr>
            <w:r>
              <w:rPr>
                <w:rFonts w:ascii="DFKai-SB" w:hAnsi="DFKai-SB" w:eastAsia="DFKai-SB" w:cs="DFKai-SB"/>
                <w:b/>
                <w:i w:val="0"/>
                <w:color w:val="FFFFFF"/>
                <w:sz w:val="18"/>
              </w:rPr>
              <w:t>對阿美族研究的用途</w:t>
            </w:r>
          </w:p>
        </w:tc>
      </w:tr>
      <w:tr>
        <w:tc>
          <w:tcPr>
            <w:tcW w:type="dxa" w:w="1700"/>
            <w:tcMar>
              <w:top w:w="90" w:type="dxa"/>
              <w:left w:w="100" w:type="dxa"/>
              <w:bottom w:w="90" w:type="dxa"/>
              <w:right w:w="100" w:type="dxa"/>
            </w:tcMar>
            <w:vAlign w:val="center"/>
          </w:tcPr>
          <w:p>
            <w:pPr>
              <w:spacing w:after="0" w:line="276" w:lineRule="auto"/>
              <w:jc w:val="left"/>
            </w:pPr>
            <w:r>
              <w:rPr>
                <w:rFonts w:ascii="DFKai-SB" w:hAnsi="DFKai-SB" w:eastAsia="DFKai-SB" w:cs="DFKai-SB"/>
                <w:b/>
                <w:i w:val="0"/>
                <w:color w:val="19352D"/>
                <w:sz w:val="17"/>
              </w:rPr>
              <w:t>社會脈絡</w:t>
            </w:r>
          </w:p>
        </w:tc>
        <w:tc>
          <w:tcPr>
            <w:tcW w:type="dxa" w:w="1303"/>
            <w:tcMar>
              <w:top w:w="90" w:type="dxa"/>
              <w:left w:w="100" w:type="dxa"/>
              <w:bottom w:w="90" w:type="dxa"/>
              <w:right w:w="100" w:type="dxa"/>
            </w:tcMar>
            <w:vAlign w:val="center"/>
          </w:tcPr>
          <w:p>
            <w:pPr>
              <w:spacing w:after="0" w:line="276" w:lineRule="auto"/>
              <w:jc w:val="both"/>
            </w:pPr>
            <w:r>
              <w:rPr>
                <w:rFonts w:ascii="DFKai-SB" w:hAnsi="DFKai-SB" w:eastAsia="DFKai-SB" w:cs="DFKai-SB"/>
                <w:b w:val="0"/>
                <w:i w:val="0"/>
                <w:color w:val="19352D"/>
                <w:sz w:val="17"/>
              </w:rPr>
              <w:t>7／7</w:t>
            </w:r>
          </w:p>
        </w:tc>
        <w:tc>
          <w:tcPr>
            <w:tcW w:type="dxa" w:w="2834"/>
            <w:tcMar>
              <w:top w:w="90" w:type="dxa"/>
              <w:left w:w="100" w:type="dxa"/>
              <w:bottom w:w="90" w:type="dxa"/>
              <w:right w:w="100" w:type="dxa"/>
            </w:tcMar>
            <w:vAlign w:val="center"/>
          </w:tcPr>
          <w:p>
            <w:pPr>
              <w:spacing w:after="0" w:line="276" w:lineRule="auto"/>
              <w:jc w:val="both"/>
            </w:pPr>
            <w:r>
              <w:rPr>
                <w:rFonts w:ascii="DFKai-SB" w:hAnsi="DFKai-SB" w:eastAsia="DFKai-SB" w:cs="DFKai-SB"/>
                <w:b w:val="0"/>
                <w:i w:val="0"/>
                <w:color w:val="19352D"/>
                <w:sz w:val="17"/>
              </w:rPr>
              <w:t>網絡、共同實踐、權力、文化、變遷、規劃、態度</w:t>
            </w:r>
          </w:p>
        </w:tc>
        <w:tc>
          <w:tcPr>
            <w:tcW w:type="dxa" w:w="2891"/>
            <w:tcMar>
              <w:top w:w="90" w:type="dxa"/>
              <w:left w:w="100" w:type="dxa"/>
              <w:bottom w:w="90" w:type="dxa"/>
              <w:right w:w="100" w:type="dxa"/>
            </w:tcMar>
            <w:vAlign w:val="center"/>
          </w:tcPr>
          <w:p>
            <w:pPr>
              <w:spacing w:after="0" w:line="276" w:lineRule="auto"/>
              <w:jc w:val="both"/>
            </w:pPr>
            <w:r>
              <w:rPr>
                <w:rFonts w:ascii="DFKai-SB" w:hAnsi="DFKai-SB" w:eastAsia="DFKai-SB" w:cs="DFKai-SB"/>
                <w:b w:val="0"/>
                <w:i w:val="0"/>
                <w:color w:val="19352D"/>
                <w:sz w:val="17"/>
              </w:rPr>
              <w:t>辨識語言轉移、標準語權力與部落生活領域變化</w:t>
            </w:r>
          </w:p>
        </w:tc>
      </w:tr>
      <w:tr>
        <w:tc>
          <w:tcPr>
            <w:tcW w:type="dxa" w:w="1700"/>
            <w:shd w:fill="F7F3EA"/>
            <w:tcMar>
              <w:top w:w="90" w:type="dxa"/>
              <w:left w:w="100" w:type="dxa"/>
              <w:bottom w:w="90" w:type="dxa"/>
              <w:right w:w="100" w:type="dxa"/>
            </w:tcMar>
            <w:vAlign w:val="center"/>
          </w:tcPr>
          <w:p>
            <w:pPr>
              <w:spacing w:after="0" w:line="276" w:lineRule="auto"/>
              <w:jc w:val="left"/>
            </w:pPr>
            <w:r>
              <w:rPr>
                <w:rFonts w:ascii="DFKai-SB" w:hAnsi="DFKai-SB" w:eastAsia="DFKai-SB" w:cs="DFKai-SB"/>
                <w:b/>
                <w:i w:val="0"/>
                <w:color w:val="19352D"/>
                <w:sz w:val="17"/>
              </w:rPr>
              <w:t>多語生命史</w:t>
            </w:r>
          </w:p>
        </w:tc>
        <w:tc>
          <w:tcPr>
            <w:tcW w:type="dxa" w:w="1303"/>
            <w:shd w:fill="F7F3EA"/>
            <w:tcMar>
              <w:top w:w="90" w:type="dxa"/>
              <w:left w:w="100" w:type="dxa"/>
              <w:bottom w:w="90" w:type="dxa"/>
              <w:right w:w="100" w:type="dxa"/>
            </w:tcMar>
            <w:vAlign w:val="center"/>
          </w:tcPr>
          <w:p>
            <w:pPr>
              <w:spacing w:after="0" w:line="276" w:lineRule="auto"/>
              <w:jc w:val="both"/>
            </w:pPr>
            <w:r>
              <w:rPr>
                <w:rFonts w:ascii="DFKai-SB" w:hAnsi="DFKai-SB" w:eastAsia="DFKai-SB" w:cs="DFKai-SB"/>
                <w:b w:val="0"/>
                <w:i w:val="0"/>
                <w:color w:val="19352D"/>
                <w:sz w:val="17"/>
              </w:rPr>
              <w:t>3／3</w:t>
            </w:r>
          </w:p>
        </w:tc>
        <w:tc>
          <w:tcPr>
            <w:tcW w:type="dxa" w:w="2834"/>
            <w:shd w:fill="F7F3EA"/>
            <w:tcMar>
              <w:top w:w="90" w:type="dxa"/>
              <w:left w:w="100" w:type="dxa"/>
              <w:bottom w:w="90" w:type="dxa"/>
              <w:right w:w="100" w:type="dxa"/>
            </w:tcMar>
            <w:vAlign w:val="center"/>
          </w:tcPr>
          <w:p>
            <w:pPr>
              <w:spacing w:after="0" w:line="276" w:lineRule="auto"/>
              <w:jc w:val="both"/>
            </w:pPr>
            <w:r>
              <w:rPr>
                <w:rFonts w:ascii="DFKai-SB" w:hAnsi="DFKai-SB" w:eastAsia="DFKai-SB" w:cs="DFKai-SB"/>
                <w:b w:val="0"/>
                <w:i w:val="0"/>
                <w:color w:val="19352D"/>
                <w:sz w:val="17"/>
              </w:rPr>
              <w:t>雙語動態、語碼轉換、多語習得</w:t>
            </w:r>
          </w:p>
        </w:tc>
        <w:tc>
          <w:tcPr>
            <w:tcW w:type="dxa" w:w="2891"/>
            <w:shd w:fill="F7F3EA"/>
            <w:tcMar>
              <w:top w:w="90" w:type="dxa"/>
              <w:left w:w="100" w:type="dxa"/>
              <w:bottom w:w="90" w:type="dxa"/>
              <w:right w:w="100" w:type="dxa"/>
            </w:tcMar>
            <w:vAlign w:val="center"/>
          </w:tcPr>
          <w:p>
            <w:pPr>
              <w:spacing w:after="0" w:line="276" w:lineRule="auto"/>
              <w:jc w:val="both"/>
            </w:pPr>
            <w:r>
              <w:rPr>
                <w:rFonts w:ascii="DFKai-SB" w:hAnsi="DFKai-SB" w:eastAsia="DFKai-SB" w:cs="DFKai-SB"/>
                <w:b w:val="0"/>
                <w:i w:val="0"/>
                <w:color w:val="19352D"/>
                <w:sz w:val="17"/>
              </w:rPr>
              <w:t>重建阿美語／華語的習得、使用與優勢軌跡</w:t>
            </w:r>
          </w:p>
        </w:tc>
      </w:tr>
      <w:tr>
        <w:tc>
          <w:tcPr>
            <w:tcW w:type="dxa" w:w="1700"/>
            <w:tcMar>
              <w:top w:w="90" w:type="dxa"/>
              <w:left w:w="100" w:type="dxa"/>
              <w:bottom w:w="90" w:type="dxa"/>
              <w:right w:w="100" w:type="dxa"/>
            </w:tcMar>
            <w:vAlign w:val="center"/>
          </w:tcPr>
          <w:p>
            <w:pPr>
              <w:spacing w:after="0" w:line="276" w:lineRule="auto"/>
              <w:jc w:val="left"/>
            </w:pPr>
            <w:r>
              <w:rPr>
                <w:rFonts w:ascii="DFKai-SB" w:hAnsi="DFKai-SB" w:eastAsia="DFKai-SB" w:cs="DFKai-SB"/>
                <w:b/>
                <w:i w:val="0"/>
                <w:color w:val="19352D"/>
                <w:sz w:val="17"/>
              </w:rPr>
              <w:t>臨床評估</w:t>
            </w:r>
          </w:p>
        </w:tc>
        <w:tc>
          <w:tcPr>
            <w:tcW w:type="dxa" w:w="1303"/>
            <w:tcMar>
              <w:top w:w="90" w:type="dxa"/>
              <w:left w:w="100" w:type="dxa"/>
              <w:bottom w:w="90" w:type="dxa"/>
              <w:right w:w="100" w:type="dxa"/>
            </w:tcMar>
            <w:vAlign w:val="center"/>
          </w:tcPr>
          <w:p>
            <w:pPr>
              <w:spacing w:after="0" w:line="276" w:lineRule="auto"/>
              <w:jc w:val="both"/>
            </w:pPr>
            <w:r>
              <w:rPr>
                <w:rFonts w:ascii="DFKai-SB" w:hAnsi="DFKai-SB" w:eastAsia="DFKai-SB" w:cs="DFKai-SB"/>
                <w:b w:val="0"/>
                <w:i w:val="0"/>
                <w:color w:val="19352D"/>
                <w:sz w:val="17"/>
              </w:rPr>
              <w:t>4／6</w:t>
            </w:r>
          </w:p>
        </w:tc>
        <w:tc>
          <w:tcPr>
            <w:tcW w:type="dxa" w:w="2834"/>
            <w:tcMar>
              <w:top w:w="90" w:type="dxa"/>
              <w:left w:w="100" w:type="dxa"/>
              <w:bottom w:w="90" w:type="dxa"/>
              <w:right w:w="100" w:type="dxa"/>
            </w:tcMar>
            <w:vAlign w:val="center"/>
          </w:tcPr>
          <w:p>
            <w:pPr>
              <w:spacing w:after="0" w:line="276" w:lineRule="auto"/>
              <w:jc w:val="both"/>
            </w:pPr>
            <w:r>
              <w:rPr>
                <w:rFonts w:ascii="DFKai-SB" w:hAnsi="DFKai-SB" w:eastAsia="DFKai-SB" w:cs="DFKai-SB"/>
                <w:b w:val="0"/>
                <w:i w:val="0"/>
                <w:color w:val="19352D"/>
                <w:sz w:val="17"/>
              </w:rPr>
              <w:t>聽力、失語、多語評估、公平性、口譯</w:t>
            </w:r>
          </w:p>
        </w:tc>
        <w:tc>
          <w:tcPr>
            <w:tcW w:type="dxa" w:w="2891"/>
            <w:tcMar>
              <w:top w:w="90" w:type="dxa"/>
              <w:left w:w="100" w:type="dxa"/>
              <w:bottom w:w="90" w:type="dxa"/>
              <w:right w:w="100" w:type="dxa"/>
            </w:tcMar>
            <w:vAlign w:val="center"/>
          </w:tcPr>
          <w:p>
            <w:pPr>
              <w:spacing w:after="0" w:line="276" w:lineRule="auto"/>
              <w:jc w:val="both"/>
            </w:pPr>
            <w:r>
              <w:rPr>
                <w:rFonts w:ascii="DFKai-SB" w:hAnsi="DFKai-SB" w:eastAsia="DFKai-SB" w:cs="DFKai-SB"/>
                <w:b w:val="0"/>
                <w:i w:val="0"/>
                <w:color w:val="19352D"/>
                <w:sz w:val="17"/>
              </w:rPr>
              <w:t>避免將方言、聽力或文化陌生誤判為認知障礙</w:t>
            </w:r>
          </w:p>
        </w:tc>
      </w:tr>
      <w:tr>
        <w:tc>
          <w:tcPr>
            <w:tcW w:type="dxa" w:w="1700"/>
            <w:shd w:fill="F7F3EA"/>
            <w:tcMar>
              <w:top w:w="90" w:type="dxa"/>
              <w:left w:w="100" w:type="dxa"/>
              <w:bottom w:w="90" w:type="dxa"/>
              <w:right w:w="100" w:type="dxa"/>
            </w:tcMar>
            <w:vAlign w:val="center"/>
          </w:tcPr>
          <w:p>
            <w:pPr>
              <w:spacing w:after="0" w:line="276" w:lineRule="auto"/>
              <w:jc w:val="left"/>
            </w:pPr>
            <w:r>
              <w:rPr>
                <w:rFonts w:ascii="DFKai-SB" w:hAnsi="DFKai-SB" w:eastAsia="DFKai-SB" w:cs="DFKai-SB"/>
                <w:b/>
                <w:i w:val="0"/>
                <w:color w:val="19352D"/>
                <w:sz w:val="17"/>
              </w:rPr>
              <w:t>識字與社會化</w:t>
            </w:r>
          </w:p>
        </w:tc>
        <w:tc>
          <w:tcPr>
            <w:tcW w:type="dxa" w:w="1303"/>
            <w:shd w:fill="F7F3EA"/>
            <w:tcMar>
              <w:top w:w="90" w:type="dxa"/>
              <w:left w:w="100" w:type="dxa"/>
              <w:bottom w:w="90" w:type="dxa"/>
              <w:right w:w="100" w:type="dxa"/>
            </w:tcMar>
            <w:vAlign w:val="center"/>
          </w:tcPr>
          <w:p>
            <w:pPr>
              <w:spacing w:after="0" w:line="276" w:lineRule="auto"/>
              <w:jc w:val="both"/>
            </w:pPr>
            <w:r>
              <w:rPr>
                <w:rFonts w:ascii="DFKai-SB" w:hAnsi="DFKai-SB" w:eastAsia="DFKai-SB" w:cs="DFKai-SB"/>
                <w:b w:val="0"/>
                <w:i w:val="0"/>
                <w:color w:val="19352D"/>
                <w:sz w:val="17"/>
              </w:rPr>
              <w:t>2／3</w:t>
            </w:r>
          </w:p>
        </w:tc>
        <w:tc>
          <w:tcPr>
            <w:tcW w:type="dxa" w:w="2834"/>
            <w:shd w:fill="F7F3EA"/>
            <w:tcMar>
              <w:top w:w="90" w:type="dxa"/>
              <w:left w:w="100" w:type="dxa"/>
              <w:bottom w:w="90" w:type="dxa"/>
              <w:right w:w="100" w:type="dxa"/>
            </w:tcMar>
            <w:vAlign w:val="center"/>
          </w:tcPr>
          <w:p>
            <w:pPr>
              <w:spacing w:after="0" w:line="276" w:lineRule="auto"/>
              <w:jc w:val="both"/>
            </w:pPr>
            <w:r>
              <w:rPr>
                <w:rFonts w:ascii="DFKai-SB" w:hAnsi="DFKai-SB" w:eastAsia="DFKai-SB" w:cs="DFKai-SB"/>
                <w:b w:val="0"/>
                <w:i w:val="0"/>
                <w:color w:val="19352D"/>
                <w:sz w:val="17"/>
              </w:rPr>
              <w:t>語言社會化、識字實踐、溝通模態</w:t>
            </w:r>
          </w:p>
        </w:tc>
        <w:tc>
          <w:tcPr>
            <w:tcW w:type="dxa" w:w="2891"/>
            <w:shd w:fill="F7F3EA"/>
            <w:tcMar>
              <w:top w:w="90" w:type="dxa"/>
              <w:left w:w="100" w:type="dxa"/>
              <w:bottom w:w="90" w:type="dxa"/>
              <w:right w:w="100" w:type="dxa"/>
            </w:tcMar>
            <w:vAlign w:val="center"/>
          </w:tcPr>
          <w:p>
            <w:pPr>
              <w:spacing w:after="0" w:line="276" w:lineRule="auto"/>
              <w:jc w:val="both"/>
            </w:pPr>
            <w:r>
              <w:rPr>
                <w:rFonts w:ascii="DFKai-SB" w:hAnsi="DFKai-SB" w:eastAsia="DFKai-SB" w:cs="DFKai-SB"/>
                <w:b w:val="0"/>
                <w:i w:val="0"/>
                <w:color w:val="19352D"/>
                <w:sz w:val="17"/>
              </w:rPr>
              <w:t>區分口語能力、羅馬字讀寫與教育經驗</w:t>
            </w:r>
          </w:p>
        </w:tc>
      </w:tr>
      <w:tr>
        <w:tc>
          <w:tcPr>
            <w:tcW w:type="dxa" w:w="1700"/>
            <w:tcMar>
              <w:top w:w="90" w:type="dxa"/>
              <w:left w:w="100" w:type="dxa"/>
              <w:bottom w:w="90" w:type="dxa"/>
              <w:right w:w="100" w:type="dxa"/>
            </w:tcMar>
            <w:vAlign w:val="center"/>
          </w:tcPr>
          <w:p>
            <w:pPr>
              <w:spacing w:after="0" w:line="276" w:lineRule="auto"/>
              <w:jc w:val="left"/>
            </w:pPr>
            <w:r>
              <w:rPr>
                <w:rFonts w:ascii="DFKai-SB" w:hAnsi="DFKai-SB" w:eastAsia="DFKai-SB" w:cs="DFKai-SB"/>
                <w:b/>
                <w:i w:val="0"/>
                <w:color w:val="19352D"/>
                <w:sz w:val="17"/>
              </w:rPr>
              <w:t>語群個案</w:t>
            </w:r>
          </w:p>
        </w:tc>
        <w:tc>
          <w:tcPr>
            <w:tcW w:type="dxa" w:w="1303"/>
            <w:tcMar>
              <w:top w:w="90" w:type="dxa"/>
              <w:left w:w="100" w:type="dxa"/>
              <w:bottom w:w="90" w:type="dxa"/>
              <w:right w:w="100" w:type="dxa"/>
            </w:tcMar>
            <w:vAlign w:val="center"/>
          </w:tcPr>
          <w:p>
            <w:pPr>
              <w:spacing w:after="0" w:line="276" w:lineRule="auto"/>
              <w:jc w:val="both"/>
            </w:pPr>
            <w:r>
              <w:rPr>
                <w:rFonts w:ascii="DFKai-SB" w:hAnsi="DFKai-SB" w:eastAsia="DFKai-SB" w:cs="DFKai-SB"/>
                <w:b w:val="0"/>
                <w:i w:val="0"/>
                <w:color w:val="19352D"/>
                <w:sz w:val="17"/>
              </w:rPr>
              <w:t>0／2</w:t>
            </w:r>
          </w:p>
        </w:tc>
        <w:tc>
          <w:tcPr>
            <w:tcW w:type="dxa" w:w="2834"/>
            <w:tcMar>
              <w:top w:w="90" w:type="dxa"/>
              <w:left w:w="100" w:type="dxa"/>
              <w:bottom w:w="90" w:type="dxa"/>
              <w:right w:w="100" w:type="dxa"/>
            </w:tcMar>
            <w:vAlign w:val="center"/>
          </w:tcPr>
          <w:p>
            <w:pPr>
              <w:spacing w:after="0" w:line="276" w:lineRule="auto"/>
              <w:jc w:val="both"/>
            </w:pPr>
            <w:r>
              <w:rPr>
                <w:rFonts w:ascii="DFKai-SB" w:hAnsi="DFKai-SB" w:eastAsia="DFKai-SB" w:cs="DFKai-SB"/>
                <w:b w:val="0"/>
                <w:i w:val="0"/>
                <w:color w:val="19352D"/>
                <w:sz w:val="17"/>
              </w:rPr>
              <w:t>區域／社會變異、非主流英語個案</w:t>
            </w:r>
          </w:p>
        </w:tc>
        <w:tc>
          <w:tcPr>
            <w:tcW w:type="dxa" w:w="2891"/>
            <w:tcMar>
              <w:top w:w="90" w:type="dxa"/>
              <w:left w:w="100" w:type="dxa"/>
              <w:bottom w:w="90" w:type="dxa"/>
              <w:right w:w="100" w:type="dxa"/>
            </w:tcMar>
            <w:vAlign w:val="center"/>
          </w:tcPr>
          <w:p>
            <w:pPr>
              <w:spacing w:after="0" w:line="276" w:lineRule="auto"/>
              <w:jc w:val="both"/>
            </w:pPr>
            <w:r>
              <w:rPr>
                <w:rFonts w:ascii="DFKai-SB" w:hAnsi="DFKai-SB" w:eastAsia="DFKai-SB" w:cs="DFKai-SB"/>
                <w:b w:val="0"/>
                <w:i w:val="0"/>
                <w:color w:val="19352D"/>
                <w:sz w:val="17"/>
              </w:rPr>
              <w:t>補足『非標準不等於障礙』的比較證據</w:t>
            </w:r>
          </w:p>
        </w:tc>
      </w:tr>
    </w:tbl>
    <w:p>
      <w:pPr>
        <w:spacing w:before="80" w:after="200" w:line="300" w:lineRule="auto"/>
      </w:pPr>
      <w:r>
        <w:rPr>
          <w:rFonts w:ascii="DFKai-SB" w:hAnsi="DFKai-SB" w:eastAsia="DFKai-SB" w:cs="DFKai-SB"/>
          <w:b w:val="0"/>
          <w:i/>
          <w:color w:val="19352D"/>
          <w:sz w:val="20"/>
        </w:rPr>
        <w:t>註。</w:t>
      </w:r>
      <w:r>
        <w:rPr>
          <w:rFonts w:ascii="DFKai-SB" w:hAnsi="DFKai-SB" w:eastAsia="DFKai-SB" w:cs="DFKai-SB"/>
          <w:b w:val="0"/>
          <w:i w:val="0"/>
          <w:color w:val="19352D"/>
          <w:sz w:val="20"/>
        </w:rPr>
        <w:t xml:space="preserve">陳誼誠以語言活力指標呈現阿美語代間傳承與使用領域收縮，可支撐社會脈絡與生命史群組；Sifo Lakaw 從家庭語言去殖民化、語言意識形態與實踐社群說明家庭／部落場域的能動性。 </w:t>
      </w:r>
      <w:hyperlink r:id="rId10">
        <w:r>
          <w:rPr>
            <w:rFonts w:ascii="DFKai-SB" w:hAnsi="DFKai-SB" w:eastAsia="DFKai-SB" w:cs="DFKai-SB"/>
            <w:color w:val="0563C1"/>
            <w:u w:val="single"/>
            <w:sz w:val="22"/>
          </w:rPr>
          <w:t>陳誼誠（2017）</w:t>
        </w:r>
      </w:hyperlink>
      <w:r>
        <w:rPr>
          <w:rFonts w:ascii="DFKai-SB" w:hAnsi="DFKai-SB" w:eastAsia="DFKai-SB" w:cs="DFKai-SB"/>
          <w:b w:val="0"/>
          <w:i w:val="0"/>
          <w:color w:val="19352D"/>
          <w:sz w:val="20"/>
        </w:rPr>
        <w:t>；</w:t>
      </w:r>
      <w:hyperlink r:id="rId11">
        <w:r>
          <w:rPr>
            <w:rFonts w:ascii="DFKai-SB" w:hAnsi="DFKai-SB" w:eastAsia="DFKai-SB" w:cs="DFKai-SB"/>
            <w:color w:val="0563C1"/>
            <w:u w:val="single"/>
            <w:sz w:val="22"/>
          </w:rPr>
          <w:t>Sifo Lakaw（2024）</w:t>
        </w:r>
      </w:hyperlink>
      <w:r>
        <w:rPr>
          <w:rFonts w:ascii="DFKai-SB" w:hAnsi="DFKai-SB" w:eastAsia="DFKai-SB" w:cs="DFKai-SB"/>
          <w:b w:val="0"/>
          <w:i w:val="0"/>
          <w:color w:val="19352D"/>
          <w:sz w:val="20"/>
        </w:rPr>
        <w:t>。</w:t>
      </w:r>
    </w:p>
    <w:p>
      <w:pPr>
        <w:keepNext/>
        <w:spacing w:before="200" w:after="0"/>
      </w:pPr>
      <w:r>
        <w:rPr>
          <w:rFonts w:ascii="DFKai-SB" w:hAnsi="DFKai-SB" w:eastAsia="DFKai-SB" w:cs="DFKai-SB"/>
          <w:b/>
          <w:i w:val="0"/>
          <w:color w:val="19352D"/>
          <w:sz w:val="22"/>
        </w:rPr>
        <w:t>圖 1</w:t>
      </w:r>
    </w:p>
    <w:p>
      <w:pPr>
        <w:keepNext/>
        <w:spacing w:after="100"/>
      </w:pPr>
      <w:r>
        <w:rPr>
          <w:rFonts w:ascii="DFKai-SB" w:hAnsi="DFKai-SB" w:eastAsia="DFKai-SB" w:cs="DFKai-SB"/>
          <w:b w:val="0"/>
          <w:i/>
          <w:color w:val="19352D"/>
          <w:sz w:val="22"/>
        </w:rPr>
        <w:t>從生命史與制度脈絡到任務表現的概念路徑</w:t>
      </w:r>
    </w:p>
    <w:p>
      <w:pPr>
        <w:spacing w:after="0"/>
        <w:jc w:val="center"/>
      </w:pPr>
      <w:r>
        <w:drawing>
          <wp:inline xmlns:a="http://schemas.openxmlformats.org/drawingml/2006/main" xmlns:pic="http://schemas.openxmlformats.org/drawingml/2006/picture">
            <wp:extent cx="5715000" cy="3095625"/>
            <wp:docPr id="1" name="Picture 1"/>
            <wp:cNvGraphicFramePr>
              <a:graphicFrameLocks noChangeAspect="1"/>
            </wp:cNvGraphicFramePr>
            <a:graphic>
              <a:graphicData uri="http://schemas.openxmlformats.org/drawingml/2006/picture">
                <pic:pic>
                  <pic:nvPicPr>
                    <pic:cNvPr id="0" name="figure-1-context.png"/>
                    <pic:cNvPicPr/>
                  </pic:nvPicPr>
                  <pic:blipFill>
                    <a:blip r:embed="rId12"/>
                    <a:stretch>
                      <a:fillRect/>
                    </a:stretch>
                  </pic:blipFill>
                  <pic:spPr>
                    <a:xfrm>
                      <a:off x="0" y="0"/>
                      <a:ext cx="5715000" cy="3095625"/>
                    </a:xfrm>
                    <a:prstGeom prst="rect"/>
                  </pic:spPr>
                </pic:pic>
              </a:graphicData>
            </a:graphic>
          </wp:inline>
        </w:drawing>
      </w:r>
    </w:p>
    <w:p>
      <w:pPr>
        <w:spacing w:before="80" w:after="200" w:line="300" w:lineRule="auto"/>
      </w:pPr>
      <w:r>
        <w:rPr>
          <w:rFonts w:ascii="DFKai-SB" w:hAnsi="DFKai-SB" w:eastAsia="DFKai-SB" w:cs="DFKai-SB"/>
          <w:b w:val="0"/>
          <w:i/>
          <w:color w:val="19352D"/>
          <w:sz w:val="20"/>
        </w:rPr>
        <w:t>註。</w:t>
      </w:r>
      <w:r>
        <w:rPr>
          <w:rFonts w:ascii="DFKai-SB" w:hAnsi="DFKai-SB" w:eastAsia="DFKai-SB" w:cs="DFKai-SB"/>
          <w:b w:val="0"/>
          <w:i w:val="0"/>
          <w:color w:val="19352D"/>
          <w:sz w:val="20"/>
        </w:rPr>
        <w:t xml:space="preserve">陳誼誠的語言活力研究提供『領域與代間傳承』背景；Hast 的數位民族誌可用來擴充數位社群／開放平台的共同實踐；本圖據此將臨床表現放回語言生命史與網絡中解讀。 </w:t>
      </w:r>
      <w:hyperlink r:id="rId10">
        <w:r>
          <w:rPr>
            <w:rFonts w:ascii="DFKai-SB" w:hAnsi="DFKai-SB" w:eastAsia="DFKai-SB" w:cs="DFKai-SB"/>
            <w:color w:val="0563C1"/>
            <w:u w:val="single"/>
            <w:sz w:val="22"/>
          </w:rPr>
          <w:t>陳誼誠（2017）</w:t>
        </w:r>
      </w:hyperlink>
      <w:r>
        <w:rPr>
          <w:rFonts w:ascii="DFKai-SB" w:hAnsi="DFKai-SB" w:eastAsia="DFKai-SB" w:cs="DFKai-SB"/>
          <w:b w:val="0"/>
          <w:i w:val="0"/>
          <w:color w:val="19352D"/>
          <w:sz w:val="20"/>
        </w:rPr>
        <w:t>；</w:t>
      </w:r>
      <w:hyperlink r:id="rId13">
        <w:r>
          <w:rPr>
            <w:rFonts w:ascii="DFKai-SB" w:hAnsi="DFKai-SB" w:eastAsia="DFKai-SB" w:cs="DFKai-SB"/>
            <w:color w:val="0563C1"/>
            <w:u w:val="single"/>
            <w:sz w:val="22"/>
          </w:rPr>
          <w:t>Hast（2023）</w:t>
        </w:r>
      </w:hyperlink>
      <w:r>
        <w:rPr>
          <w:rFonts w:ascii="DFKai-SB" w:hAnsi="DFKai-SB" w:eastAsia="DFKai-SB" w:cs="DFKai-SB"/>
          <w:b w:val="0"/>
          <w:i w:val="0"/>
          <w:color w:val="19352D"/>
          <w:sz w:val="20"/>
        </w:rPr>
        <w:t>。</w:t>
      </w:r>
    </w:p>
    <w:p>
      <w:pPr>
        <w:keepNext/>
        <w:spacing w:before="200" w:after="0"/>
      </w:pPr>
      <w:r>
        <w:rPr>
          <w:rFonts w:ascii="DFKai-SB" w:hAnsi="DFKai-SB" w:eastAsia="DFKai-SB" w:cs="DFKai-SB"/>
          <w:b/>
          <w:i w:val="0"/>
          <w:color w:val="19352D"/>
          <w:sz w:val="22"/>
        </w:rPr>
        <w:t>表 2</w:t>
      </w:r>
    </w:p>
    <w:p>
      <w:pPr>
        <w:keepNext/>
        <w:spacing w:after="100"/>
      </w:pPr>
      <w:r>
        <w:rPr>
          <w:rFonts w:ascii="DFKai-SB" w:hAnsi="DFKai-SB" w:eastAsia="DFKai-SB" w:cs="DFKai-SB"/>
          <w:b w:val="0"/>
          <w:i/>
          <w:color w:val="19352D"/>
          <w:sz w:val="22"/>
        </w:rPr>
        <w:t>核心變項操作化矩陣</w:t>
      </w:r>
    </w:p>
    <w:tbl>
      <w:tblPr>
        <w:tblW w:type="dxa" w:w="8730"/>
        <w:jc w:val="center"/>
        <w:tblLayout w:type="fixed"/>
        <w:tblLook w:firstColumn="1" w:firstRow="1" w:lastColumn="0" w:lastRow="0" w:noHBand="0" w:noVBand="1" w:val="04A0"/>
        <w:tblBorders>
          <w:top w:val="single" w:sz="6" w:color="C8CFC8"/>
          <w:left w:val="single" w:sz="6" w:color="C8CFC8"/>
          <w:bottom w:val="single" w:sz="6" w:color="C8CFC8"/>
          <w:right w:val="single" w:sz="6" w:color="C8CFC8"/>
          <w:insideH w:val="single" w:sz="6" w:color="C8CFC8"/>
          <w:insideV w:val="single" w:sz="6" w:color="C8CFC8"/>
        </w:tblBorders>
      </w:tblPr>
      <w:tblGrid>
        <w:gridCol w:w="1700"/>
        <w:gridCol w:w="3288"/>
        <w:gridCol w:w="1757"/>
        <w:gridCol w:w="1984"/>
      </w:tblGrid>
      <w:tr>
        <w:trPr>
          <w:tblHeader/>
        </w:trPr>
        <w:tc>
          <w:tcPr>
            <w:tcW w:type="dxa" w:w="1700"/>
            <w:shd w:fill="19352D"/>
            <w:tcMar>
              <w:top w:w="90" w:type="dxa"/>
              <w:left w:w="100" w:type="dxa"/>
              <w:bottom w:w="90" w:type="dxa"/>
              <w:right w:w="100" w:type="dxa"/>
            </w:tcMar>
            <w:vAlign w:val="center"/>
          </w:tcPr>
          <w:p>
            <w:pPr>
              <w:spacing w:after="0"/>
              <w:jc w:val="center"/>
            </w:pPr>
            <w:r>
              <w:rPr>
                <w:rFonts w:ascii="DFKai-SB" w:hAnsi="DFKai-SB" w:eastAsia="DFKai-SB" w:cs="DFKai-SB"/>
                <w:b/>
                <w:i w:val="0"/>
                <w:color w:val="FFFFFF"/>
                <w:sz w:val="18"/>
              </w:rPr>
              <w:t>構念</w:t>
            </w:r>
          </w:p>
        </w:tc>
        <w:tc>
          <w:tcPr>
            <w:tcW w:type="dxa" w:w="3288"/>
            <w:shd w:fill="19352D"/>
            <w:tcMar>
              <w:top w:w="90" w:type="dxa"/>
              <w:left w:w="100" w:type="dxa"/>
              <w:bottom w:w="90" w:type="dxa"/>
              <w:right w:w="100" w:type="dxa"/>
            </w:tcMar>
            <w:vAlign w:val="center"/>
          </w:tcPr>
          <w:p>
            <w:pPr>
              <w:spacing w:after="0"/>
              <w:jc w:val="center"/>
            </w:pPr>
            <w:r>
              <w:rPr>
                <w:rFonts w:ascii="DFKai-SB" w:hAnsi="DFKai-SB" w:eastAsia="DFKai-SB" w:cs="DFKai-SB"/>
                <w:b/>
                <w:i w:val="0"/>
                <w:color w:val="FFFFFF"/>
                <w:sz w:val="18"/>
              </w:rPr>
              <w:t>建議指標／資料</w:t>
            </w:r>
          </w:p>
        </w:tc>
        <w:tc>
          <w:tcPr>
            <w:tcW w:type="dxa" w:w="1757"/>
            <w:shd w:fill="19352D"/>
            <w:tcMar>
              <w:top w:w="90" w:type="dxa"/>
              <w:left w:w="100" w:type="dxa"/>
              <w:bottom w:w="90" w:type="dxa"/>
              <w:right w:w="100" w:type="dxa"/>
            </w:tcMar>
            <w:vAlign w:val="center"/>
          </w:tcPr>
          <w:p>
            <w:pPr>
              <w:spacing w:after="0"/>
              <w:jc w:val="center"/>
            </w:pPr>
            <w:r>
              <w:rPr>
                <w:rFonts w:ascii="DFKai-SB" w:hAnsi="DFKai-SB" w:eastAsia="DFKai-SB" w:cs="DFKai-SB"/>
                <w:b/>
                <w:i w:val="0"/>
                <w:color w:val="FFFFFF"/>
                <w:sz w:val="18"/>
              </w:rPr>
              <w:t>資料型態</w:t>
            </w:r>
          </w:p>
        </w:tc>
        <w:tc>
          <w:tcPr>
            <w:tcW w:type="dxa" w:w="1984"/>
            <w:shd w:fill="19352D"/>
            <w:tcMar>
              <w:top w:w="90" w:type="dxa"/>
              <w:left w:w="100" w:type="dxa"/>
              <w:bottom w:w="90" w:type="dxa"/>
              <w:right w:w="100" w:type="dxa"/>
            </w:tcMar>
            <w:vAlign w:val="center"/>
          </w:tcPr>
          <w:p>
            <w:pPr>
              <w:spacing w:after="0"/>
              <w:jc w:val="center"/>
            </w:pPr>
            <w:r>
              <w:rPr>
                <w:rFonts w:ascii="DFKai-SB" w:hAnsi="DFKai-SB" w:eastAsia="DFKai-SB" w:cs="DFKai-SB"/>
                <w:b/>
                <w:i w:val="0"/>
                <w:color w:val="FFFFFF"/>
                <w:sz w:val="18"/>
              </w:rPr>
              <w:t>主要偏誤控制</w:t>
            </w:r>
          </w:p>
        </w:tc>
      </w:tr>
      <w:tr>
        <w:tc>
          <w:tcPr>
            <w:tcW w:type="dxa" w:w="1700"/>
            <w:tcMar>
              <w:top w:w="90" w:type="dxa"/>
              <w:left w:w="100" w:type="dxa"/>
              <w:bottom w:w="90" w:type="dxa"/>
              <w:right w:w="100" w:type="dxa"/>
            </w:tcMar>
            <w:vAlign w:val="center"/>
          </w:tcPr>
          <w:p>
            <w:pPr>
              <w:spacing w:after="0" w:line="276" w:lineRule="auto"/>
              <w:jc w:val="left"/>
            </w:pPr>
            <w:r>
              <w:rPr>
                <w:rFonts w:ascii="DFKai-SB" w:hAnsi="DFKai-SB" w:eastAsia="DFKai-SB" w:cs="DFKai-SB"/>
                <w:b/>
                <w:i w:val="0"/>
                <w:color w:val="19352D"/>
                <w:sz w:val="17"/>
              </w:rPr>
              <w:t>病前語言生態</w:t>
            </w:r>
          </w:p>
        </w:tc>
        <w:tc>
          <w:tcPr>
            <w:tcW w:type="dxa" w:w="3288"/>
            <w:tcMar>
              <w:top w:w="90" w:type="dxa"/>
              <w:left w:w="100" w:type="dxa"/>
              <w:bottom w:w="90" w:type="dxa"/>
              <w:right w:w="100" w:type="dxa"/>
            </w:tcMar>
            <w:vAlign w:val="center"/>
          </w:tcPr>
          <w:p>
            <w:pPr>
              <w:spacing w:after="0" w:line="276" w:lineRule="auto"/>
              <w:jc w:val="both"/>
            </w:pPr>
            <w:r>
              <w:rPr>
                <w:rFonts w:ascii="DFKai-SB" w:hAnsi="DFKai-SB" w:eastAsia="DFKai-SB" w:cs="DFKai-SB"/>
                <w:b w:val="0"/>
                <w:i w:val="0"/>
                <w:color w:val="19352D"/>
                <w:sz w:val="17"/>
              </w:rPr>
              <w:t>習得年齡、家庭／學校／工作語言、方言、優勢轉換</w:t>
            </w:r>
          </w:p>
        </w:tc>
        <w:tc>
          <w:tcPr>
            <w:tcW w:type="dxa" w:w="1757"/>
            <w:tcMar>
              <w:top w:w="90" w:type="dxa"/>
              <w:left w:w="100" w:type="dxa"/>
              <w:bottom w:w="90" w:type="dxa"/>
              <w:right w:w="100" w:type="dxa"/>
            </w:tcMar>
            <w:vAlign w:val="center"/>
          </w:tcPr>
          <w:p>
            <w:pPr>
              <w:spacing w:after="0" w:line="276" w:lineRule="auto"/>
              <w:jc w:val="both"/>
            </w:pPr>
            <w:r>
              <w:rPr>
                <w:rFonts w:ascii="DFKai-SB" w:hAnsi="DFKai-SB" w:eastAsia="DFKai-SB" w:cs="DFKai-SB"/>
                <w:b w:val="0"/>
                <w:i w:val="0"/>
                <w:color w:val="19352D"/>
                <w:sz w:val="17"/>
              </w:rPr>
              <w:t>生命史訪談＋時間軸</w:t>
            </w:r>
          </w:p>
        </w:tc>
        <w:tc>
          <w:tcPr>
            <w:tcW w:type="dxa" w:w="1984"/>
            <w:tcMar>
              <w:top w:w="90" w:type="dxa"/>
              <w:left w:w="100" w:type="dxa"/>
              <w:bottom w:w="90" w:type="dxa"/>
              <w:right w:w="100" w:type="dxa"/>
            </w:tcMar>
            <w:vAlign w:val="center"/>
          </w:tcPr>
          <w:p>
            <w:pPr>
              <w:spacing w:after="0" w:line="276" w:lineRule="auto"/>
              <w:jc w:val="both"/>
            </w:pPr>
            <w:r>
              <w:rPr>
                <w:rFonts w:ascii="DFKai-SB" w:hAnsi="DFKai-SB" w:eastAsia="DFKai-SB" w:cs="DFKai-SB"/>
                <w:b w:val="0"/>
                <w:i w:val="0"/>
                <w:color w:val="19352D"/>
                <w:sz w:val="17"/>
              </w:rPr>
              <w:t>回憶偏誤；家屬／文件交叉核對</w:t>
            </w:r>
          </w:p>
        </w:tc>
      </w:tr>
      <w:tr>
        <w:tc>
          <w:tcPr>
            <w:tcW w:type="dxa" w:w="1700"/>
            <w:shd w:fill="F7F3EA"/>
            <w:tcMar>
              <w:top w:w="90" w:type="dxa"/>
              <w:left w:w="100" w:type="dxa"/>
              <w:bottom w:w="90" w:type="dxa"/>
              <w:right w:w="100" w:type="dxa"/>
            </w:tcMar>
            <w:vAlign w:val="center"/>
          </w:tcPr>
          <w:p>
            <w:pPr>
              <w:spacing w:after="0" w:line="276" w:lineRule="auto"/>
              <w:jc w:val="left"/>
            </w:pPr>
            <w:r>
              <w:rPr>
                <w:rFonts w:ascii="DFKai-SB" w:hAnsi="DFKai-SB" w:eastAsia="DFKai-SB" w:cs="DFKai-SB"/>
                <w:b/>
                <w:i w:val="0"/>
                <w:color w:val="19352D"/>
                <w:sz w:val="17"/>
              </w:rPr>
              <w:t>社會網絡</w:t>
            </w:r>
          </w:p>
        </w:tc>
        <w:tc>
          <w:tcPr>
            <w:tcW w:type="dxa" w:w="3288"/>
            <w:shd w:fill="F7F3EA"/>
            <w:tcMar>
              <w:top w:w="90" w:type="dxa"/>
              <w:left w:w="100" w:type="dxa"/>
              <w:bottom w:w="90" w:type="dxa"/>
              <w:right w:w="100" w:type="dxa"/>
            </w:tcMar>
            <w:vAlign w:val="center"/>
          </w:tcPr>
          <w:p>
            <w:pPr>
              <w:spacing w:after="0" w:line="276" w:lineRule="auto"/>
              <w:jc w:val="both"/>
            </w:pPr>
            <w:r>
              <w:rPr>
                <w:rFonts w:ascii="DFKai-SB" w:hAnsi="DFKai-SB" w:eastAsia="DFKai-SB" w:cs="DFKai-SB"/>
                <w:b w:val="0"/>
                <w:i w:val="0"/>
                <w:color w:val="19352D"/>
                <w:sz w:val="17"/>
              </w:rPr>
              <w:t>互動對象、關係強度、頻率、語言選擇、網絡縮小事件</w:t>
            </w:r>
          </w:p>
        </w:tc>
        <w:tc>
          <w:tcPr>
            <w:tcW w:type="dxa" w:w="1757"/>
            <w:shd w:fill="F7F3EA"/>
            <w:tcMar>
              <w:top w:w="90" w:type="dxa"/>
              <w:left w:w="100" w:type="dxa"/>
              <w:bottom w:w="90" w:type="dxa"/>
              <w:right w:w="100" w:type="dxa"/>
            </w:tcMar>
            <w:vAlign w:val="center"/>
          </w:tcPr>
          <w:p>
            <w:pPr>
              <w:spacing w:after="0" w:line="276" w:lineRule="auto"/>
              <w:jc w:val="both"/>
            </w:pPr>
            <w:r>
              <w:rPr>
                <w:rFonts w:ascii="DFKai-SB" w:hAnsi="DFKai-SB" w:eastAsia="DFKai-SB" w:cs="DFKai-SB"/>
                <w:b w:val="0"/>
                <w:i w:val="0"/>
                <w:color w:val="19352D"/>
                <w:sz w:val="17"/>
              </w:rPr>
              <w:t>網絡名冊＋事件紀錄</w:t>
            </w:r>
          </w:p>
        </w:tc>
        <w:tc>
          <w:tcPr>
            <w:tcW w:type="dxa" w:w="1984"/>
            <w:shd w:fill="F7F3EA"/>
            <w:tcMar>
              <w:top w:w="90" w:type="dxa"/>
              <w:left w:w="100" w:type="dxa"/>
              <w:bottom w:w="90" w:type="dxa"/>
              <w:right w:w="100" w:type="dxa"/>
            </w:tcMar>
            <w:vAlign w:val="center"/>
          </w:tcPr>
          <w:p>
            <w:pPr>
              <w:spacing w:after="0" w:line="276" w:lineRule="auto"/>
              <w:jc w:val="both"/>
            </w:pPr>
            <w:r>
              <w:rPr>
                <w:rFonts w:ascii="DFKai-SB" w:hAnsi="DFKai-SB" w:eastAsia="DFKai-SB" w:cs="DFKai-SB"/>
                <w:b w:val="0"/>
                <w:i w:val="0"/>
                <w:color w:val="19352D"/>
                <w:sz w:val="17"/>
              </w:rPr>
              <w:t>把同住誤當實際互動</w:t>
            </w:r>
          </w:p>
        </w:tc>
      </w:tr>
      <w:tr>
        <w:tc>
          <w:tcPr>
            <w:tcW w:type="dxa" w:w="1700"/>
            <w:tcMar>
              <w:top w:w="90" w:type="dxa"/>
              <w:left w:w="100" w:type="dxa"/>
              <w:bottom w:w="90" w:type="dxa"/>
              <w:right w:w="100" w:type="dxa"/>
            </w:tcMar>
            <w:vAlign w:val="center"/>
          </w:tcPr>
          <w:p>
            <w:pPr>
              <w:spacing w:after="0" w:line="276" w:lineRule="auto"/>
              <w:jc w:val="left"/>
            </w:pPr>
            <w:r>
              <w:rPr>
                <w:rFonts w:ascii="DFKai-SB" w:hAnsi="DFKai-SB" w:eastAsia="DFKai-SB" w:cs="DFKai-SB"/>
                <w:b/>
                <w:i w:val="0"/>
                <w:color w:val="19352D"/>
                <w:sz w:val="17"/>
              </w:rPr>
              <w:t>共同實踐</w:t>
            </w:r>
          </w:p>
        </w:tc>
        <w:tc>
          <w:tcPr>
            <w:tcW w:type="dxa" w:w="3288"/>
            <w:tcMar>
              <w:top w:w="90" w:type="dxa"/>
              <w:left w:w="100" w:type="dxa"/>
              <w:bottom w:w="90" w:type="dxa"/>
              <w:right w:w="100" w:type="dxa"/>
            </w:tcMar>
            <w:vAlign w:val="center"/>
          </w:tcPr>
          <w:p>
            <w:pPr>
              <w:spacing w:after="0" w:line="276" w:lineRule="auto"/>
              <w:jc w:val="both"/>
            </w:pPr>
            <w:r>
              <w:rPr>
                <w:rFonts w:ascii="DFKai-SB" w:hAnsi="DFKai-SB" w:eastAsia="DFKai-SB" w:cs="DFKai-SB"/>
                <w:b w:val="0"/>
                <w:i w:val="0"/>
                <w:color w:val="19352D"/>
                <w:sz w:val="17"/>
              </w:rPr>
              <w:t>教會、農作、祭儀、照顧、工作與數位社群中的語言功能</w:t>
            </w:r>
          </w:p>
        </w:tc>
        <w:tc>
          <w:tcPr>
            <w:tcW w:type="dxa" w:w="1757"/>
            <w:tcMar>
              <w:top w:w="90" w:type="dxa"/>
              <w:left w:w="100" w:type="dxa"/>
              <w:bottom w:w="90" w:type="dxa"/>
              <w:right w:w="100" w:type="dxa"/>
            </w:tcMar>
            <w:vAlign w:val="center"/>
          </w:tcPr>
          <w:p>
            <w:pPr>
              <w:spacing w:after="0" w:line="276" w:lineRule="auto"/>
              <w:jc w:val="both"/>
            </w:pPr>
            <w:r>
              <w:rPr>
                <w:rFonts w:ascii="DFKai-SB" w:hAnsi="DFKai-SB" w:eastAsia="DFKai-SB" w:cs="DFKai-SB"/>
                <w:b w:val="0"/>
                <w:i w:val="0"/>
                <w:color w:val="19352D"/>
                <w:sz w:val="17"/>
              </w:rPr>
              <w:t>參與觀察＋自然語料</w:t>
            </w:r>
          </w:p>
        </w:tc>
        <w:tc>
          <w:tcPr>
            <w:tcW w:type="dxa" w:w="1984"/>
            <w:tcMar>
              <w:top w:w="90" w:type="dxa"/>
              <w:left w:w="100" w:type="dxa"/>
              <w:bottom w:w="90" w:type="dxa"/>
              <w:right w:w="100" w:type="dxa"/>
            </w:tcMar>
            <w:vAlign w:val="center"/>
          </w:tcPr>
          <w:p>
            <w:pPr>
              <w:spacing w:after="0" w:line="276" w:lineRule="auto"/>
              <w:jc w:val="both"/>
            </w:pPr>
            <w:r>
              <w:rPr>
                <w:rFonts w:ascii="DFKai-SB" w:hAnsi="DFKai-SB" w:eastAsia="DFKai-SB" w:cs="DFKai-SB"/>
                <w:b w:val="0"/>
                <w:i w:val="0"/>
                <w:color w:val="19352D"/>
                <w:sz w:val="17"/>
              </w:rPr>
              <w:t>研究者預設場域功能</w:t>
            </w:r>
          </w:p>
        </w:tc>
      </w:tr>
      <w:tr>
        <w:tc>
          <w:tcPr>
            <w:tcW w:type="dxa" w:w="1700"/>
            <w:shd w:fill="F7F3EA"/>
            <w:tcMar>
              <w:top w:w="90" w:type="dxa"/>
              <w:left w:w="100" w:type="dxa"/>
              <w:bottom w:w="90" w:type="dxa"/>
              <w:right w:w="100" w:type="dxa"/>
            </w:tcMar>
            <w:vAlign w:val="center"/>
          </w:tcPr>
          <w:p>
            <w:pPr>
              <w:spacing w:after="0" w:line="276" w:lineRule="auto"/>
              <w:jc w:val="left"/>
            </w:pPr>
            <w:r>
              <w:rPr>
                <w:rFonts w:ascii="DFKai-SB" w:hAnsi="DFKai-SB" w:eastAsia="DFKai-SB" w:cs="DFKai-SB"/>
                <w:b/>
                <w:i w:val="0"/>
                <w:color w:val="19352D"/>
                <w:sz w:val="17"/>
              </w:rPr>
              <w:t>語言使用與優勢</w:t>
            </w:r>
          </w:p>
        </w:tc>
        <w:tc>
          <w:tcPr>
            <w:tcW w:type="dxa" w:w="3288"/>
            <w:shd w:fill="F7F3EA"/>
            <w:tcMar>
              <w:top w:w="90" w:type="dxa"/>
              <w:left w:w="100" w:type="dxa"/>
              <w:bottom w:w="90" w:type="dxa"/>
              <w:right w:w="100" w:type="dxa"/>
            </w:tcMar>
            <w:vAlign w:val="center"/>
          </w:tcPr>
          <w:p>
            <w:pPr>
              <w:spacing w:after="0" w:line="276" w:lineRule="auto"/>
              <w:jc w:val="both"/>
            </w:pPr>
            <w:r>
              <w:rPr>
                <w:rFonts w:ascii="DFKai-SB" w:hAnsi="DFKai-SB" w:eastAsia="DFKai-SB" w:cs="DFKai-SB"/>
                <w:b w:val="0"/>
                <w:i w:val="0"/>
                <w:color w:val="19352D"/>
                <w:sz w:val="17"/>
              </w:rPr>
              <w:t>每週使用比例、自評、命名／敘事、語碼轉換功能</w:t>
            </w:r>
          </w:p>
        </w:tc>
        <w:tc>
          <w:tcPr>
            <w:tcW w:type="dxa" w:w="1757"/>
            <w:shd w:fill="F7F3EA"/>
            <w:tcMar>
              <w:top w:w="90" w:type="dxa"/>
              <w:left w:w="100" w:type="dxa"/>
              <w:bottom w:w="90" w:type="dxa"/>
              <w:right w:w="100" w:type="dxa"/>
            </w:tcMar>
            <w:vAlign w:val="center"/>
          </w:tcPr>
          <w:p>
            <w:pPr>
              <w:spacing w:after="0" w:line="276" w:lineRule="auto"/>
              <w:jc w:val="both"/>
            </w:pPr>
            <w:r>
              <w:rPr>
                <w:rFonts w:ascii="DFKai-SB" w:hAnsi="DFKai-SB" w:eastAsia="DFKai-SB" w:cs="DFKai-SB"/>
                <w:b w:val="0"/>
                <w:i w:val="0"/>
                <w:color w:val="19352D"/>
                <w:sz w:val="17"/>
              </w:rPr>
              <w:t>多方法重複測量</w:t>
            </w:r>
          </w:p>
        </w:tc>
        <w:tc>
          <w:tcPr>
            <w:tcW w:type="dxa" w:w="1984"/>
            <w:shd w:fill="F7F3EA"/>
            <w:tcMar>
              <w:top w:w="90" w:type="dxa"/>
              <w:left w:w="100" w:type="dxa"/>
              <w:bottom w:w="90" w:type="dxa"/>
              <w:right w:w="100" w:type="dxa"/>
            </w:tcMar>
            <w:vAlign w:val="center"/>
          </w:tcPr>
          <w:p>
            <w:pPr>
              <w:spacing w:after="0" w:line="276" w:lineRule="auto"/>
              <w:jc w:val="both"/>
            </w:pPr>
            <w:r>
              <w:rPr>
                <w:rFonts w:ascii="DFKai-SB" w:hAnsi="DFKai-SB" w:eastAsia="DFKai-SB" w:cs="DFKai-SB"/>
                <w:b w:val="0"/>
                <w:i w:val="0"/>
                <w:color w:val="19352D"/>
                <w:sz w:val="17"/>
              </w:rPr>
              <w:t>單一分數與單語常模</w:t>
            </w:r>
          </w:p>
        </w:tc>
      </w:tr>
      <w:tr>
        <w:tc>
          <w:tcPr>
            <w:tcW w:type="dxa" w:w="1700"/>
            <w:tcMar>
              <w:top w:w="90" w:type="dxa"/>
              <w:left w:w="100" w:type="dxa"/>
              <w:bottom w:w="90" w:type="dxa"/>
              <w:right w:w="100" w:type="dxa"/>
            </w:tcMar>
            <w:vAlign w:val="center"/>
          </w:tcPr>
          <w:p>
            <w:pPr>
              <w:spacing w:after="0" w:line="276" w:lineRule="auto"/>
              <w:jc w:val="left"/>
            </w:pPr>
            <w:r>
              <w:rPr>
                <w:rFonts w:ascii="DFKai-SB" w:hAnsi="DFKai-SB" w:eastAsia="DFKai-SB" w:cs="DFKai-SB"/>
                <w:b/>
                <w:i w:val="0"/>
                <w:color w:val="19352D"/>
                <w:sz w:val="17"/>
              </w:rPr>
              <w:t>感官與健康</w:t>
            </w:r>
          </w:p>
        </w:tc>
        <w:tc>
          <w:tcPr>
            <w:tcW w:type="dxa" w:w="3288"/>
            <w:tcMar>
              <w:top w:w="90" w:type="dxa"/>
              <w:left w:w="100" w:type="dxa"/>
              <w:bottom w:w="90" w:type="dxa"/>
              <w:right w:w="100" w:type="dxa"/>
            </w:tcMar>
            <w:vAlign w:val="center"/>
          </w:tcPr>
          <w:p>
            <w:pPr>
              <w:spacing w:after="0" w:line="276" w:lineRule="auto"/>
              <w:jc w:val="both"/>
            </w:pPr>
            <w:r>
              <w:rPr>
                <w:rFonts w:ascii="DFKai-SB" w:hAnsi="DFKai-SB" w:eastAsia="DFKai-SB" w:cs="DFKai-SB"/>
                <w:b w:val="0"/>
                <w:i w:val="0"/>
                <w:color w:val="19352D"/>
                <w:sz w:val="17"/>
              </w:rPr>
              <w:t>聽力、視力、病史、用藥、疲勞與情緒</w:t>
            </w:r>
          </w:p>
        </w:tc>
        <w:tc>
          <w:tcPr>
            <w:tcW w:type="dxa" w:w="1757"/>
            <w:tcMar>
              <w:top w:w="90" w:type="dxa"/>
              <w:left w:w="100" w:type="dxa"/>
              <w:bottom w:w="90" w:type="dxa"/>
              <w:right w:w="100" w:type="dxa"/>
            </w:tcMar>
            <w:vAlign w:val="center"/>
          </w:tcPr>
          <w:p>
            <w:pPr>
              <w:spacing w:after="0" w:line="276" w:lineRule="auto"/>
              <w:jc w:val="both"/>
            </w:pPr>
            <w:r>
              <w:rPr>
                <w:rFonts w:ascii="DFKai-SB" w:hAnsi="DFKai-SB" w:eastAsia="DFKai-SB" w:cs="DFKai-SB"/>
                <w:b w:val="0"/>
                <w:i w:val="0"/>
                <w:color w:val="19352D"/>
                <w:sz w:val="17"/>
              </w:rPr>
              <w:t>篩檢＋病歷／自陳</w:t>
            </w:r>
          </w:p>
        </w:tc>
        <w:tc>
          <w:tcPr>
            <w:tcW w:type="dxa" w:w="1984"/>
            <w:tcMar>
              <w:top w:w="90" w:type="dxa"/>
              <w:left w:w="100" w:type="dxa"/>
              <w:bottom w:w="90" w:type="dxa"/>
              <w:right w:w="100" w:type="dxa"/>
            </w:tcMar>
            <w:vAlign w:val="center"/>
          </w:tcPr>
          <w:p>
            <w:pPr>
              <w:spacing w:after="0" w:line="276" w:lineRule="auto"/>
              <w:jc w:val="both"/>
            </w:pPr>
            <w:r>
              <w:rPr>
                <w:rFonts w:ascii="DFKai-SB" w:hAnsi="DFKai-SB" w:eastAsia="DFKai-SB" w:cs="DFKai-SB"/>
                <w:b w:val="0"/>
                <w:i w:val="0"/>
                <w:color w:val="19352D"/>
                <w:sz w:val="17"/>
              </w:rPr>
              <w:t>將未聽清楚當成理解缺損</w:t>
            </w:r>
          </w:p>
        </w:tc>
      </w:tr>
      <w:tr>
        <w:tc>
          <w:tcPr>
            <w:tcW w:type="dxa" w:w="1700"/>
            <w:shd w:fill="F7F3EA"/>
            <w:tcMar>
              <w:top w:w="90" w:type="dxa"/>
              <w:left w:w="100" w:type="dxa"/>
              <w:bottom w:w="90" w:type="dxa"/>
              <w:right w:w="100" w:type="dxa"/>
            </w:tcMar>
            <w:vAlign w:val="center"/>
          </w:tcPr>
          <w:p>
            <w:pPr>
              <w:spacing w:after="0" w:line="276" w:lineRule="auto"/>
              <w:jc w:val="left"/>
            </w:pPr>
            <w:r>
              <w:rPr>
                <w:rFonts w:ascii="DFKai-SB" w:hAnsi="DFKai-SB" w:eastAsia="DFKai-SB" w:cs="DFKai-SB"/>
                <w:b/>
                <w:i w:val="0"/>
                <w:color w:val="19352D"/>
                <w:sz w:val="17"/>
              </w:rPr>
              <w:t>評估公平性</w:t>
            </w:r>
          </w:p>
        </w:tc>
        <w:tc>
          <w:tcPr>
            <w:tcW w:type="dxa" w:w="3288"/>
            <w:shd w:fill="F7F3EA"/>
            <w:tcMar>
              <w:top w:w="90" w:type="dxa"/>
              <w:left w:w="100" w:type="dxa"/>
              <w:bottom w:w="90" w:type="dxa"/>
              <w:right w:w="100" w:type="dxa"/>
            </w:tcMar>
            <w:vAlign w:val="center"/>
          </w:tcPr>
          <w:p>
            <w:pPr>
              <w:spacing w:after="0" w:line="276" w:lineRule="auto"/>
              <w:jc w:val="both"/>
            </w:pPr>
            <w:r>
              <w:rPr>
                <w:rFonts w:ascii="DFKai-SB" w:hAnsi="DFKai-SB" w:eastAsia="DFKai-SB" w:cs="DFKai-SB"/>
                <w:b w:val="0"/>
                <w:i w:val="0"/>
                <w:color w:val="19352D"/>
                <w:sz w:val="17"/>
              </w:rPr>
              <w:t>方言、文化熟悉度、教育、識字、任務可理解性</w:t>
            </w:r>
          </w:p>
        </w:tc>
        <w:tc>
          <w:tcPr>
            <w:tcW w:type="dxa" w:w="1757"/>
            <w:shd w:fill="F7F3EA"/>
            <w:tcMar>
              <w:top w:w="90" w:type="dxa"/>
              <w:left w:w="100" w:type="dxa"/>
              <w:bottom w:w="90" w:type="dxa"/>
              <w:right w:w="100" w:type="dxa"/>
            </w:tcMar>
            <w:vAlign w:val="center"/>
          </w:tcPr>
          <w:p>
            <w:pPr>
              <w:spacing w:after="0" w:line="276" w:lineRule="auto"/>
              <w:jc w:val="both"/>
            </w:pPr>
            <w:r>
              <w:rPr>
                <w:rFonts w:ascii="DFKai-SB" w:hAnsi="DFKai-SB" w:eastAsia="DFKai-SB" w:cs="DFKai-SB"/>
                <w:b w:val="0"/>
                <w:i w:val="0"/>
                <w:color w:val="19352D"/>
                <w:sz w:val="17"/>
              </w:rPr>
              <w:t>認知訪談＋差異項目檢驗</w:t>
            </w:r>
          </w:p>
        </w:tc>
        <w:tc>
          <w:tcPr>
            <w:tcW w:type="dxa" w:w="1984"/>
            <w:shd w:fill="F7F3EA"/>
            <w:tcMar>
              <w:top w:w="90" w:type="dxa"/>
              <w:left w:w="100" w:type="dxa"/>
              <w:bottom w:w="90" w:type="dxa"/>
              <w:right w:w="100" w:type="dxa"/>
            </w:tcMar>
            <w:vAlign w:val="center"/>
          </w:tcPr>
          <w:p>
            <w:pPr>
              <w:spacing w:after="0" w:line="276" w:lineRule="auto"/>
              <w:jc w:val="both"/>
            </w:pPr>
            <w:r>
              <w:rPr>
                <w:rFonts w:ascii="DFKai-SB" w:hAnsi="DFKai-SB" w:eastAsia="DFKai-SB" w:cs="DFKai-SB"/>
                <w:b w:val="0"/>
                <w:i w:val="0"/>
                <w:color w:val="19352D"/>
                <w:sz w:val="17"/>
              </w:rPr>
              <w:t>翻譯等同文化調適</w:t>
            </w:r>
          </w:p>
        </w:tc>
      </w:tr>
      <w:tr>
        <w:tc>
          <w:tcPr>
            <w:tcW w:type="dxa" w:w="1700"/>
            <w:tcMar>
              <w:top w:w="90" w:type="dxa"/>
              <w:left w:w="100" w:type="dxa"/>
              <w:bottom w:w="90" w:type="dxa"/>
              <w:right w:w="100" w:type="dxa"/>
            </w:tcMar>
            <w:vAlign w:val="center"/>
          </w:tcPr>
          <w:p>
            <w:pPr>
              <w:spacing w:after="0" w:line="276" w:lineRule="auto"/>
              <w:jc w:val="left"/>
            </w:pPr>
            <w:r>
              <w:rPr>
                <w:rFonts w:ascii="DFKai-SB" w:hAnsi="DFKai-SB" w:eastAsia="DFKai-SB" w:cs="DFKai-SB"/>
                <w:b/>
                <w:i w:val="0"/>
                <w:color w:val="19352D"/>
                <w:sz w:val="17"/>
              </w:rPr>
              <w:t>口譯者效應</w:t>
            </w:r>
          </w:p>
        </w:tc>
        <w:tc>
          <w:tcPr>
            <w:tcW w:type="dxa" w:w="3288"/>
            <w:tcMar>
              <w:top w:w="90" w:type="dxa"/>
              <w:left w:w="100" w:type="dxa"/>
              <w:bottom w:w="90" w:type="dxa"/>
              <w:right w:w="100" w:type="dxa"/>
            </w:tcMar>
            <w:vAlign w:val="center"/>
          </w:tcPr>
          <w:p>
            <w:pPr>
              <w:spacing w:after="0" w:line="276" w:lineRule="auto"/>
              <w:jc w:val="both"/>
            </w:pPr>
            <w:r>
              <w:rPr>
                <w:rFonts w:ascii="DFKai-SB" w:hAnsi="DFKai-SB" w:eastAsia="DFKai-SB" w:cs="DFKai-SB"/>
                <w:b w:val="0"/>
                <w:i w:val="0"/>
                <w:color w:val="19352D"/>
                <w:sz w:val="17"/>
              </w:rPr>
              <w:t>口譯者背景、提示、改述、互動回合</w:t>
            </w:r>
          </w:p>
        </w:tc>
        <w:tc>
          <w:tcPr>
            <w:tcW w:type="dxa" w:w="1757"/>
            <w:tcMar>
              <w:top w:w="90" w:type="dxa"/>
              <w:left w:w="100" w:type="dxa"/>
              <w:bottom w:w="90" w:type="dxa"/>
              <w:right w:w="100" w:type="dxa"/>
            </w:tcMar>
            <w:vAlign w:val="center"/>
          </w:tcPr>
          <w:p>
            <w:pPr>
              <w:spacing w:after="0" w:line="276" w:lineRule="auto"/>
              <w:jc w:val="both"/>
            </w:pPr>
            <w:r>
              <w:rPr>
                <w:rFonts w:ascii="DFKai-SB" w:hAnsi="DFKai-SB" w:eastAsia="DFKai-SB" w:cs="DFKai-SB"/>
                <w:b w:val="0"/>
                <w:i w:val="0"/>
                <w:color w:val="19352D"/>
                <w:sz w:val="17"/>
              </w:rPr>
              <w:t>錄音錄影＋逐字稿標記</w:t>
            </w:r>
          </w:p>
        </w:tc>
        <w:tc>
          <w:tcPr>
            <w:tcW w:type="dxa" w:w="1984"/>
            <w:tcMar>
              <w:top w:w="90" w:type="dxa"/>
              <w:left w:w="100" w:type="dxa"/>
              <w:bottom w:w="90" w:type="dxa"/>
              <w:right w:w="100" w:type="dxa"/>
            </w:tcMar>
            <w:vAlign w:val="center"/>
          </w:tcPr>
          <w:p>
            <w:pPr>
              <w:spacing w:after="0" w:line="276" w:lineRule="auto"/>
              <w:jc w:val="both"/>
            </w:pPr>
            <w:r>
              <w:rPr>
                <w:rFonts w:ascii="DFKai-SB" w:hAnsi="DFKai-SB" w:eastAsia="DFKai-SB" w:cs="DFKai-SB"/>
                <w:b w:val="0"/>
                <w:i w:val="0"/>
                <w:color w:val="19352D"/>
                <w:sz w:val="17"/>
              </w:rPr>
              <w:t>把口譯視為透明管道</w:t>
            </w:r>
          </w:p>
        </w:tc>
      </w:tr>
      <w:tr>
        <w:tc>
          <w:tcPr>
            <w:tcW w:type="dxa" w:w="1700"/>
            <w:shd w:fill="F7F3EA"/>
            <w:tcMar>
              <w:top w:w="90" w:type="dxa"/>
              <w:left w:w="100" w:type="dxa"/>
              <w:bottom w:w="90" w:type="dxa"/>
              <w:right w:w="100" w:type="dxa"/>
            </w:tcMar>
            <w:vAlign w:val="center"/>
          </w:tcPr>
          <w:p>
            <w:pPr>
              <w:spacing w:after="0" w:line="276" w:lineRule="auto"/>
              <w:jc w:val="left"/>
            </w:pPr>
            <w:r>
              <w:rPr>
                <w:rFonts w:ascii="DFKai-SB" w:hAnsi="DFKai-SB" w:eastAsia="DFKai-SB" w:cs="DFKai-SB"/>
                <w:b/>
                <w:i w:val="0"/>
                <w:color w:val="19352D"/>
                <w:sz w:val="17"/>
              </w:rPr>
              <w:t>資料治理</w:t>
            </w:r>
          </w:p>
        </w:tc>
        <w:tc>
          <w:tcPr>
            <w:tcW w:type="dxa" w:w="3288"/>
            <w:shd w:fill="F7F3EA"/>
            <w:tcMar>
              <w:top w:w="90" w:type="dxa"/>
              <w:left w:w="100" w:type="dxa"/>
              <w:bottom w:w="90" w:type="dxa"/>
              <w:right w:w="100" w:type="dxa"/>
            </w:tcMar>
            <w:vAlign w:val="center"/>
          </w:tcPr>
          <w:p>
            <w:pPr>
              <w:spacing w:after="0" w:line="276" w:lineRule="auto"/>
              <w:jc w:val="both"/>
            </w:pPr>
            <w:r>
              <w:rPr>
                <w:rFonts w:ascii="DFKai-SB" w:hAnsi="DFKai-SB" w:eastAsia="DFKai-SB" w:cs="DFKai-SB"/>
                <w:b w:val="0"/>
                <w:i w:val="0"/>
                <w:color w:val="19352D"/>
                <w:sz w:val="17"/>
              </w:rPr>
              <w:t>同意層級、公開範圍、撤回、社群回饋、命名規則</w:t>
            </w:r>
          </w:p>
        </w:tc>
        <w:tc>
          <w:tcPr>
            <w:tcW w:type="dxa" w:w="1757"/>
            <w:shd w:fill="F7F3EA"/>
            <w:tcMar>
              <w:top w:w="90" w:type="dxa"/>
              <w:left w:w="100" w:type="dxa"/>
              <w:bottom w:w="90" w:type="dxa"/>
              <w:right w:w="100" w:type="dxa"/>
            </w:tcMar>
            <w:vAlign w:val="center"/>
          </w:tcPr>
          <w:p>
            <w:pPr>
              <w:spacing w:after="0" w:line="276" w:lineRule="auto"/>
              <w:jc w:val="both"/>
            </w:pPr>
            <w:r>
              <w:rPr>
                <w:rFonts w:ascii="DFKai-SB" w:hAnsi="DFKai-SB" w:eastAsia="DFKai-SB" w:cs="DFKai-SB"/>
                <w:b w:val="0"/>
                <w:i w:val="0"/>
                <w:color w:val="19352D"/>
                <w:sz w:val="17"/>
              </w:rPr>
              <w:t>治理協議＋稽核軌跡</w:t>
            </w:r>
          </w:p>
        </w:tc>
        <w:tc>
          <w:tcPr>
            <w:tcW w:type="dxa" w:w="1984"/>
            <w:shd w:fill="F7F3EA"/>
            <w:tcMar>
              <w:top w:w="90" w:type="dxa"/>
              <w:left w:w="100" w:type="dxa"/>
              <w:bottom w:w="90" w:type="dxa"/>
              <w:right w:w="100" w:type="dxa"/>
            </w:tcMar>
            <w:vAlign w:val="center"/>
          </w:tcPr>
          <w:p>
            <w:pPr>
              <w:spacing w:after="0" w:line="276" w:lineRule="auto"/>
              <w:jc w:val="both"/>
            </w:pPr>
            <w:r>
              <w:rPr>
                <w:rFonts w:ascii="DFKai-SB" w:hAnsi="DFKai-SB" w:eastAsia="DFKai-SB" w:cs="DFKai-SB"/>
                <w:b w:val="0"/>
                <w:i w:val="0"/>
                <w:color w:val="19352D"/>
                <w:sz w:val="17"/>
              </w:rPr>
              <w:t>一次同意涵蓋所有再利用</w:t>
            </w:r>
          </w:p>
        </w:tc>
      </w:tr>
    </w:tbl>
    <w:p>
      <w:pPr>
        <w:spacing w:before="80" w:after="200" w:line="300" w:lineRule="auto"/>
      </w:pPr>
      <w:r>
        <w:rPr>
          <w:rFonts w:ascii="DFKai-SB" w:hAnsi="DFKai-SB" w:eastAsia="DFKai-SB" w:cs="DFKai-SB"/>
          <w:b w:val="0"/>
          <w:i/>
          <w:color w:val="19352D"/>
          <w:sz w:val="20"/>
        </w:rPr>
        <w:t>註。</w:t>
      </w:r>
      <w:r>
        <w:rPr>
          <w:rFonts w:ascii="DFKai-SB" w:hAnsi="DFKai-SB" w:eastAsia="DFKai-SB" w:cs="DFKai-SB"/>
          <w:b w:val="0"/>
          <w:i w:val="0"/>
          <w:color w:val="19352D"/>
          <w:sz w:val="20"/>
        </w:rPr>
        <w:t xml:space="preserve">蕭惠美將原住民健康識能轉譯分為資訊轉譯、文化、社會結構與醫療資源等面向；全俊儒則聚焦跨文化溝通與原住民醫病關係。兩者可用於擴充『評估公平性』與『口譯者效應』欄位。 </w:t>
      </w:r>
      <w:hyperlink r:id="rId14">
        <w:r>
          <w:rPr>
            <w:rFonts w:ascii="DFKai-SB" w:hAnsi="DFKai-SB" w:eastAsia="DFKai-SB" w:cs="DFKai-SB"/>
            <w:color w:val="0563C1"/>
            <w:u w:val="single"/>
            <w:sz w:val="22"/>
          </w:rPr>
          <w:t>蕭惠美（2025）</w:t>
        </w:r>
      </w:hyperlink>
      <w:r>
        <w:rPr>
          <w:rFonts w:ascii="DFKai-SB" w:hAnsi="DFKai-SB" w:eastAsia="DFKai-SB" w:cs="DFKai-SB"/>
          <w:b w:val="0"/>
          <w:i w:val="0"/>
          <w:color w:val="19352D"/>
          <w:sz w:val="20"/>
        </w:rPr>
        <w:t>；</w:t>
      </w:r>
      <w:hyperlink r:id="rId15">
        <w:r>
          <w:rPr>
            <w:rFonts w:ascii="DFKai-SB" w:hAnsi="DFKai-SB" w:eastAsia="DFKai-SB" w:cs="DFKai-SB"/>
            <w:color w:val="0563C1"/>
            <w:u w:val="single"/>
            <w:sz w:val="22"/>
          </w:rPr>
          <w:t>全俊儒（2025）</w:t>
        </w:r>
      </w:hyperlink>
      <w:r>
        <w:rPr>
          <w:rFonts w:ascii="DFKai-SB" w:hAnsi="DFKai-SB" w:eastAsia="DFKai-SB" w:cs="DFKai-SB"/>
          <w:b w:val="0"/>
          <w:i w:val="0"/>
          <w:color w:val="19352D"/>
          <w:sz w:val="20"/>
        </w:rPr>
        <w:t>。</w:t>
      </w:r>
    </w:p>
    <w:p>
      <w:pPr>
        <w:keepNext/>
        <w:spacing w:before="200" w:after="0"/>
      </w:pPr>
      <w:r>
        <w:rPr>
          <w:rFonts w:ascii="DFKai-SB" w:hAnsi="DFKai-SB" w:eastAsia="DFKai-SB" w:cs="DFKai-SB"/>
          <w:b/>
          <w:i w:val="0"/>
          <w:color w:val="19352D"/>
          <w:sz w:val="22"/>
        </w:rPr>
        <w:t>圖 2</w:t>
      </w:r>
    </w:p>
    <w:p>
      <w:pPr>
        <w:keepNext/>
        <w:spacing w:after="100"/>
      </w:pPr>
      <w:r>
        <w:rPr>
          <w:rFonts w:ascii="DFKai-SB" w:hAnsi="DFKai-SB" w:eastAsia="DFKai-SB" w:cs="DFKai-SB"/>
          <w:b w:val="0"/>
          <w:i/>
          <w:color w:val="19352D"/>
          <w:sz w:val="22"/>
        </w:rPr>
        <w:t>臨床／認知證據與社會語言脈絡的雙軸框架</w:t>
      </w:r>
    </w:p>
    <w:p>
      <w:pPr>
        <w:spacing w:after="0"/>
        <w:jc w:val="center"/>
      </w:pPr>
      <w:r>
        <w:drawing>
          <wp:inline xmlns:a="http://schemas.openxmlformats.org/drawingml/2006/main" xmlns:pic="http://schemas.openxmlformats.org/drawingml/2006/picture">
            <wp:extent cx="5715000" cy="3492500"/>
            <wp:docPr id="2" name="Picture 2"/>
            <wp:cNvGraphicFramePr>
              <a:graphicFrameLocks noChangeAspect="1"/>
            </wp:cNvGraphicFramePr>
            <a:graphic>
              <a:graphicData uri="http://schemas.openxmlformats.org/drawingml/2006/picture">
                <pic:pic>
                  <pic:nvPicPr>
                    <pic:cNvPr id="0" name="figure-2-dual-axis.png"/>
                    <pic:cNvPicPr/>
                  </pic:nvPicPr>
                  <pic:blipFill>
                    <a:blip r:embed="rId16"/>
                    <a:stretch>
                      <a:fillRect/>
                    </a:stretch>
                  </pic:blipFill>
                  <pic:spPr>
                    <a:xfrm>
                      <a:off x="0" y="0"/>
                      <a:ext cx="5715000" cy="3492500"/>
                    </a:xfrm>
                    <a:prstGeom prst="rect"/>
                  </pic:spPr>
                </pic:pic>
              </a:graphicData>
            </a:graphic>
          </wp:inline>
        </w:drawing>
      </w:r>
    </w:p>
    <w:p>
      <w:pPr>
        <w:spacing w:before="80" w:after="200" w:line="300" w:lineRule="auto"/>
      </w:pPr>
      <w:r>
        <w:rPr>
          <w:rFonts w:ascii="DFKai-SB" w:hAnsi="DFKai-SB" w:eastAsia="DFKai-SB" w:cs="DFKai-SB"/>
          <w:b w:val="0"/>
          <w:i/>
          <w:color w:val="19352D"/>
          <w:sz w:val="20"/>
        </w:rPr>
        <w:t>註。</w:t>
      </w:r>
      <w:r>
        <w:rPr>
          <w:rFonts w:ascii="DFKai-SB" w:hAnsi="DFKai-SB" w:eastAsia="DFKai-SB" w:cs="DFKai-SB"/>
          <w:b w:val="0"/>
          <w:i w:val="0"/>
          <w:color w:val="19352D"/>
          <w:sz w:val="20"/>
        </w:rPr>
        <w:t xml:space="preserve">張文翊以臺東文化健康站阿美族長者進行文化敏感音樂治療，呈現文化記憶、參與和量化結果需要並置；蕭惠美的健康識能轉譯架構則提醒醫療資源與文化面向不可被單一工具取代。 </w:t>
      </w:r>
      <w:hyperlink r:id="rId17">
        <w:r>
          <w:rPr>
            <w:rFonts w:ascii="DFKai-SB" w:hAnsi="DFKai-SB" w:eastAsia="DFKai-SB" w:cs="DFKai-SB"/>
            <w:color w:val="0563C1"/>
            <w:u w:val="single"/>
            <w:sz w:val="22"/>
          </w:rPr>
          <w:t>張文翊（2024）</w:t>
        </w:r>
      </w:hyperlink>
      <w:r>
        <w:rPr>
          <w:rFonts w:ascii="DFKai-SB" w:hAnsi="DFKai-SB" w:eastAsia="DFKai-SB" w:cs="DFKai-SB"/>
          <w:b w:val="0"/>
          <w:i w:val="0"/>
          <w:color w:val="19352D"/>
          <w:sz w:val="20"/>
        </w:rPr>
        <w:t>；</w:t>
      </w:r>
      <w:hyperlink r:id="rId14">
        <w:r>
          <w:rPr>
            <w:rFonts w:ascii="DFKai-SB" w:hAnsi="DFKai-SB" w:eastAsia="DFKai-SB" w:cs="DFKai-SB"/>
            <w:color w:val="0563C1"/>
            <w:u w:val="single"/>
            <w:sz w:val="22"/>
          </w:rPr>
          <w:t>蕭惠美（2025）</w:t>
        </w:r>
      </w:hyperlink>
      <w:r>
        <w:rPr>
          <w:rFonts w:ascii="DFKai-SB" w:hAnsi="DFKai-SB" w:eastAsia="DFKai-SB" w:cs="DFKai-SB"/>
          <w:b w:val="0"/>
          <w:i w:val="0"/>
          <w:color w:val="19352D"/>
          <w:sz w:val="20"/>
        </w:rPr>
        <w:t>。</w:t>
      </w:r>
    </w:p>
    <w:p>
      <w:pPr>
        <w:keepNext/>
        <w:spacing w:before="200" w:after="0"/>
      </w:pPr>
      <w:r>
        <w:rPr>
          <w:rFonts w:ascii="DFKai-SB" w:hAnsi="DFKai-SB" w:eastAsia="DFKai-SB" w:cs="DFKai-SB"/>
          <w:b/>
          <w:i w:val="0"/>
          <w:color w:val="19352D"/>
          <w:sz w:val="22"/>
        </w:rPr>
        <w:t>表 3</w:t>
      </w:r>
    </w:p>
    <w:p>
      <w:pPr>
        <w:keepNext/>
        <w:spacing w:after="100"/>
      </w:pPr>
      <w:r>
        <w:rPr>
          <w:rFonts w:ascii="DFKai-SB" w:hAnsi="DFKai-SB" w:eastAsia="DFKai-SB" w:cs="DFKai-SB"/>
          <w:b w:val="0"/>
          <w:i/>
          <w:color w:val="19352D"/>
          <w:sz w:val="22"/>
        </w:rPr>
        <w:t>研究缺口與優先序矩陣</w:t>
      </w:r>
    </w:p>
    <w:tbl>
      <w:tblPr>
        <w:tblW w:type="dxa" w:w="8730"/>
        <w:jc w:val="center"/>
        <w:tblLayout w:type="fixed"/>
        <w:tblLook w:firstColumn="1" w:firstRow="1" w:lastColumn="0" w:lastRow="0" w:noHBand="0" w:noVBand="1" w:val="04A0"/>
        <w:tblBorders>
          <w:top w:val="single" w:sz="6" w:color="C8CFC8"/>
          <w:left w:val="single" w:sz="6" w:color="C8CFC8"/>
          <w:bottom w:val="single" w:sz="6" w:color="C8CFC8"/>
          <w:right w:val="single" w:sz="6" w:color="C8CFC8"/>
          <w:insideH w:val="single" w:sz="6" w:color="C8CFC8"/>
          <w:insideV w:val="single" w:sz="6" w:color="C8CFC8"/>
        </w:tblBorders>
      </w:tblPr>
      <w:tblGrid>
        <w:gridCol w:w="1133"/>
        <w:gridCol w:w="2381"/>
        <w:gridCol w:w="2891"/>
        <w:gridCol w:w="2324"/>
      </w:tblGrid>
      <w:tr>
        <w:trPr>
          <w:tblHeader/>
        </w:trPr>
        <w:tc>
          <w:tcPr>
            <w:tcW w:type="dxa" w:w="1133"/>
            <w:shd w:fill="19352D"/>
            <w:tcMar>
              <w:top w:w="90" w:type="dxa"/>
              <w:left w:w="100" w:type="dxa"/>
              <w:bottom w:w="90" w:type="dxa"/>
              <w:right w:w="100" w:type="dxa"/>
            </w:tcMar>
            <w:vAlign w:val="center"/>
          </w:tcPr>
          <w:p>
            <w:pPr>
              <w:spacing w:after="0"/>
              <w:jc w:val="center"/>
            </w:pPr>
            <w:r>
              <w:rPr>
                <w:rFonts w:ascii="DFKai-SB" w:hAnsi="DFKai-SB" w:eastAsia="DFKai-SB" w:cs="DFKai-SB"/>
                <w:b/>
                <w:i w:val="0"/>
                <w:color w:val="FFFFFF"/>
                <w:sz w:val="18"/>
              </w:rPr>
              <w:t>優先序</w:t>
            </w:r>
          </w:p>
        </w:tc>
        <w:tc>
          <w:tcPr>
            <w:tcW w:type="dxa" w:w="2381"/>
            <w:shd w:fill="19352D"/>
            <w:tcMar>
              <w:top w:w="90" w:type="dxa"/>
              <w:left w:w="100" w:type="dxa"/>
              <w:bottom w:w="90" w:type="dxa"/>
              <w:right w:w="100" w:type="dxa"/>
            </w:tcMar>
            <w:vAlign w:val="center"/>
          </w:tcPr>
          <w:p>
            <w:pPr>
              <w:spacing w:after="0"/>
              <w:jc w:val="center"/>
            </w:pPr>
            <w:r>
              <w:rPr>
                <w:rFonts w:ascii="DFKai-SB" w:hAnsi="DFKai-SB" w:eastAsia="DFKai-SB" w:cs="DFKai-SB"/>
                <w:b/>
                <w:i w:val="0"/>
                <w:color w:val="FFFFFF"/>
                <w:sz w:val="18"/>
              </w:rPr>
              <w:t>缺口</w:t>
            </w:r>
          </w:p>
        </w:tc>
        <w:tc>
          <w:tcPr>
            <w:tcW w:type="dxa" w:w="2891"/>
            <w:shd w:fill="19352D"/>
            <w:tcMar>
              <w:top w:w="90" w:type="dxa"/>
              <w:left w:w="100" w:type="dxa"/>
              <w:bottom w:w="90" w:type="dxa"/>
              <w:right w:w="100" w:type="dxa"/>
            </w:tcMar>
            <w:vAlign w:val="center"/>
          </w:tcPr>
          <w:p>
            <w:pPr>
              <w:spacing w:after="0"/>
              <w:jc w:val="center"/>
            </w:pPr>
            <w:r>
              <w:rPr>
                <w:rFonts w:ascii="DFKai-SB" w:hAnsi="DFKai-SB" w:eastAsia="DFKai-SB" w:cs="DFKai-SB"/>
                <w:b/>
                <w:i w:val="0"/>
                <w:color w:val="FFFFFF"/>
                <w:sz w:val="18"/>
              </w:rPr>
              <w:t>可回答的問題</w:t>
            </w:r>
          </w:p>
        </w:tc>
        <w:tc>
          <w:tcPr>
            <w:tcW w:type="dxa" w:w="2324"/>
            <w:shd w:fill="19352D"/>
            <w:tcMar>
              <w:top w:w="90" w:type="dxa"/>
              <w:left w:w="100" w:type="dxa"/>
              <w:bottom w:w="90" w:type="dxa"/>
              <w:right w:w="100" w:type="dxa"/>
            </w:tcMar>
            <w:vAlign w:val="center"/>
          </w:tcPr>
          <w:p>
            <w:pPr>
              <w:spacing w:after="0"/>
              <w:jc w:val="center"/>
            </w:pPr>
            <w:r>
              <w:rPr>
                <w:rFonts w:ascii="DFKai-SB" w:hAnsi="DFKai-SB" w:eastAsia="DFKai-SB" w:cs="DFKai-SB"/>
                <w:b/>
                <w:i w:val="0"/>
                <w:color w:val="FFFFFF"/>
                <w:sz w:val="18"/>
              </w:rPr>
              <w:t>建議下一步</w:t>
            </w:r>
          </w:p>
        </w:tc>
      </w:tr>
      <w:tr>
        <w:tc>
          <w:tcPr>
            <w:tcW w:type="dxa" w:w="1133"/>
            <w:tcMar>
              <w:top w:w="90" w:type="dxa"/>
              <w:left w:w="100" w:type="dxa"/>
              <w:bottom w:w="90" w:type="dxa"/>
              <w:right w:w="100" w:type="dxa"/>
            </w:tcMar>
            <w:vAlign w:val="center"/>
          </w:tcPr>
          <w:p>
            <w:pPr>
              <w:spacing w:after="0" w:line="276" w:lineRule="auto"/>
              <w:jc w:val="left"/>
            </w:pPr>
            <w:r>
              <w:rPr>
                <w:rFonts w:ascii="DFKai-SB" w:hAnsi="DFKai-SB" w:eastAsia="DFKai-SB" w:cs="DFKai-SB"/>
                <w:b/>
                <w:i w:val="0"/>
                <w:color w:val="19352D"/>
                <w:sz w:val="17"/>
              </w:rPr>
              <w:t>P1</w:t>
            </w:r>
          </w:p>
        </w:tc>
        <w:tc>
          <w:tcPr>
            <w:tcW w:type="dxa" w:w="2381"/>
            <w:tcMar>
              <w:top w:w="90" w:type="dxa"/>
              <w:left w:w="100" w:type="dxa"/>
              <w:bottom w:w="90" w:type="dxa"/>
              <w:right w:w="100" w:type="dxa"/>
            </w:tcMar>
            <w:vAlign w:val="center"/>
          </w:tcPr>
          <w:p>
            <w:pPr>
              <w:spacing w:after="0" w:line="276" w:lineRule="auto"/>
              <w:jc w:val="both"/>
            </w:pPr>
            <w:r>
              <w:rPr>
                <w:rFonts w:ascii="DFKai-SB" w:hAnsi="DFKai-SB" w:eastAsia="DFKai-SB" w:cs="DFKai-SB"/>
                <w:b w:val="0"/>
                <w:i w:val="0"/>
                <w:color w:val="19352D"/>
                <w:sz w:val="17"/>
              </w:rPr>
              <w:t>第14、15章：非主流方言與雙語差異／障礙</w:t>
            </w:r>
          </w:p>
        </w:tc>
        <w:tc>
          <w:tcPr>
            <w:tcW w:type="dxa" w:w="2891"/>
            <w:tcMar>
              <w:top w:w="90" w:type="dxa"/>
              <w:left w:w="100" w:type="dxa"/>
              <w:bottom w:w="90" w:type="dxa"/>
              <w:right w:w="100" w:type="dxa"/>
            </w:tcMar>
            <w:vAlign w:val="center"/>
          </w:tcPr>
          <w:p>
            <w:pPr>
              <w:spacing w:after="0" w:line="276" w:lineRule="auto"/>
              <w:jc w:val="both"/>
            </w:pPr>
            <w:r>
              <w:rPr>
                <w:rFonts w:ascii="DFKai-SB" w:hAnsi="DFKai-SB" w:eastAsia="DFKai-SB" w:cs="DFKai-SB"/>
                <w:b w:val="0"/>
                <w:i w:val="0"/>
                <w:color w:val="19352D"/>
                <w:sz w:val="17"/>
              </w:rPr>
              <w:t>低分如何由語言差異、文化陌生或神經認知變化解釋？</w:t>
            </w:r>
          </w:p>
        </w:tc>
        <w:tc>
          <w:tcPr>
            <w:tcW w:type="dxa" w:w="2324"/>
            <w:tcMar>
              <w:top w:w="90" w:type="dxa"/>
              <w:left w:w="100" w:type="dxa"/>
              <w:bottom w:w="90" w:type="dxa"/>
              <w:right w:w="100" w:type="dxa"/>
            </w:tcMar>
            <w:vAlign w:val="center"/>
          </w:tcPr>
          <w:p>
            <w:pPr>
              <w:spacing w:after="0" w:line="276" w:lineRule="auto"/>
              <w:jc w:val="both"/>
            </w:pPr>
            <w:r>
              <w:rPr>
                <w:rFonts w:ascii="DFKai-SB" w:hAnsi="DFKai-SB" w:eastAsia="DFKai-SB" w:cs="DFKai-SB"/>
                <w:b w:val="0"/>
                <w:i w:val="0"/>
                <w:color w:val="19352D"/>
                <w:sz w:val="17"/>
              </w:rPr>
              <w:t>建立阿美語—華語雙語基線、動態評量與多重證據判讀規則</w:t>
            </w:r>
          </w:p>
        </w:tc>
      </w:tr>
      <w:tr>
        <w:tc>
          <w:tcPr>
            <w:tcW w:type="dxa" w:w="1133"/>
            <w:shd w:fill="F7F3EA"/>
            <w:tcMar>
              <w:top w:w="90" w:type="dxa"/>
              <w:left w:w="100" w:type="dxa"/>
              <w:bottom w:w="90" w:type="dxa"/>
              <w:right w:w="100" w:type="dxa"/>
            </w:tcMar>
            <w:vAlign w:val="center"/>
          </w:tcPr>
          <w:p>
            <w:pPr>
              <w:spacing w:after="0" w:line="276" w:lineRule="auto"/>
              <w:jc w:val="left"/>
            </w:pPr>
            <w:r>
              <w:rPr>
                <w:rFonts w:ascii="DFKai-SB" w:hAnsi="DFKai-SB" w:eastAsia="DFKai-SB" w:cs="DFKai-SB"/>
                <w:b/>
                <w:i w:val="0"/>
                <w:color w:val="19352D"/>
                <w:sz w:val="17"/>
              </w:rPr>
              <w:t>P1</w:t>
            </w:r>
          </w:p>
        </w:tc>
        <w:tc>
          <w:tcPr>
            <w:tcW w:type="dxa" w:w="2381"/>
            <w:shd w:fill="F7F3EA"/>
            <w:tcMar>
              <w:top w:w="90" w:type="dxa"/>
              <w:left w:w="100" w:type="dxa"/>
              <w:bottom w:w="90" w:type="dxa"/>
              <w:right w:w="100" w:type="dxa"/>
            </w:tcMar>
            <w:vAlign w:val="center"/>
          </w:tcPr>
          <w:p>
            <w:pPr>
              <w:spacing w:after="0" w:line="276" w:lineRule="auto"/>
              <w:jc w:val="both"/>
            </w:pPr>
            <w:r>
              <w:rPr>
                <w:rFonts w:ascii="DFKai-SB" w:hAnsi="DFKai-SB" w:eastAsia="DFKai-SB" w:cs="DFKai-SB"/>
                <w:b w:val="0"/>
                <w:i w:val="0"/>
                <w:color w:val="19352D"/>
                <w:sz w:val="17"/>
              </w:rPr>
              <w:t>病前多語功能缺乏標準化生命史紀錄</w:t>
            </w:r>
          </w:p>
        </w:tc>
        <w:tc>
          <w:tcPr>
            <w:tcW w:type="dxa" w:w="2891"/>
            <w:shd w:fill="F7F3EA"/>
            <w:tcMar>
              <w:top w:w="90" w:type="dxa"/>
              <w:left w:w="100" w:type="dxa"/>
              <w:bottom w:w="90" w:type="dxa"/>
              <w:right w:w="100" w:type="dxa"/>
            </w:tcMar>
            <w:vAlign w:val="center"/>
          </w:tcPr>
          <w:p>
            <w:pPr>
              <w:spacing w:after="0" w:line="276" w:lineRule="auto"/>
              <w:jc w:val="both"/>
            </w:pPr>
            <w:r>
              <w:rPr>
                <w:rFonts w:ascii="DFKai-SB" w:hAnsi="DFKai-SB" w:eastAsia="DFKai-SB" w:cs="DFKai-SB"/>
                <w:b w:val="0"/>
                <w:i w:val="0"/>
                <w:color w:val="19352D"/>
                <w:sz w:val="17"/>
              </w:rPr>
              <w:t>目前表現相對於個人一生的哪一階段？</w:t>
            </w:r>
          </w:p>
        </w:tc>
        <w:tc>
          <w:tcPr>
            <w:tcW w:type="dxa" w:w="2324"/>
            <w:shd w:fill="F7F3EA"/>
            <w:tcMar>
              <w:top w:w="90" w:type="dxa"/>
              <w:left w:w="100" w:type="dxa"/>
              <w:bottom w:w="90" w:type="dxa"/>
              <w:right w:w="100" w:type="dxa"/>
            </w:tcMar>
            <w:vAlign w:val="center"/>
          </w:tcPr>
          <w:p>
            <w:pPr>
              <w:spacing w:after="0" w:line="276" w:lineRule="auto"/>
              <w:jc w:val="both"/>
            </w:pPr>
            <w:r>
              <w:rPr>
                <w:rFonts w:ascii="DFKai-SB" w:hAnsi="DFKai-SB" w:eastAsia="DFKai-SB" w:cs="DFKai-SB"/>
                <w:b w:val="0"/>
                <w:i w:val="0"/>
                <w:color w:val="19352D"/>
                <w:sz w:val="17"/>
              </w:rPr>
              <w:t>設計事件時間軸並以家屬、社群與文件交叉核對</w:t>
            </w:r>
          </w:p>
        </w:tc>
      </w:tr>
      <w:tr>
        <w:tc>
          <w:tcPr>
            <w:tcW w:type="dxa" w:w="1133"/>
            <w:tcMar>
              <w:top w:w="90" w:type="dxa"/>
              <w:left w:w="100" w:type="dxa"/>
              <w:bottom w:w="90" w:type="dxa"/>
              <w:right w:w="100" w:type="dxa"/>
            </w:tcMar>
            <w:vAlign w:val="center"/>
          </w:tcPr>
          <w:p>
            <w:pPr>
              <w:spacing w:after="0" w:line="276" w:lineRule="auto"/>
              <w:jc w:val="left"/>
            </w:pPr>
            <w:r>
              <w:rPr>
                <w:rFonts w:ascii="DFKai-SB" w:hAnsi="DFKai-SB" w:eastAsia="DFKai-SB" w:cs="DFKai-SB"/>
                <w:b/>
                <w:i w:val="0"/>
                <w:color w:val="19352D"/>
                <w:sz w:val="17"/>
              </w:rPr>
              <w:t>P1</w:t>
            </w:r>
          </w:p>
        </w:tc>
        <w:tc>
          <w:tcPr>
            <w:tcW w:type="dxa" w:w="2381"/>
            <w:tcMar>
              <w:top w:w="90" w:type="dxa"/>
              <w:left w:w="100" w:type="dxa"/>
              <w:bottom w:w="90" w:type="dxa"/>
              <w:right w:w="100" w:type="dxa"/>
            </w:tcMar>
            <w:vAlign w:val="center"/>
          </w:tcPr>
          <w:p>
            <w:pPr>
              <w:spacing w:after="0" w:line="276" w:lineRule="auto"/>
              <w:jc w:val="both"/>
            </w:pPr>
            <w:r>
              <w:rPr>
                <w:rFonts w:ascii="DFKai-SB" w:hAnsi="DFKai-SB" w:eastAsia="DFKai-SB" w:cs="DFKai-SB"/>
                <w:b w:val="0"/>
                <w:i w:val="0"/>
                <w:color w:val="19352D"/>
                <w:sz w:val="17"/>
              </w:rPr>
              <w:t>阿美語方言／變體與任務公平性證據不足</w:t>
            </w:r>
          </w:p>
        </w:tc>
        <w:tc>
          <w:tcPr>
            <w:tcW w:type="dxa" w:w="2891"/>
            <w:tcMar>
              <w:top w:w="90" w:type="dxa"/>
              <w:left w:w="100" w:type="dxa"/>
              <w:bottom w:w="90" w:type="dxa"/>
              <w:right w:w="100" w:type="dxa"/>
            </w:tcMar>
            <w:vAlign w:val="center"/>
          </w:tcPr>
          <w:p>
            <w:pPr>
              <w:spacing w:after="0" w:line="276" w:lineRule="auto"/>
              <w:jc w:val="both"/>
            </w:pPr>
            <w:r>
              <w:rPr>
                <w:rFonts w:ascii="DFKai-SB" w:hAnsi="DFKai-SB" w:eastAsia="DFKai-SB" w:cs="DFKai-SB"/>
                <w:b w:val="0"/>
                <w:i w:val="0"/>
                <w:color w:val="19352D"/>
                <w:sz w:val="17"/>
              </w:rPr>
              <w:t>哪些題項測到的是變體差異，而非能力？</w:t>
            </w:r>
          </w:p>
        </w:tc>
        <w:tc>
          <w:tcPr>
            <w:tcW w:type="dxa" w:w="2324"/>
            <w:tcMar>
              <w:top w:w="90" w:type="dxa"/>
              <w:left w:w="100" w:type="dxa"/>
              <w:bottom w:w="90" w:type="dxa"/>
              <w:right w:w="100" w:type="dxa"/>
            </w:tcMar>
            <w:vAlign w:val="center"/>
          </w:tcPr>
          <w:p>
            <w:pPr>
              <w:spacing w:after="0" w:line="276" w:lineRule="auto"/>
              <w:jc w:val="both"/>
            </w:pPr>
            <w:r>
              <w:rPr>
                <w:rFonts w:ascii="DFKai-SB" w:hAnsi="DFKai-SB" w:eastAsia="DFKai-SB" w:cs="DFKai-SB"/>
                <w:b w:val="0"/>
                <w:i w:val="0"/>
                <w:color w:val="19352D"/>
                <w:sz w:val="17"/>
              </w:rPr>
              <w:t>進行認知訪談、方言審查與差異項目分析</w:t>
            </w:r>
          </w:p>
        </w:tc>
      </w:tr>
      <w:tr>
        <w:tc>
          <w:tcPr>
            <w:tcW w:type="dxa" w:w="1133"/>
            <w:shd w:fill="F7F3EA"/>
            <w:tcMar>
              <w:top w:w="90" w:type="dxa"/>
              <w:left w:w="100" w:type="dxa"/>
              <w:bottom w:w="90" w:type="dxa"/>
              <w:right w:w="100" w:type="dxa"/>
            </w:tcMar>
            <w:vAlign w:val="center"/>
          </w:tcPr>
          <w:p>
            <w:pPr>
              <w:spacing w:after="0" w:line="276" w:lineRule="auto"/>
              <w:jc w:val="left"/>
            </w:pPr>
            <w:r>
              <w:rPr>
                <w:rFonts w:ascii="DFKai-SB" w:hAnsi="DFKai-SB" w:eastAsia="DFKai-SB" w:cs="DFKai-SB"/>
                <w:b/>
                <w:i w:val="0"/>
                <w:color w:val="19352D"/>
                <w:sz w:val="17"/>
              </w:rPr>
              <w:t>P2</w:t>
            </w:r>
          </w:p>
        </w:tc>
        <w:tc>
          <w:tcPr>
            <w:tcW w:type="dxa" w:w="2381"/>
            <w:shd w:fill="F7F3EA"/>
            <w:tcMar>
              <w:top w:w="90" w:type="dxa"/>
              <w:left w:w="100" w:type="dxa"/>
              <w:bottom w:w="90" w:type="dxa"/>
              <w:right w:w="100" w:type="dxa"/>
            </w:tcMar>
            <w:vAlign w:val="center"/>
          </w:tcPr>
          <w:p>
            <w:pPr>
              <w:spacing w:after="0" w:line="276" w:lineRule="auto"/>
              <w:jc w:val="both"/>
            </w:pPr>
            <w:r>
              <w:rPr>
                <w:rFonts w:ascii="DFKai-SB" w:hAnsi="DFKai-SB" w:eastAsia="DFKai-SB" w:cs="DFKai-SB"/>
                <w:b w:val="0"/>
                <w:i w:val="0"/>
                <w:color w:val="19352D"/>
                <w:sz w:val="17"/>
              </w:rPr>
              <w:t>第2、8章：社會變異比較證據未補</w:t>
            </w:r>
          </w:p>
        </w:tc>
        <w:tc>
          <w:tcPr>
            <w:tcW w:type="dxa" w:w="2891"/>
            <w:shd w:fill="F7F3EA"/>
            <w:tcMar>
              <w:top w:w="90" w:type="dxa"/>
              <w:left w:w="100" w:type="dxa"/>
              <w:bottom w:w="90" w:type="dxa"/>
              <w:right w:w="100" w:type="dxa"/>
            </w:tcMar>
            <w:vAlign w:val="center"/>
          </w:tcPr>
          <w:p>
            <w:pPr>
              <w:spacing w:after="0" w:line="276" w:lineRule="auto"/>
              <w:jc w:val="both"/>
            </w:pPr>
            <w:r>
              <w:rPr>
                <w:rFonts w:ascii="DFKai-SB" w:hAnsi="DFKai-SB" w:eastAsia="DFKai-SB" w:cs="DFKai-SB"/>
                <w:b w:val="0"/>
                <w:i w:val="0"/>
                <w:color w:val="19352D"/>
                <w:sz w:val="17"/>
              </w:rPr>
              <w:t>如何證明非標準形式不等於病理？</w:t>
            </w:r>
          </w:p>
        </w:tc>
        <w:tc>
          <w:tcPr>
            <w:tcW w:type="dxa" w:w="2324"/>
            <w:shd w:fill="F7F3EA"/>
            <w:tcMar>
              <w:top w:w="90" w:type="dxa"/>
              <w:left w:w="100" w:type="dxa"/>
              <w:bottom w:w="90" w:type="dxa"/>
              <w:right w:w="100" w:type="dxa"/>
            </w:tcMar>
            <w:vAlign w:val="center"/>
          </w:tcPr>
          <w:p>
            <w:pPr>
              <w:spacing w:after="0" w:line="276" w:lineRule="auto"/>
              <w:jc w:val="both"/>
            </w:pPr>
            <w:r>
              <w:rPr>
                <w:rFonts w:ascii="DFKai-SB" w:hAnsi="DFKai-SB" w:eastAsia="DFKai-SB" w:cs="DFKai-SB"/>
                <w:b w:val="0"/>
                <w:i w:val="0"/>
                <w:color w:val="19352D"/>
                <w:sz w:val="17"/>
              </w:rPr>
              <w:t>補讀跨語群個案並建立臨床誤判案例庫</w:t>
            </w:r>
          </w:p>
        </w:tc>
      </w:tr>
      <w:tr>
        <w:tc>
          <w:tcPr>
            <w:tcW w:type="dxa" w:w="1133"/>
            <w:tcMar>
              <w:top w:w="90" w:type="dxa"/>
              <w:left w:w="100" w:type="dxa"/>
              <w:bottom w:w="90" w:type="dxa"/>
              <w:right w:w="100" w:type="dxa"/>
            </w:tcMar>
            <w:vAlign w:val="center"/>
          </w:tcPr>
          <w:p>
            <w:pPr>
              <w:spacing w:after="0" w:line="276" w:lineRule="auto"/>
              <w:jc w:val="left"/>
            </w:pPr>
            <w:r>
              <w:rPr>
                <w:rFonts w:ascii="DFKai-SB" w:hAnsi="DFKai-SB" w:eastAsia="DFKai-SB" w:cs="DFKai-SB"/>
                <w:b/>
                <w:i w:val="0"/>
                <w:color w:val="19352D"/>
                <w:sz w:val="17"/>
              </w:rPr>
              <w:t>P2</w:t>
            </w:r>
          </w:p>
        </w:tc>
        <w:tc>
          <w:tcPr>
            <w:tcW w:type="dxa" w:w="2381"/>
            <w:tcMar>
              <w:top w:w="90" w:type="dxa"/>
              <w:left w:w="100" w:type="dxa"/>
              <w:bottom w:w="90" w:type="dxa"/>
              <w:right w:w="100" w:type="dxa"/>
            </w:tcMar>
            <w:vAlign w:val="center"/>
          </w:tcPr>
          <w:p>
            <w:pPr>
              <w:spacing w:after="0" w:line="276" w:lineRule="auto"/>
              <w:jc w:val="both"/>
            </w:pPr>
            <w:r>
              <w:rPr>
                <w:rFonts w:ascii="DFKai-SB" w:hAnsi="DFKai-SB" w:eastAsia="DFKai-SB" w:cs="DFKai-SB"/>
                <w:b w:val="0"/>
                <w:i w:val="0"/>
                <w:color w:val="19352D"/>
                <w:sz w:val="17"/>
              </w:rPr>
              <w:t>自然互動語料與結構式測驗尚未連結</w:t>
            </w:r>
          </w:p>
        </w:tc>
        <w:tc>
          <w:tcPr>
            <w:tcW w:type="dxa" w:w="2891"/>
            <w:tcMar>
              <w:top w:w="90" w:type="dxa"/>
              <w:left w:w="100" w:type="dxa"/>
              <w:bottom w:w="90" w:type="dxa"/>
              <w:right w:w="100" w:type="dxa"/>
            </w:tcMar>
            <w:vAlign w:val="center"/>
          </w:tcPr>
          <w:p>
            <w:pPr>
              <w:spacing w:after="0" w:line="276" w:lineRule="auto"/>
              <w:jc w:val="both"/>
            </w:pPr>
            <w:r>
              <w:rPr>
                <w:rFonts w:ascii="DFKai-SB" w:hAnsi="DFKai-SB" w:eastAsia="DFKai-SB" w:cs="DFKai-SB"/>
                <w:b w:val="0"/>
                <w:i w:val="0"/>
                <w:color w:val="19352D"/>
                <w:sz w:val="17"/>
              </w:rPr>
              <w:t>測驗表現能否代表日常溝通功能？</w:t>
            </w:r>
          </w:p>
        </w:tc>
        <w:tc>
          <w:tcPr>
            <w:tcW w:type="dxa" w:w="2324"/>
            <w:tcMar>
              <w:top w:w="90" w:type="dxa"/>
              <w:left w:w="100" w:type="dxa"/>
              <w:bottom w:w="90" w:type="dxa"/>
              <w:right w:w="100" w:type="dxa"/>
            </w:tcMar>
            <w:vAlign w:val="center"/>
          </w:tcPr>
          <w:p>
            <w:pPr>
              <w:spacing w:after="0" w:line="276" w:lineRule="auto"/>
              <w:jc w:val="both"/>
            </w:pPr>
            <w:r>
              <w:rPr>
                <w:rFonts w:ascii="DFKai-SB" w:hAnsi="DFKai-SB" w:eastAsia="DFKai-SB" w:cs="DFKai-SB"/>
                <w:b w:val="0"/>
                <w:i w:val="0"/>
                <w:color w:val="19352D"/>
                <w:sz w:val="17"/>
              </w:rPr>
              <w:t>同日蒐集敘事、對話、任務與場域使用資料</w:t>
            </w:r>
          </w:p>
        </w:tc>
      </w:tr>
      <w:tr>
        <w:tc>
          <w:tcPr>
            <w:tcW w:type="dxa" w:w="1133"/>
            <w:shd w:fill="F7F3EA"/>
            <w:tcMar>
              <w:top w:w="90" w:type="dxa"/>
              <w:left w:w="100" w:type="dxa"/>
              <w:bottom w:w="90" w:type="dxa"/>
              <w:right w:w="100" w:type="dxa"/>
            </w:tcMar>
            <w:vAlign w:val="center"/>
          </w:tcPr>
          <w:p>
            <w:pPr>
              <w:spacing w:after="0" w:line="276" w:lineRule="auto"/>
              <w:jc w:val="left"/>
            </w:pPr>
            <w:r>
              <w:rPr>
                <w:rFonts w:ascii="DFKai-SB" w:hAnsi="DFKai-SB" w:eastAsia="DFKai-SB" w:cs="DFKai-SB"/>
                <w:b/>
                <w:i w:val="0"/>
                <w:color w:val="19352D"/>
                <w:sz w:val="17"/>
              </w:rPr>
              <w:t>P2</w:t>
            </w:r>
          </w:p>
        </w:tc>
        <w:tc>
          <w:tcPr>
            <w:tcW w:type="dxa" w:w="2381"/>
            <w:shd w:fill="F7F3EA"/>
            <w:tcMar>
              <w:top w:w="90" w:type="dxa"/>
              <w:left w:w="100" w:type="dxa"/>
              <w:bottom w:w="90" w:type="dxa"/>
              <w:right w:w="100" w:type="dxa"/>
            </w:tcMar>
            <w:vAlign w:val="center"/>
          </w:tcPr>
          <w:p>
            <w:pPr>
              <w:spacing w:after="0" w:line="276" w:lineRule="auto"/>
              <w:jc w:val="both"/>
            </w:pPr>
            <w:r>
              <w:rPr>
                <w:rFonts w:ascii="DFKai-SB" w:hAnsi="DFKai-SB" w:eastAsia="DFKai-SB" w:cs="DFKai-SB"/>
                <w:b w:val="0"/>
                <w:i w:val="0"/>
                <w:color w:val="19352D"/>
                <w:sz w:val="17"/>
              </w:rPr>
              <w:t>口譯／協作者效應未被量化</w:t>
            </w:r>
          </w:p>
        </w:tc>
        <w:tc>
          <w:tcPr>
            <w:tcW w:type="dxa" w:w="2891"/>
            <w:shd w:fill="F7F3EA"/>
            <w:tcMar>
              <w:top w:w="90" w:type="dxa"/>
              <w:left w:w="100" w:type="dxa"/>
              <w:bottom w:w="90" w:type="dxa"/>
              <w:right w:w="100" w:type="dxa"/>
            </w:tcMar>
            <w:vAlign w:val="center"/>
          </w:tcPr>
          <w:p>
            <w:pPr>
              <w:spacing w:after="0" w:line="276" w:lineRule="auto"/>
              <w:jc w:val="both"/>
            </w:pPr>
            <w:r>
              <w:rPr>
                <w:rFonts w:ascii="DFKai-SB" w:hAnsi="DFKai-SB" w:eastAsia="DFKai-SB" w:cs="DFKai-SB"/>
                <w:b w:val="0"/>
                <w:i w:val="0"/>
                <w:color w:val="19352D"/>
                <w:sz w:val="17"/>
              </w:rPr>
              <w:t>提示、改述與關係位置如何改變結果？</w:t>
            </w:r>
          </w:p>
        </w:tc>
        <w:tc>
          <w:tcPr>
            <w:tcW w:type="dxa" w:w="2324"/>
            <w:shd w:fill="F7F3EA"/>
            <w:tcMar>
              <w:top w:w="90" w:type="dxa"/>
              <w:left w:w="100" w:type="dxa"/>
              <w:bottom w:w="90" w:type="dxa"/>
              <w:right w:w="100" w:type="dxa"/>
            </w:tcMar>
            <w:vAlign w:val="center"/>
          </w:tcPr>
          <w:p>
            <w:pPr>
              <w:spacing w:after="0" w:line="276" w:lineRule="auto"/>
              <w:jc w:val="both"/>
            </w:pPr>
            <w:r>
              <w:rPr>
                <w:rFonts w:ascii="DFKai-SB" w:hAnsi="DFKai-SB" w:eastAsia="DFKai-SB" w:cs="DFKai-SB"/>
                <w:b w:val="0"/>
                <w:i w:val="0"/>
                <w:color w:val="19352D"/>
                <w:sz w:val="17"/>
              </w:rPr>
              <w:t>保留雙語原始語料並標記每次協助</w:t>
            </w:r>
          </w:p>
        </w:tc>
      </w:tr>
      <w:tr>
        <w:tc>
          <w:tcPr>
            <w:tcW w:type="dxa" w:w="1133"/>
            <w:tcMar>
              <w:top w:w="90" w:type="dxa"/>
              <w:left w:w="100" w:type="dxa"/>
              <w:bottom w:w="90" w:type="dxa"/>
              <w:right w:w="100" w:type="dxa"/>
            </w:tcMar>
            <w:vAlign w:val="center"/>
          </w:tcPr>
          <w:p>
            <w:pPr>
              <w:spacing w:after="0" w:line="276" w:lineRule="auto"/>
              <w:jc w:val="left"/>
            </w:pPr>
            <w:r>
              <w:rPr>
                <w:rFonts w:ascii="DFKai-SB" w:hAnsi="DFKai-SB" w:eastAsia="DFKai-SB" w:cs="DFKai-SB"/>
                <w:b/>
                <w:i w:val="0"/>
                <w:color w:val="19352D"/>
                <w:sz w:val="17"/>
              </w:rPr>
              <w:t>P3</w:t>
            </w:r>
          </w:p>
        </w:tc>
        <w:tc>
          <w:tcPr>
            <w:tcW w:type="dxa" w:w="2381"/>
            <w:tcMar>
              <w:top w:w="90" w:type="dxa"/>
              <w:left w:w="100" w:type="dxa"/>
              <w:bottom w:w="90" w:type="dxa"/>
              <w:right w:w="100" w:type="dxa"/>
            </w:tcMar>
            <w:vAlign w:val="center"/>
          </w:tcPr>
          <w:p>
            <w:pPr>
              <w:spacing w:after="0" w:line="276" w:lineRule="auto"/>
              <w:jc w:val="both"/>
            </w:pPr>
            <w:r>
              <w:rPr>
                <w:rFonts w:ascii="DFKai-SB" w:hAnsi="DFKai-SB" w:eastAsia="DFKai-SB" w:cs="DFKai-SB"/>
                <w:b w:val="0"/>
                <w:i w:val="0"/>
                <w:color w:val="19352D"/>
                <w:sz w:val="17"/>
              </w:rPr>
              <w:t>第20章：手語與多模態溝通未補</w:t>
            </w:r>
          </w:p>
        </w:tc>
        <w:tc>
          <w:tcPr>
            <w:tcW w:type="dxa" w:w="2891"/>
            <w:tcMar>
              <w:top w:w="90" w:type="dxa"/>
              <w:left w:w="100" w:type="dxa"/>
              <w:bottom w:w="90" w:type="dxa"/>
              <w:right w:w="100" w:type="dxa"/>
            </w:tcMar>
            <w:vAlign w:val="center"/>
          </w:tcPr>
          <w:p>
            <w:pPr>
              <w:spacing w:after="0" w:line="276" w:lineRule="auto"/>
              <w:jc w:val="both"/>
            </w:pPr>
            <w:r>
              <w:rPr>
                <w:rFonts w:ascii="DFKai-SB" w:hAnsi="DFKai-SB" w:eastAsia="DFKai-SB" w:cs="DFKai-SB"/>
                <w:b w:val="0"/>
                <w:i w:val="0"/>
                <w:color w:val="19352D"/>
                <w:sz w:val="17"/>
              </w:rPr>
              <w:t>研究是否忽略手勢、書寫與非口語資源？</w:t>
            </w:r>
          </w:p>
        </w:tc>
        <w:tc>
          <w:tcPr>
            <w:tcW w:type="dxa" w:w="2324"/>
            <w:tcMar>
              <w:top w:w="90" w:type="dxa"/>
              <w:left w:w="100" w:type="dxa"/>
              <w:bottom w:w="90" w:type="dxa"/>
              <w:right w:w="100" w:type="dxa"/>
            </w:tcMar>
            <w:vAlign w:val="center"/>
          </w:tcPr>
          <w:p>
            <w:pPr>
              <w:spacing w:after="0" w:line="276" w:lineRule="auto"/>
              <w:jc w:val="both"/>
            </w:pPr>
            <w:r>
              <w:rPr>
                <w:rFonts w:ascii="DFKai-SB" w:hAnsi="DFKai-SB" w:eastAsia="DFKai-SB" w:cs="DFKai-SB"/>
                <w:b w:val="0"/>
                <w:i w:val="0"/>
                <w:color w:val="19352D"/>
                <w:sz w:val="17"/>
              </w:rPr>
              <w:t>建立多模態編碼規則與可近用流程</w:t>
            </w:r>
          </w:p>
        </w:tc>
      </w:tr>
      <w:tr>
        <w:tc>
          <w:tcPr>
            <w:tcW w:type="dxa" w:w="1133"/>
            <w:shd w:fill="F7F3EA"/>
            <w:tcMar>
              <w:top w:w="90" w:type="dxa"/>
              <w:left w:w="100" w:type="dxa"/>
              <w:bottom w:w="90" w:type="dxa"/>
              <w:right w:w="100" w:type="dxa"/>
            </w:tcMar>
            <w:vAlign w:val="center"/>
          </w:tcPr>
          <w:p>
            <w:pPr>
              <w:spacing w:after="0" w:line="276" w:lineRule="auto"/>
              <w:jc w:val="left"/>
            </w:pPr>
            <w:r>
              <w:rPr>
                <w:rFonts w:ascii="DFKai-SB" w:hAnsi="DFKai-SB" w:eastAsia="DFKai-SB" w:cs="DFKai-SB"/>
                <w:b/>
                <w:i w:val="0"/>
                <w:color w:val="19352D"/>
                <w:sz w:val="17"/>
              </w:rPr>
              <w:t>P3</w:t>
            </w:r>
          </w:p>
        </w:tc>
        <w:tc>
          <w:tcPr>
            <w:tcW w:type="dxa" w:w="2381"/>
            <w:shd w:fill="F7F3EA"/>
            <w:tcMar>
              <w:top w:w="90" w:type="dxa"/>
              <w:left w:w="100" w:type="dxa"/>
              <w:bottom w:w="90" w:type="dxa"/>
              <w:right w:w="100" w:type="dxa"/>
            </w:tcMar>
            <w:vAlign w:val="center"/>
          </w:tcPr>
          <w:p>
            <w:pPr>
              <w:spacing w:after="0" w:line="276" w:lineRule="auto"/>
              <w:jc w:val="both"/>
            </w:pPr>
            <w:r>
              <w:rPr>
                <w:rFonts w:ascii="DFKai-SB" w:hAnsi="DFKai-SB" w:eastAsia="DFKai-SB" w:cs="DFKai-SB"/>
                <w:b w:val="0"/>
                <w:i w:val="0"/>
                <w:color w:val="19352D"/>
                <w:sz w:val="17"/>
              </w:rPr>
              <w:t>資料主權與撤回機制欠缺實作測試</w:t>
            </w:r>
          </w:p>
        </w:tc>
        <w:tc>
          <w:tcPr>
            <w:tcW w:type="dxa" w:w="2891"/>
            <w:shd w:fill="F7F3EA"/>
            <w:tcMar>
              <w:top w:w="90" w:type="dxa"/>
              <w:left w:w="100" w:type="dxa"/>
              <w:bottom w:w="90" w:type="dxa"/>
              <w:right w:w="100" w:type="dxa"/>
            </w:tcMar>
            <w:vAlign w:val="center"/>
          </w:tcPr>
          <w:p>
            <w:pPr>
              <w:spacing w:after="0" w:line="276" w:lineRule="auto"/>
              <w:jc w:val="both"/>
            </w:pPr>
            <w:r>
              <w:rPr>
                <w:rFonts w:ascii="DFKai-SB" w:hAnsi="DFKai-SB" w:eastAsia="DFKai-SB" w:cs="DFKai-SB"/>
                <w:b w:val="0"/>
                <w:i w:val="0"/>
                <w:color w:val="19352D"/>
                <w:sz w:val="17"/>
              </w:rPr>
              <w:t>社群如何控制後續使用與公開？</w:t>
            </w:r>
          </w:p>
        </w:tc>
        <w:tc>
          <w:tcPr>
            <w:tcW w:type="dxa" w:w="2324"/>
            <w:shd w:fill="F7F3EA"/>
            <w:tcMar>
              <w:top w:w="90" w:type="dxa"/>
              <w:left w:w="100" w:type="dxa"/>
              <w:bottom w:w="90" w:type="dxa"/>
              <w:right w:w="100" w:type="dxa"/>
            </w:tcMar>
            <w:vAlign w:val="center"/>
          </w:tcPr>
          <w:p>
            <w:pPr>
              <w:spacing w:after="0" w:line="276" w:lineRule="auto"/>
              <w:jc w:val="both"/>
            </w:pPr>
            <w:r>
              <w:rPr>
                <w:rFonts w:ascii="DFKai-SB" w:hAnsi="DFKai-SB" w:eastAsia="DFKai-SB" w:cs="DFKai-SB"/>
                <w:b w:val="0"/>
                <w:i w:val="0"/>
                <w:color w:val="19352D"/>
                <w:sz w:val="17"/>
              </w:rPr>
              <w:t>共同制定分級存取、撤回演練與成果回饋週期</w:t>
            </w:r>
          </w:p>
        </w:tc>
      </w:tr>
    </w:tbl>
    <w:p>
      <w:pPr>
        <w:spacing w:before="80" w:after="200" w:line="300" w:lineRule="auto"/>
      </w:pPr>
      <w:r>
        <w:rPr>
          <w:rFonts w:ascii="DFKai-SB" w:hAnsi="DFKai-SB" w:eastAsia="DFKai-SB" w:cs="DFKai-SB"/>
          <w:b w:val="0"/>
          <w:i/>
          <w:color w:val="19352D"/>
          <w:sz w:val="20"/>
        </w:rPr>
        <w:t>註。</w:t>
      </w:r>
      <w:r>
        <w:rPr>
          <w:rFonts w:ascii="DFKai-SB" w:hAnsi="DFKai-SB" w:eastAsia="DFKai-SB" w:cs="DFKai-SB"/>
          <w:b w:val="0"/>
          <w:i w:val="0"/>
          <w:color w:val="19352D"/>
          <w:sz w:val="20"/>
        </w:rPr>
        <w:t xml:space="preserve">Sifo Lakaw 的家庭語言去殖民化研究可支持共同詮釋、語言意識形態與資料治理；Hast 對阿美語數位平台的民族誌則指向數位語料、社群參與及平台治理仍需納入。 </w:t>
      </w:r>
      <w:hyperlink r:id="rId11">
        <w:r>
          <w:rPr>
            <w:rFonts w:ascii="DFKai-SB" w:hAnsi="DFKai-SB" w:eastAsia="DFKai-SB" w:cs="DFKai-SB"/>
            <w:color w:val="0563C1"/>
            <w:u w:val="single"/>
            <w:sz w:val="22"/>
          </w:rPr>
          <w:t>Sifo Lakaw（2024）</w:t>
        </w:r>
      </w:hyperlink>
      <w:r>
        <w:rPr>
          <w:rFonts w:ascii="DFKai-SB" w:hAnsi="DFKai-SB" w:eastAsia="DFKai-SB" w:cs="DFKai-SB"/>
          <w:b w:val="0"/>
          <w:i w:val="0"/>
          <w:color w:val="19352D"/>
          <w:sz w:val="20"/>
        </w:rPr>
        <w:t>；</w:t>
      </w:r>
      <w:hyperlink r:id="rId13">
        <w:r>
          <w:rPr>
            <w:rFonts w:ascii="DFKai-SB" w:hAnsi="DFKai-SB" w:eastAsia="DFKai-SB" w:cs="DFKai-SB"/>
            <w:color w:val="0563C1"/>
            <w:u w:val="single"/>
            <w:sz w:val="22"/>
          </w:rPr>
          <w:t>Hast（2023）</w:t>
        </w:r>
      </w:hyperlink>
      <w:r>
        <w:rPr>
          <w:rFonts w:ascii="DFKai-SB" w:hAnsi="DFKai-SB" w:eastAsia="DFKai-SB" w:cs="DFKai-SB"/>
          <w:b w:val="0"/>
          <w:i w:val="0"/>
          <w:color w:val="19352D"/>
          <w:sz w:val="20"/>
        </w:rPr>
        <w:t>。</w:t>
      </w:r>
    </w:p>
    <w:p>
      <w:pPr>
        <w:keepNext/>
        <w:spacing w:before="200" w:after="0"/>
      </w:pPr>
      <w:r>
        <w:rPr>
          <w:rFonts w:ascii="DFKai-SB" w:hAnsi="DFKai-SB" w:eastAsia="DFKai-SB" w:cs="DFKai-SB"/>
          <w:b/>
          <w:i w:val="0"/>
          <w:color w:val="19352D"/>
          <w:sz w:val="22"/>
        </w:rPr>
        <w:t>圖 3</w:t>
      </w:r>
    </w:p>
    <w:p>
      <w:pPr>
        <w:keepNext/>
        <w:spacing w:after="100"/>
      </w:pPr>
      <w:r>
        <w:rPr>
          <w:rFonts w:ascii="DFKai-SB" w:hAnsi="DFKai-SB" w:eastAsia="DFKai-SB" w:cs="DFKai-SB"/>
          <w:b w:val="0"/>
          <w:i/>
          <w:color w:val="19352D"/>
          <w:sz w:val="22"/>
        </w:rPr>
        <w:t>參與式且可撤回的研究資料流程</w:t>
      </w:r>
    </w:p>
    <w:p>
      <w:pPr>
        <w:spacing w:after="0"/>
        <w:jc w:val="center"/>
      </w:pPr>
      <w:r>
        <w:drawing>
          <wp:inline xmlns:a="http://schemas.openxmlformats.org/drawingml/2006/main" xmlns:pic="http://schemas.openxmlformats.org/drawingml/2006/picture">
            <wp:extent cx="5715000" cy="3095625"/>
            <wp:docPr id="3" name="Picture 3"/>
            <wp:cNvGraphicFramePr>
              <a:graphicFrameLocks noChangeAspect="1"/>
            </wp:cNvGraphicFramePr>
            <a:graphic>
              <a:graphicData uri="http://schemas.openxmlformats.org/drawingml/2006/picture">
                <pic:pic>
                  <pic:nvPicPr>
                    <pic:cNvPr id="0" name="figure-3-pipeline.png"/>
                    <pic:cNvPicPr/>
                  </pic:nvPicPr>
                  <pic:blipFill>
                    <a:blip r:embed="rId18"/>
                    <a:stretch>
                      <a:fillRect/>
                    </a:stretch>
                  </pic:blipFill>
                  <pic:spPr>
                    <a:xfrm>
                      <a:off x="0" y="0"/>
                      <a:ext cx="5715000" cy="3095625"/>
                    </a:xfrm>
                    <a:prstGeom prst="rect"/>
                  </pic:spPr>
                </pic:pic>
              </a:graphicData>
            </a:graphic>
          </wp:inline>
        </w:drawing>
      </w:r>
    </w:p>
    <w:p>
      <w:pPr>
        <w:spacing w:before="80" w:after="200" w:line="300" w:lineRule="auto"/>
      </w:pPr>
      <w:r>
        <w:rPr>
          <w:rFonts w:ascii="DFKai-SB" w:hAnsi="DFKai-SB" w:eastAsia="DFKai-SB" w:cs="DFKai-SB"/>
          <w:b w:val="0"/>
          <w:i/>
          <w:color w:val="19352D"/>
          <w:sz w:val="20"/>
        </w:rPr>
        <w:t>註。</w:t>
      </w:r>
      <w:r>
        <w:rPr>
          <w:rFonts w:ascii="DFKai-SB" w:hAnsi="DFKai-SB" w:eastAsia="DFKai-SB" w:cs="DFKai-SB"/>
          <w:b w:val="0"/>
          <w:i w:val="0"/>
          <w:color w:val="19352D"/>
          <w:sz w:val="20"/>
        </w:rPr>
        <w:t xml:space="preserve">Sifo Lakaw 強調家庭與社群的語言實踐、能動性及去殖民化視角；Hast 的開放阿美語平台研究提醒數位保存不是純技術步驟，而涉及社群規範、參與和再利用。 </w:t>
      </w:r>
      <w:hyperlink r:id="rId11">
        <w:r>
          <w:rPr>
            <w:rFonts w:ascii="DFKai-SB" w:hAnsi="DFKai-SB" w:eastAsia="DFKai-SB" w:cs="DFKai-SB"/>
            <w:color w:val="0563C1"/>
            <w:u w:val="single"/>
            <w:sz w:val="22"/>
          </w:rPr>
          <w:t>Sifo Lakaw（2024）</w:t>
        </w:r>
      </w:hyperlink>
      <w:r>
        <w:rPr>
          <w:rFonts w:ascii="DFKai-SB" w:hAnsi="DFKai-SB" w:eastAsia="DFKai-SB" w:cs="DFKai-SB"/>
          <w:b w:val="0"/>
          <w:i w:val="0"/>
          <w:color w:val="19352D"/>
          <w:sz w:val="20"/>
        </w:rPr>
        <w:t>；</w:t>
      </w:r>
      <w:hyperlink r:id="rId13">
        <w:r>
          <w:rPr>
            <w:rFonts w:ascii="DFKai-SB" w:hAnsi="DFKai-SB" w:eastAsia="DFKai-SB" w:cs="DFKai-SB"/>
            <w:color w:val="0563C1"/>
            <w:u w:val="single"/>
            <w:sz w:val="22"/>
          </w:rPr>
          <w:t>Hast（2023）</w:t>
        </w:r>
      </w:hyperlink>
      <w:r>
        <w:rPr>
          <w:rFonts w:ascii="DFKai-SB" w:hAnsi="DFKai-SB" w:eastAsia="DFKai-SB" w:cs="DFKai-SB"/>
          <w:b w:val="0"/>
          <w:i w:val="0"/>
          <w:color w:val="19352D"/>
          <w:sz w:val="20"/>
        </w:rPr>
        <w:t>。</w:t>
      </w:r>
    </w:p>
    <w:p>
      <w:pPr>
        <w:keepNext/>
        <w:spacing w:before="200" w:after="0"/>
      </w:pPr>
      <w:r>
        <w:rPr>
          <w:rFonts w:ascii="DFKai-SB" w:hAnsi="DFKai-SB" w:eastAsia="DFKai-SB" w:cs="DFKai-SB"/>
          <w:b/>
          <w:i w:val="0"/>
          <w:color w:val="19352D"/>
          <w:sz w:val="22"/>
        </w:rPr>
        <w:t>表 4</w:t>
      </w:r>
    </w:p>
    <w:p>
      <w:pPr>
        <w:keepNext/>
        <w:spacing w:after="100"/>
      </w:pPr>
      <w:r>
        <w:rPr>
          <w:rFonts w:ascii="DFKai-SB" w:hAnsi="DFKai-SB" w:eastAsia="DFKai-SB" w:cs="DFKai-SB"/>
          <w:b w:val="0"/>
          <w:i/>
          <w:color w:val="19352D"/>
          <w:sz w:val="22"/>
        </w:rPr>
        <w:t>阿美族相關研究的連接方式與可轉用觀點</w:t>
      </w:r>
    </w:p>
    <w:tbl>
      <w:tblPr>
        <w:tblW w:type="dxa" w:w="8730"/>
        <w:jc w:val="center"/>
        <w:tblLayout w:type="fixed"/>
        <w:tblLook w:firstColumn="1" w:firstRow="1" w:lastColumn="0" w:lastRow="0" w:noHBand="0" w:noVBand="1" w:val="04A0"/>
        <w:tblBorders>
          <w:top w:val="single" w:sz="6" w:color="C8CFC8"/>
          <w:left w:val="single" w:sz="6" w:color="C8CFC8"/>
          <w:bottom w:val="single" w:sz="6" w:color="C8CFC8"/>
          <w:right w:val="single" w:sz="6" w:color="C8CFC8"/>
          <w:insideH w:val="single" w:sz="6" w:color="C8CFC8"/>
          <w:insideV w:val="single" w:sz="6" w:color="C8CFC8"/>
        </w:tblBorders>
      </w:tblPr>
      <w:tblGrid>
        <w:gridCol w:w="1700"/>
        <w:gridCol w:w="2381"/>
        <w:gridCol w:w="2891"/>
        <w:gridCol w:w="1757"/>
      </w:tblGrid>
      <w:tr>
        <w:trPr>
          <w:tblHeader/>
        </w:trPr>
        <w:tc>
          <w:tcPr>
            <w:tcW w:type="dxa" w:w="1700"/>
            <w:shd w:fill="19352D"/>
            <w:tcMar>
              <w:top w:w="90" w:type="dxa"/>
              <w:left w:w="100" w:type="dxa"/>
              <w:bottom w:w="90" w:type="dxa"/>
              <w:right w:w="100" w:type="dxa"/>
            </w:tcMar>
            <w:vAlign w:val="center"/>
          </w:tcPr>
          <w:p>
            <w:pPr>
              <w:spacing w:after="0"/>
              <w:jc w:val="center"/>
            </w:pPr>
            <w:r>
              <w:rPr>
                <w:rFonts w:ascii="DFKai-SB" w:hAnsi="DFKai-SB" w:eastAsia="DFKai-SB" w:cs="DFKai-SB"/>
                <w:b/>
                <w:i w:val="0"/>
                <w:color w:val="FFFFFF"/>
                <w:sz w:val="18"/>
              </w:rPr>
              <w:t>研究</w:t>
            </w:r>
          </w:p>
        </w:tc>
        <w:tc>
          <w:tcPr>
            <w:tcW w:type="dxa" w:w="2381"/>
            <w:shd w:fill="19352D"/>
            <w:tcMar>
              <w:top w:w="90" w:type="dxa"/>
              <w:left w:w="100" w:type="dxa"/>
              <w:bottom w:w="90" w:type="dxa"/>
              <w:right w:w="100" w:type="dxa"/>
            </w:tcMar>
            <w:vAlign w:val="center"/>
          </w:tcPr>
          <w:p>
            <w:pPr>
              <w:spacing w:after="0"/>
              <w:jc w:val="center"/>
            </w:pPr>
            <w:r>
              <w:rPr>
                <w:rFonts w:ascii="DFKai-SB" w:hAnsi="DFKai-SB" w:eastAsia="DFKai-SB" w:cs="DFKai-SB"/>
                <w:b/>
                <w:i w:val="0"/>
                <w:color w:val="FFFFFF"/>
                <w:sz w:val="18"/>
              </w:rPr>
              <w:t>情境／焦點</w:t>
            </w:r>
          </w:p>
        </w:tc>
        <w:tc>
          <w:tcPr>
            <w:tcW w:type="dxa" w:w="2891"/>
            <w:shd w:fill="19352D"/>
            <w:tcMar>
              <w:top w:w="90" w:type="dxa"/>
              <w:left w:w="100" w:type="dxa"/>
              <w:bottom w:w="90" w:type="dxa"/>
              <w:right w:w="100" w:type="dxa"/>
            </w:tcMar>
            <w:vAlign w:val="center"/>
          </w:tcPr>
          <w:p>
            <w:pPr>
              <w:spacing w:after="0"/>
              <w:jc w:val="center"/>
            </w:pPr>
            <w:r>
              <w:rPr>
                <w:rFonts w:ascii="DFKai-SB" w:hAnsi="DFKai-SB" w:eastAsia="DFKai-SB" w:cs="DFKai-SB"/>
                <w:b/>
                <w:i w:val="0"/>
                <w:color w:val="FFFFFF"/>
                <w:sz w:val="18"/>
              </w:rPr>
              <w:t>與本整理包的連接</w:t>
            </w:r>
          </w:p>
        </w:tc>
        <w:tc>
          <w:tcPr>
            <w:tcW w:type="dxa" w:w="1757"/>
            <w:shd w:fill="19352D"/>
            <w:tcMar>
              <w:top w:w="90" w:type="dxa"/>
              <w:left w:w="100" w:type="dxa"/>
              <w:bottom w:w="90" w:type="dxa"/>
              <w:right w:w="100" w:type="dxa"/>
            </w:tcMar>
            <w:vAlign w:val="center"/>
          </w:tcPr>
          <w:p>
            <w:pPr>
              <w:spacing w:after="0"/>
              <w:jc w:val="center"/>
            </w:pPr>
            <w:r>
              <w:rPr>
                <w:rFonts w:ascii="DFKai-SB" w:hAnsi="DFKai-SB" w:eastAsia="DFKai-SB" w:cs="DFKai-SB"/>
                <w:b/>
                <w:i w:val="0"/>
                <w:color w:val="FFFFFF"/>
                <w:sz w:val="18"/>
              </w:rPr>
              <w:t>使用界線</w:t>
            </w:r>
          </w:p>
        </w:tc>
      </w:tr>
      <w:tr>
        <w:tc>
          <w:tcPr>
            <w:tcW w:type="dxa" w:w="1700"/>
            <w:tcMar>
              <w:top w:w="90" w:type="dxa"/>
              <w:left w:w="100" w:type="dxa"/>
              <w:bottom w:w="90" w:type="dxa"/>
              <w:right w:w="100" w:type="dxa"/>
            </w:tcMar>
            <w:vAlign w:val="center"/>
          </w:tcPr>
          <w:p>
            <w:pPr>
              <w:spacing w:after="0" w:line="276" w:lineRule="auto"/>
              <w:jc w:val="left"/>
            </w:pPr>
            <w:r>
              <w:rPr>
                <w:rFonts w:ascii="DFKai-SB" w:hAnsi="DFKai-SB" w:eastAsia="DFKai-SB" w:cs="DFKai-SB"/>
                <w:b/>
                <w:i w:val="0"/>
                <w:color w:val="19352D"/>
                <w:sz w:val="17"/>
              </w:rPr>
              <w:t>陳誼誠（2017）</w:t>
            </w:r>
          </w:p>
        </w:tc>
        <w:tc>
          <w:tcPr>
            <w:tcW w:type="dxa" w:w="2381"/>
            <w:tcMar>
              <w:top w:w="90" w:type="dxa"/>
              <w:left w:w="100" w:type="dxa"/>
              <w:bottom w:w="90" w:type="dxa"/>
              <w:right w:w="100" w:type="dxa"/>
            </w:tcMar>
            <w:vAlign w:val="center"/>
          </w:tcPr>
          <w:p>
            <w:pPr>
              <w:spacing w:after="0" w:line="276" w:lineRule="auto"/>
              <w:jc w:val="both"/>
            </w:pPr>
            <w:r>
              <w:rPr>
                <w:rFonts w:ascii="DFKai-SB" w:hAnsi="DFKai-SB" w:eastAsia="DFKai-SB" w:cs="DFKai-SB"/>
                <w:b w:val="0"/>
                <w:i w:val="0"/>
                <w:color w:val="19352D"/>
                <w:sz w:val="17"/>
              </w:rPr>
              <w:t>阿美族語語言活力；代間傳承與使用領域</w:t>
            </w:r>
          </w:p>
        </w:tc>
        <w:tc>
          <w:tcPr>
            <w:tcW w:type="dxa" w:w="2891"/>
            <w:tcMar>
              <w:top w:w="90" w:type="dxa"/>
              <w:left w:w="100" w:type="dxa"/>
              <w:bottom w:w="90" w:type="dxa"/>
              <w:right w:w="100" w:type="dxa"/>
            </w:tcMar>
            <w:vAlign w:val="center"/>
          </w:tcPr>
          <w:p>
            <w:pPr>
              <w:spacing w:after="0" w:line="276" w:lineRule="auto"/>
              <w:jc w:val="both"/>
            </w:pPr>
            <w:r>
              <w:rPr>
                <w:rFonts w:ascii="DFKai-SB" w:hAnsi="DFKai-SB" w:eastAsia="DFKai-SB" w:cs="DFKai-SB"/>
                <w:b w:val="0"/>
                <w:i w:val="0"/>
                <w:color w:val="19352D"/>
                <w:sz w:val="17"/>
              </w:rPr>
              <w:t>校準病前語言生態、世代與領域變化</w:t>
            </w:r>
          </w:p>
        </w:tc>
        <w:tc>
          <w:tcPr>
            <w:tcW w:type="dxa" w:w="1757"/>
            <w:tcMar>
              <w:top w:w="90" w:type="dxa"/>
              <w:left w:w="100" w:type="dxa"/>
              <w:bottom w:w="90" w:type="dxa"/>
              <w:right w:w="100" w:type="dxa"/>
            </w:tcMar>
            <w:vAlign w:val="center"/>
          </w:tcPr>
          <w:p>
            <w:pPr>
              <w:spacing w:after="0" w:line="276" w:lineRule="auto"/>
              <w:jc w:val="both"/>
            </w:pPr>
            <w:r>
              <w:rPr>
                <w:rFonts w:ascii="DFKai-SB" w:hAnsi="DFKai-SB" w:eastAsia="DFKai-SB" w:cs="DFKai-SB"/>
                <w:b w:val="0"/>
                <w:i w:val="0"/>
                <w:color w:val="19352D"/>
                <w:sz w:val="17"/>
              </w:rPr>
              <w:t>群體活力指標不能直接推論個人認知狀態</w:t>
            </w:r>
          </w:p>
        </w:tc>
      </w:tr>
      <w:tr>
        <w:tc>
          <w:tcPr>
            <w:tcW w:type="dxa" w:w="1700"/>
            <w:shd w:fill="F7F3EA"/>
            <w:tcMar>
              <w:top w:w="90" w:type="dxa"/>
              <w:left w:w="100" w:type="dxa"/>
              <w:bottom w:w="90" w:type="dxa"/>
              <w:right w:w="100" w:type="dxa"/>
            </w:tcMar>
            <w:vAlign w:val="center"/>
          </w:tcPr>
          <w:p>
            <w:pPr>
              <w:spacing w:after="0" w:line="276" w:lineRule="auto"/>
              <w:jc w:val="left"/>
            </w:pPr>
            <w:r>
              <w:rPr>
                <w:rFonts w:ascii="DFKai-SB" w:hAnsi="DFKai-SB" w:eastAsia="DFKai-SB" w:cs="DFKai-SB"/>
                <w:b/>
                <w:i w:val="0"/>
                <w:color w:val="19352D"/>
                <w:sz w:val="17"/>
              </w:rPr>
              <w:t>Hast（2023）</w:t>
            </w:r>
          </w:p>
        </w:tc>
        <w:tc>
          <w:tcPr>
            <w:tcW w:type="dxa" w:w="2381"/>
            <w:shd w:fill="F7F3EA"/>
            <w:tcMar>
              <w:top w:w="90" w:type="dxa"/>
              <w:left w:w="100" w:type="dxa"/>
              <w:bottom w:w="90" w:type="dxa"/>
              <w:right w:w="100" w:type="dxa"/>
            </w:tcMar>
            <w:vAlign w:val="center"/>
          </w:tcPr>
          <w:p>
            <w:pPr>
              <w:spacing w:after="0" w:line="276" w:lineRule="auto"/>
              <w:jc w:val="both"/>
            </w:pPr>
            <w:r>
              <w:rPr>
                <w:rFonts w:ascii="DFKai-SB" w:hAnsi="DFKai-SB" w:eastAsia="DFKai-SB" w:cs="DFKai-SB"/>
                <w:b w:val="0"/>
                <w:i w:val="0"/>
                <w:color w:val="19352D"/>
                <w:sz w:val="17"/>
              </w:rPr>
              <w:t>阿美語萌典與 Wikipitiya 的數位民族誌</w:t>
            </w:r>
          </w:p>
        </w:tc>
        <w:tc>
          <w:tcPr>
            <w:tcW w:type="dxa" w:w="2891"/>
            <w:shd w:fill="F7F3EA"/>
            <w:tcMar>
              <w:top w:w="90" w:type="dxa"/>
              <w:left w:w="100" w:type="dxa"/>
              <w:bottom w:w="90" w:type="dxa"/>
              <w:right w:w="100" w:type="dxa"/>
            </w:tcMar>
            <w:vAlign w:val="center"/>
          </w:tcPr>
          <w:p>
            <w:pPr>
              <w:spacing w:after="0" w:line="276" w:lineRule="auto"/>
              <w:jc w:val="both"/>
            </w:pPr>
            <w:r>
              <w:rPr>
                <w:rFonts w:ascii="DFKai-SB" w:hAnsi="DFKai-SB" w:eastAsia="DFKai-SB" w:cs="DFKai-SB"/>
                <w:b w:val="0"/>
                <w:i w:val="0"/>
                <w:color w:val="19352D"/>
                <w:sz w:val="17"/>
              </w:rPr>
              <w:t>補入數位實踐社群、平台與開放語料治理</w:t>
            </w:r>
          </w:p>
        </w:tc>
        <w:tc>
          <w:tcPr>
            <w:tcW w:type="dxa" w:w="1757"/>
            <w:shd w:fill="F7F3EA"/>
            <w:tcMar>
              <w:top w:w="90" w:type="dxa"/>
              <w:left w:w="100" w:type="dxa"/>
              <w:bottom w:w="90" w:type="dxa"/>
              <w:right w:w="100" w:type="dxa"/>
            </w:tcMar>
            <w:vAlign w:val="center"/>
          </w:tcPr>
          <w:p>
            <w:pPr>
              <w:spacing w:after="0" w:line="276" w:lineRule="auto"/>
              <w:jc w:val="both"/>
            </w:pPr>
            <w:r>
              <w:rPr>
                <w:rFonts w:ascii="DFKai-SB" w:hAnsi="DFKai-SB" w:eastAsia="DFKai-SB" w:cs="DFKai-SB"/>
                <w:b w:val="0"/>
                <w:i w:val="0"/>
                <w:color w:val="19352D"/>
                <w:sz w:val="17"/>
              </w:rPr>
              <w:t>平台參與者不代表所有地區與年齡層</w:t>
            </w:r>
          </w:p>
        </w:tc>
      </w:tr>
      <w:tr>
        <w:tc>
          <w:tcPr>
            <w:tcW w:type="dxa" w:w="1700"/>
            <w:tcMar>
              <w:top w:w="90" w:type="dxa"/>
              <w:left w:w="100" w:type="dxa"/>
              <w:bottom w:w="90" w:type="dxa"/>
              <w:right w:w="100" w:type="dxa"/>
            </w:tcMar>
            <w:vAlign w:val="center"/>
          </w:tcPr>
          <w:p>
            <w:pPr>
              <w:spacing w:after="0" w:line="276" w:lineRule="auto"/>
              <w:jc w:val="left"/>
            </w:pPr>
            <w:r>
              <w:rPr>
                <w:rFonts w:ascii="DFKai-SB" w:hAnsi="DFKai-SB" w:eastAsia="DFKai-SB" w:cs="DFKai-SB"/>
                <w:b/>
                <w:i w:val="0"/>
                <w:color w:val="19352D"/>
                <w:sz w:val="17"/>
              </w:rPr>
              <w:t>Sifo Lakaw（2024）</w:t>
            </w:r>
          </w:p>
        </w:tc>
        <w:tc>
          <w:tcPr>
            <w:tcW w:type="dxa" w:w="2381"/>
            <w:tcMar>
              <w:top w:w="90" w:type="dxa"/>
              <w:left w:w="100" w:type="dxa"/>
              <w:bottom w:w="90" w:type="dxa"/>
              <w:right w:w="100" w:type="dxa"/>
            </w:tcMar>
            <w:vAlign w:val="center"/>
          </w:tcPr>
          <w:p>
            <w:pPr>
              <w:spacing w:after="0" w:line="276" w:lineRule="auto"/>
              <w:jc w:val="both"/>
            </w:pPr>
            <w:r>
              <w:rPr>
                <w:rFonts w:ascii="DFKai-SB" w:hAnsi="DFKai-SB" w:eastAsia="DFKai-SB" w:cs="DFKai-SB"/>
                <w:b w:val="0"/>
                <w:i w:val="0"/>
                <w:color w:val="19352D"/>
                <w:sz w:val="17"/>
              </w:rPr>
              <w:t>家庭語言去殖民化、意識形態與社會化</w:t>
            </w:r>
          </w:p>
        </w:tc>
        <w:tc>
          <w:tcPr>
            <w:tcW w:type="dxa" w:w="2891"/>
            <w:tcMar>
              <w:top w:w="90" w:type="dxa"/>
              <w:left w:w="100" w:type="dxa"/>
              <w:bottom w:w="90" w:type="dxa"/>
              <w:right w:w="100" w:type="dxa"/>
            </w:tcMar>
            <w:vAlign w:val="center"/>
          </w:tcPr>
          <w:p>
            <w:pPr>
              <w:spacing w:after="0" w:line="276" w:lineRule="auto"/>
              <w:jc w:val="both"/>
            </w:pPr>
            <w:r>
              <w:rPr>
                <w:rFonts w:ascii="DFKai-SB" w:hAnsi="DFKai-SB" w:eastAsia="DFKai-SB" w:cs="DFKai-SB"/>
                <w:b w:val="0"/>
                <w:i w:val="0"/>
                <w:color w:val="19352D"/>
                <w:sz w:val="17"/>
              </w:rPr>
              <w:t>支持共同設計、家庭語言實踐與社群詮釋</w:t>
            </w:r>
          </w:p>
        </w:tc>
        <w:tc>
          <w:tcPr>
            <w:tcW w:type="dxa" w:w="1757"/>
            <w:tcMar>
              <w:top w:w="90" w:type="dxa"/>
              <w:left w:w="100" w:type="dxa"/>
              <w:bottom w:w="90" w:type="dxa"/>
              <w:right w:w="100" w:type="dxa"/>
            </w:tcMar>
            <w:vAlign w:val="center"/>
          </w:tcPr>
          <w:p>
            <w:pPr>
              <w:spacing w:after="0" w:line="276" w:lineRule="auto"/>
              <w:jc w:val="both"/>
            </w:pPr>
            <w:r>
              <w:rPr>
                <w:rFonts w:ascii="DFKai-SB" w:hAnsi="DFKai-SB" w:eastAsia="DFKai-SB" w:cs="DFKai-SB"/>
                <w:b w:val="0"/>
                <w:i w:val="0"/>
                <w:color w:val="19352D"/>
                <w:sz w:val="17"/>
              </w:rPr>
              <w:t>去殖民化框架不可簡化成單一介入變項</w:t>
            </w:r>
          </w:p>
        </w:tc>
      </w:tr>
      <w:tr>
        <w:tc>
          <w:tcPr>
            <w:tcW w:type="dxa" w:w="1700"/>
            <w:shd w:fill="F7F3EA"/>
            <w:tcMar>
              <w:top w:w="90" w:type="dxa"/>
              <w:left w:w="100" w:type="dxa"/>
              <w:bottom w:w="90" w:type="dxa"/>
              <w:right w:w="100" w:type="dxa"/>
            </w:tcMar>
            <w:vAlign w:val="center"/>
          </w:tcPr>
          <w:p>
            <w:pPr>
              <w:spacing w:after="0" w:line="276" w:lineRule="auto"/>
              <w:jc w:val="left"/>
            </w:pPr>
            <w:r>
              <w:rPr>
                <w:rFonts w:ascii="DFKai-SB" w:hAnsi="DFKai-SB" w:eastAsia="DFKai-SB" w:cs="DFKai-SB"/>
                <w:b/>
                <w:i w:val="0"/>
                <w:color w:val="19352D"/>
                <w:sz w:val="17"/>
              </w:rPr>
              <w:t>張文翊（2024）</w:t>
            </w:r>
          </w:p>
        </w:tc>
        <w:tc>
          <w:tcPr>
            <w:tcW w:type="dxa" w:w="2381"/>
            <w:shd w:fill="F7F3EA"/>
            <w:tcMar>
              <w:top w:w="90" w:type="dxa"/>
              <w:left w:w="100" w:type="dxa"/>
              <w:bottom w:w="90" w:type="dxa"/>
              <w:right w:w="100" w:type="dxa"/>
            </w:tcMar>
            <w:vAlign w:val="center"/>
          </w:tcPr>
          <w:p>
            <w:pPr>
              <w:spacing w:after="0" w:line="276" w:lineRule="auto"/>
              <w:jc w:val="both"/>
            </w:pPr>
            <w:r>
              <w:rPr>
                <w:rFonts w:ascii="DFKai-SB" w:hAnsi="DFKai-SB" w:eastAsia="DFKai-SB" w:cs="DFKai-SB"/>
                <w:b w:val="0"/>
                <w:i w:val="0"/>
                <w:color w:val="19352D"/>
                <w:sz w:val="17"/>
              </w:rPr>
              <w:t>文化健康站阿美族長者與文化敏感音樂治療</w:t>
            </w:r>
          </w:p>
        </w:tc>
        <w:tc>
          <w:tcPr>
            <w:tcW w:type="dxa" w:w="2891"/>
            <w:shd w:fill="F7F3EA"/>
            <w:tcMar>
              <w:top w:w="90" w:type="dxa"/>
              <w:left w:w="100" w:type="dxa"/>
              <w:bottom w:w="90" w:type="dxa"/>
              <w:right w:w="100" w:type="dxa"/>
            </w:tcMar>
            <w:vAlign w:val="center"/>
          </w:tcPr>
          <w:p>
            <w:pPr>
              <w:spacing w:after="0" w:line="276" w:lineRule="auto"/>
              <w:jc w:val="both"/>
            </w:pPr>
            <w:r>
              <w:rPr>
                <w:rFonts w:ascii="DFKai-SB" w:hAnsi="DFKai-SB" w:eastAsia="DFKai-SB" w:cs="DFKai-SB"/>
                <w:b w:val="0"/>
                <w:i w:val="0"/>
                <w:color w:val="19352D"/>
                <w:sz w:val="17"/>
              </w:rPr>
              <w:t>示範文化記憶、參與及臨床量化結果並置</w:t>
            </w:r>
          </w:p>
        </w:tc>
        <w:tc>
          <w:tcPr>
            <w:tcW w:type="dxa" w:w="1757"/>
            <w:shd w:fill="F7F3EA"/>
            <w:tcMar>
              <w:top w:w="90" w:type="dxa"/>
              <w:left w:w="100" w:type="dxa"/>
              <w:bottom w:w="90" w:type="dxa"/>
              <w:right w:w="100" w:type="dxa"/>
            </w:tcMar>
            <w:vAlign w:val="center"/>
          </w:tcPr>
          <w:p>
            <w:pPr>
              <w:spacing w:after="0" w:line="276" w:lineRule="auto"/>
              <w:jc w:val="both"/>
            </w:pPr>
            <w:r>
              <w:rPr>
                <w:rFonts w:ascii="DFKai-SB" w:hAnsi="DFKai-SB" w:eastAsia="DFKai-SB" w:cs="DFKai-SB"/>
                <w:b w:val="0"/>
                <w:i w:val="0"/>
                <w:color w:val="19352D"/>
                <w:sz w:val="17"/>
              </w:rPr>
              <w:t>介入成效不能外推為語言或失智診斷效度</w:t>
            </w:r>
          </w:p>
        </w:tc>
      </w:tr>
      <w:tr>
        <w:tc>
          <w:tcPr>
            <w:tcW w:type="dxa" w:w="1700"/>
            <w:tcMar>
              <w:top w:w="90" w:type="dxa"/>
              <w:left w:w="100" w:type="dxa"/>
              <w:bottom w:w="90" w:type="dxa"/>
              <w:right w:w="100" w:type="dxa"/>
            </w:tcMar>
            <w:vAlign w:val="center"/>
          </w:tcPr>
          <w:p>
            <w:pPr>
              <w:spacing w:after="0" w:line="276" w:lineRule="auto"/>
              <w:jc w:val="left"/>
            </w:pPr>
            <w:r>
              <w:rPr>
                <w:rFonts w:ascii="DFKai-SB" w:hAnsi="DFKai-SB" w:eastAsia="DFKai-SB" w:cs="DFKai-SB"/>
                <w:b/>
                <w:i w:val="0"/>
                <w:color w:val="19352D"/>
                <w:sz w:val="17"/>
              </w:rPr>
              <w:t>蕭惠美（2025）</w:t>
            </w:r>
          </w:p>
        </w:tc>
        <w:tc>
          <w:tcPr>
            <w:tcW w:type="dxa" w:w="2381"/>
            <w:tcMar>
              <w:top w:w="90" w:type="dxa"/>
              <w:left w:w="100" w:type="dxa"/>
              <w:bottom w:w="90" w:type="dxa"/>
              <w:right w:w="100" w:type="dxa"/>
            </w:tcMar>
            <w:vAlign w:val="center"/>
          </w:tcPr>
          <w:p>
            <w:pPr>
              <w:spacing w:after="0" w:line="276" w:lineRule="auto"/>
              <w:jc w:val="both"/>
            </w:pPr>
            <w:r>
              <w:rPr>
                <w:rFonts w:ascii="DFKai-SB" w:hAnsi="DFKai-SB" w:eastAsia="DFKai-SB" w:cs="DFKai-SB"/>
                <w:b w:val="0"/>
                <w:i w:val="0"/>
                <w:color w:val="19352D"/>
                <w:sz w:val="17"/>
              </w:rPr>
              <w:t>原住民健康識能轉譯成功因素</w:t>
            </w:r>
          </w:p>
        </w:tc>
        <w:tc>
          <w:tcPr>
            <w:tcW w:type="dxa" w:w="2891"/>
            <w:tcMar>
              <w:top w:w="90" w:type="dxa"/>
              <w:left w:w="100" w:type="dxa"/>
              <w:bottom w:w="90" w:type="dxa"/>
              <w:right w:w="100" w:type="dxa"/>
            </w:tcMar>
            <w:vAlign w:val="center"/>
          </w:tcPr>
          <w:p>
            <w:pPr>
              <w:spacing w:after="0" w:line="276" w:lineRule="auto"/>
              <w:jc w:val="both"/>
            </w:pPr>
            <w:r>
              <w:rPr>
                <w:rFonts w:ascii="DFKai-SB" w:hAnsi="DFKai-SB" w:eastAsia="DFKai-SB" w:cs="DFKai-SB"/>
                <w:b w:val="0"/>
                <w:i w:val="0"/>
                <w:color w:val="19352D"/>
                <w:sz w:val="17"/>
              </w:rPr>
              <w:t>擴充文化、資訊轉譯、社會結構、醫療資源欄位</w:t>
            </w:r>
          </w:p>
        </w:tc>
        <w:tc>
          <w:tcPr>
            <w:tcW w:type="dxa" w:w="1757"/>
            <w:tcMar>
              <w:top w:w="90" w:type="dxa"/>
              <w:left w:w="100" w:type="dxa"/>
              <w:bottom w:w="90" w:type="dxa"/>
              <w:right w:w="100" w:type="dxa"/>
            </w:tcMar>
            <w:vAlign w:val="center"/>
          </w:tcPr>
          <w:p>
            <w:pPr>
              <w:spacing w:after="0" w:line="276" w:lineRule="auto"/>
              <w:jc w:val="both"/>
            </w:pPr>
            <w:r>
              <w:rPr>
                <w:rFonts w:ascii="DFKai-SB" w:hAnsi="DFKai-SB" w:eastAsia="DFKai-SB" w:cs="DFKai-SB"/>
                <w:b w:val="0"/>
                <w:i w:val="0"/>
                <w:color w:val="19352D"/>
                <w:sz w:val="17"/>
              </w:rPr>
              <w:t>層級分析法的權重不是個體因果效果</w:t>
            </w:r>
          </w:p>
        </w:tc>
      </w:tr>
      <w:tr>
        <w:tc>
          <w:tcPr>
            <w:tcW w:type="dxa" w:w="1700"/>
            <w:shd w:fill="F7F3EA"/>
            <w:tcMar>
              <w:top w:w="90" w:type="dxa"/>
              <w:left w:w="100" w:type="dxa"/>
              <w:bottom w:w="90" w:type="dxa"/>
              <w:right w:w="100" w:type="dxa"/>
            </w:tcMar>
            <w:vAlign w:val="center"/>
          </w:tcPr>
          <w:p>
            <w:pPr>
              <w:spacing w:after="0" w:line="276" w:lineRule="auto"/>
              <w:jc w:val="left"/>
            </w:pPr>
            <w:r>
              <w:rPr>
                <w:rFonts w:ascii="DFKai-SB" w:hAnsi="DFKai-SB" w:eastAsia="DFKai-SB" w:cs="DFKai-SB"/>
                <w:b/>
                <w:i w:val="0"/>
                <w:color w:val="19352D"/>
                <w:sz w:val="17"/>
              </w:rPr>
              <w:t>全俊儒（2025）</w:t>
            </w:r>
          </w:p>
        </w:tc>
        <w:tc>
          <w:tcPr>
            <w:tcW w:type="dxa" w:w="2381"/>
            <w:shd w:fill="F7F3EA"/>
            <w:tcMar>
              <w:top w:w="90" w:type="dxa"/>
              <w:left w:w="100" w:type="dxa"/>
              <w:bottom w:w="90" w:type="dxa"/>
              <w:right w:w="100" w:type="dxa"/>
            </w:tcMar>
            <w:vAlign w:val="center"/>
          </w:tcPr>
          <w:p>
            <w:pPr>
              <w:spacing w:after="0" w:line="276" w:lineRule="auto"/>
              <w:jc w:val="both"/>
            </w:pPr>
            <w:r>
              <w:rPr>
                <w:rFonts w:ascii="DFKai-SB" w:hAnsi="DFKai-SB" w:eastAsia="DFKai-SB" w:cs="DFKai-SB"/>
                <w:b w:val="0"/>
                <w:i w:val="0"/>
                <w:color w:val="19352D"/>
                <w:sz w:val="17"/>
              </w:rPr>
              <w:t>跨文化溝通與原住民醫病關係</w:t>
            </w:r>
          </w:p>
        </w:tc>
        <w:tc>
          <w:tcPr>
            <w:tcW w:type="dxa" w:w="2891"/>
            <w:shd w:fill="F7F3EA"/>
            <w:tcMar>
              <w:top w:w="90" w:type="dxa"/>
              <w:left w:w="100" w:type="dxa"/>
              <w:bottom w:w="90" w:type="dxa"/>
              <w:right w:w="100" w:type="dxa"/>
            </w:tcMar>
            <w:vAlign w:val="center"/>
          </w:tcPr>
          <w:p>
            <w:pPr>
              <w:spacing w:after="0" w:line="276" w:lineRule="auto"/>
              <w:jc w:val="both"/>
            </w:pPr>
            <w:r>
              <w:rPr>
                <w:rFonts w:ascii="DFKai-SB" w:hAnsi="DFKai-SB" w:eastAsia="DFKai-SB" w:cs="DFKai-SB"/>
                <w:b w:val="0"/>
                <w:i w:val="0"/>
                <w:color w:val="19352D"/>
                <w:sz w:val="17"/>
              </w:rPr>
              <w:t>支持記錄互動、信任、口譯與機構條件</w:t>
            </w:r>
          </w:p>
        </w:tc>
        <w:tc>
          <w:tcPr>
            <w:tcW w:type="dxa" w:w="1757"/>
            <w:shd w:fill="F7F3EA"/>
            <w:tcMar>
              <w:top w:w="90" w:type="dxa"/>
              <w:left w:w="100" w:type="dxa"/>
              <w:bottom w:w="90" w:type="dxa"/>
              <w:right w:w="100" w:type="dxa"/>
            </w:tcMar>
            <w:vAlign w:val="center"/>
          </w:tcPr>
          <w:p>
            <w:pPr>
              <w:spacing w:after="0" w:line="276" w:lineRule="auto"/>
              <w:jc w:val="both"/>
            </w:pPr>
            <w:r>
              <w:rPr>
                <w:rFonts w:ascii="DFKai-SB" w:hAnsi="DFKai-SB" w:eastAsia="DFKai-SB" w:cs="DFKai-SB"/>
                <w:b w:val="0"/>
                <w:i w:val="0"/>
                <w:color w:val="19352D"/>
                <w:sz w:val="17"/>
              </w:rPr>
              <w:t>單一醫院情境需經跨場域驗證</w:t>
            </w:r>
          </w:p>
        </w:tc>
      </w:tr>
    </w:tbl>
    <w:p>
      <w:pPr>
        <w:spacing w:before="80" w:after="200" w:line="300" w:lineRule="auto"/>
      </w:pPr>
      <w:r>
        <w:rPr>
          <w:rFonts w:ascii="DFKai-SB" w:hAnsi="DFKai-SB" w:eastAsia="DFKai-SB" w:cs="DFKai-SB"/>
          <w:b w:val="0"/>
          <w:i/>
          <w:color w:val="19352D"/>
          <w:sz w:val="20"/>
        </w:rPr>
        <w:t>註。</w:t>
      </w:r>
      <w:r>
        <w:rPr>
          <w:rFonts w:ascii="DFKai-SB" w:hAnsi="DFKai-SB" w:eastAsia="DFKai-SB" w:cs="DFKai-SB"/>
          <w:b w:val="0"/>
          <w:i w:val="0"/>
          <w:color w:val="19352D"/>
          <w:sz w:val="20"/>
        </w:rPr>
        <w:t xml:space="preserve">本表將六項阿美族／原住民族研究定位為『研究設計參照』，不把不同研究目的、樣本與方法合併成效果量；原文書目頁可由下列連結逐項查核。 </w:t>
      </w:r>
      <w:hyperlink r:id="rId10">
        <w:r>
          <w:rPr>
            <w:rFonts w:ascii="DFKai-SB" w:hAnsi="DFKai-SB" w:eastAsia="DFKai-SB" w:cs="DFKai-SB"/>
            <w:color w:val="0563C1"/>
            <w:u w:val="single"/>
            <w:sz w:val="22"/>
          </w:rPr>
          <w:t>語言活力</w:t>
        </w:r>
      </w:hyperlink>
      <w:r>
        <w:rPr>
          <w:rFonts w:ascii="DFKai-SB" w:hAnsi="DFKai-SB" w:eastAsia="DFKai-SB" w:cs="DFKai-SB"/>
          <w:b w:val="0"/>
          <w:i w:val="0"/>
          <w:color w:val="19352D"/>
          <w:sz w:val="20"/>
        </w:rPr>
        <w:t>；</w:t>
      </w:r>
      <w:hyperlink r:id="rId13">
        <w:r>
          <w:rPr>
            <w:rFonts w:ascii="DFKai-SB" w:hAnsi="DFKai-SB" w:eastAsia="DFKai-SB" w:cs="DFKai-SB"/>
            <w:color w:val="0563C1"/>
            <w:u w:val="single"/>
            <w:sz w:val="22"/>
          </w:rPr>
          <w:t>數位民族誌</w:t>
        </w:r>
      </w:hyperlink>
      <w:r>
        <w:rPr>
          <w:rFonts w:ascii="DFKai-SB" w:hAnsi="DFKai-SB" w:eastAsia="DFKai-SB" w:cs="DFKai-SB"/>
          <w:b w:val="0"/>
          <w:i w:val="0"/>
          <w:color w:val="19352D"/>
          <w:sz w:val="20"/>
        </w:rPr>
        <w:t>；</w:t>
      </w:r>
      <w:hyperlink r:id="rId11">
        <w:r>
          <w:rPr>
            <w:rFonts w:ascii="DFKai-SB" w:hAnsi="DFKai-SB" w:eastAsia="DFKai-SB" w:cs="DFKai-SB"/>
            <w:color w:val="0563C1"/>
            <w:u w:val="single"/>
            <w:sz w:val="22"/>
          </w:rPr>
          <w:t>家庭語言去殖民化</w:t>
        </w:r>
      </w:hyperlink>
      <w:r>
        <w:rPr>
          <w:rFonts w:ascii="DFKai-SB" w:hAnsi="DFKai-SB" w:eastAsia="DFKai-SB" w:cs="DFKai-SB"/>
          <w:b w:val="0"/>
          <w:i w:val="0"/>
          <w:color w:val="19352D"/>
          <w:sz w:val="20"/>
        </w:rPr>
        <w:t>；</w:t>
      </w:r>
      <w:hyperlink r:id="rId17">
        <w:r>
          <w:rPr>
            <w:rFonts w:ascii="DFKai-SB" w:hAnsi="DFKai-SB" w:eastAsia="DFKai-SB" w:cs="DFKai-SB"/>
            <w:color w:val="0563C1"/>
            <w:u w:val="single"/>
            <w:sz w:val="22"/>
          </w:rPr>
          <w:t>文化敏感音樂治療</w:t>
        </w:r>
      </w:hyperlink>
      <w:r>
        <w:rPr>
          <w:rFonts w:ascii="DFKai-SB" w:hAnsi="DFKai-SB" w:eastAsia="DFKai-SB" w:cs="DFKai-SB"/>
          <w:b w:val="0"/>
          <w:i w:val="0"/>
          <w:color w:val="19352D"/>
          <w:sz w:val="20"/>
        </w:rPr>
        <w:t>；</w:t>
      </w:r>
      <w:hyperlink r:id="rId14">
        <w:r>
          <w:rPr>
            <w:rFonts w:ascii="DFKai-SB" w:hAnsi="DFKai-SB" w:eastAsia="DFKai-SB" w:cs="DFKai-SB"/>
            <w:color w:val="0563C1"/>
            <w:u w:val="single"/>
            <w:sz w:val="22"/>
          </w:rPr>
          <w:t>健康識能轉譯</w:t>
        </w:r>
      </w:hyperlink>
      <w:r>
        <w:rPr>
          <w:rFonts w:ascii="DFKai-SB" w:hAnsi="DFKai-SB" w:eastAsia="DFKai-SB" w:cs="DFKai-SB"/>
          <w:b w:val="0"/>
          <w:i w:val="0"/>
          <w:color w:val="19352D"/>
          <w:sz w:val="20"/>
        </w:rPr>
        <w:t>；</w:t>
      </w:r>
      <w:hyperlink r:id="rId15">
        <w:r>
          <w:rPr>
            <w:rFonts w:ascii="DFKai-SB" w:hAnsi="DFKai-SB" w:eastAsia="DFKai-SB" w:cs="DFKai-SB"/>
            <w:color w:val="0563C1"/>
            <w:u w:val="single"/>
            <w:sz w:val="22"/>
          </w:rPr>
          <w:t>跨文化醫病溝通</w:t>
        </w:r>
      </w:hyperlink>
      <w:r>
        <w:rPr>
          <w:rFonts w:ascii="DFKai-SB" w:hAnsi="DFKai-SB" w:eastAsia="DFKai-SB" w:cs="DFKai-SB"/>
          <w:b w:val="0"/>
          <w:i w:val="0"/>
          <w:color w:val="19352D"/>
          <w:sz w:val="20"/>
        </w:rPr>
        <w:t>。</w:t>
      </w:r>
    </w:p>
    <w:p>
      <w:r>
        <w:br w:type="page"/>
      </w:r>
    </w:p>
    <w:p>
      <w:pPr>
        <w:keepNext/>
        <w:spacing w:before="320" w:after="160"/>
      </w:pPr>
      <w:r>
        <w:rPr>
          <w:rFonts w:ascii="DFKai-SB" w:hAnsi="DFKai-SB" w:eastAsia="DFKai-SB" w:cs="DFKai-SB"/>
          <w:b/>
          <w:i w:val="0"/>
          <w:color w:val="19352D"/>
          <w:sz w:val="32"/>
        </w:rPr>
        <w:t>關鍵科技探索—人工智慧：五章研究轉譯</w:t>
      </w:r>
    </w:p>
    <w:p>
      <w:pPr>
        <w:keepNext/>
        <w:spacing w:before="200" w:after="0"/>
      </w:pPr>
      <w:r>
        <w:rPr>
          <w:rFonts w:ascii="DFKai-SB" w:hAnsi="DFKai-SB" w:eastAsia="DFKai-SB" w:cs="DFKai-SB"/>
          <w:b/>
          <w:i w:val="0"/>
          <w:color w:val="19352D"/>
          <w:sz w:val="22"/>
        </w:rPr>
        <w:t>表 5</w:t>
      </w:r>
    </w:p>
    <w:p>
      <w:pPr>
        <w:keepNext/>
        <w:spacing w:after="100"/>
      </w:pPr>
      <w:r>
        <w:rPr>
          <w:rFonts w:ascii="DFKai-SB" w:hAnsi="DFKai-SB" w:eastAsia="DFKai-SB" w:cs="DFKai-SB"/>
          <w:b w:val="0"/>
          <w:i/>
          <w:color w:val="19352D"/>
          <w:sz w:val="22"/>
        </w:rPr>
        <w:t>人工智慧五章、主題單元與阿美族研究連接</w:t>
      </w:r>
    </w:p>
    <w:tbl>
      <w:tblPr>
        <w:tblW w:type="dxa" w:w="8844"/>
        <w:jc w:val="center"/>
        <w:tblLayout w:type="fixed"/>
        <w:tblLook w:firstColumn="1" w:firstRow="1" w:lastColumn="0" w:lastRow="0" w:noHBand="0" w:noVBand="1" w:val="04A0"/>
        <w:tblBorders>
          <w:top w:val="single" w:sz="6" w:color="C8CFC8"/>
          <w:left w:val="single" w:sz="6" w:color="C8CFC8"/>
          <w:bottom w:val="single" w:sz="6" w:color="C8CFC8"/>
          <w:right w:val="single" w:sz="6" w:color="C8CFC8"/>
          <w:insideH w:val="single" w:sz="6" w:color="C8CFC8"/>
          <w:insideV w:val="single" w:sz="6" w:color="C8CFC8"/>
        </w:tblBorders>
      </w:tblPr>
      <w:tblGrid>
        <w:gridCol w:w="1417"/>
        <w:gridCol w:w="2267"/>
        <w:gridCol w:w="2834"/>
        <w:gridCol w:w="2324"/>
      </w:tblGrid>
      <w:tr>
        <w:trPr>
          <w:tblHeader/>
        </w:trPr>
        <w:tc>
          <w:tcPr>
            <w:tcW w:type="dxa" w:w="1417"/>
            <w:shd w:fill="19352D"/>
            <w:tcMar>
              <w:top w:w="90" w:type="dxa"/>
              <w:left w:w="100" w:type="dxa"/>
              <w:bottom w:w="90" w:type="dxa"/>
              <w:right w:w="100" w:type="dxa"/>
            </w:tcMar>
            <w:vAlign w:val="center"/>
          </w:tcPr>
          <w:p>
            <w:pPr>
              <w:spacing w:after="0"/>
              <w:jc w:val="center"/>
            </w:pPr>
            <w:r>
              <w:rPr>
                <w:rFonts w:ascii="DFKai-SB" w:hAnsi="DFKai-SB" w:eastAsia="DFKai-SB" w:cs="DFKai-SB"/>
                <w:b/>
                <w:i w:val="0"/>
                <w:color w:val="FFFFFF"/>
                <w:sz w:val="18"/>
              </w:rPr>
              <w:t>章／定位</w:t>
            </w:r>
          </w:p>
        </w:tc>
        <w:tc>
          <w:tcPr>
            <w:tcW w:type="dxa" w:w="2267"/>
            <w:shd w:fill="19352D"/>
            <w:tcMar>
              <w:top w:w="90" w:type="dxa"/>
              <w:left w:w="100" w:type="dxa"/>
              <w:bottom w:w="90" w:type="dxa"/>
              <w:right w:w="100" w:type="dxa"/>
            </w:tcMar>
            <w:vAlign w:val="center"/>
          </w:tcPr>
          <w:p>
            <w:pPr>
              <w:spacing w:after="0"/>
              <w:jc w:val="center"/>
            </w:pPr>
            <w:r>
              <w:rPr>
                <w:rFonts w:ascii="DFKai-SB" w:hAnsi="DFKai-SB" w:eastAsia="DFKai-SB" w:cs="DFKai-SB"/>
                <w:b/>
                <w:i w:val="0"/>
                <w:color w:val="FFFFFF"/>
                <w:sz w:val="18"/>
              </w:rPr>
              <w:t>主題單元</w:t>
            </w:r>
          </w:p>
        </w:tc>
        <w:tc>
          <w:tcPr>
            <w:tcW w:type="dxa" w:w="2834"/>
            <w:shd w:fill="19352D"/>
            <w:tcMar>
              <w:top w:w="90" w:type="dxa"/>
              <w:left w:w="100" w:type="dxa"/>
              <w:bottom w:w="90" w:type="dxa"/>
              <w:right w:w="100" w:type="dxa"/>
            </w:tcMar>
            <w:vAlign w:val="center"/>
          </w:tcPr>
          <w:p>
            <w:pPr>
              <w:spacing w:after="0"/>
              <w:jc w:val="center"/>
            </w:pPr>
            <w:r>
              <w:rPr>
                <w:rFonts w:ascii="DFKai-SB" w:hAnsi="DFKai-SB" w:eastAsia="DFKai-SB" w:cs="DFKai-SB"/>
                <w:b/>
                <w:i w:val="0"/>
                <w:color w:val="FFFFFF"/>
                <w:sz w:val="18"/>
              </w:rPr>
              <w:t>研究轉譯</w:t>
            </w:r>
          </w:p>
        </w:tc>
        <w:tc>
          <w:tcPr>
            <w:tcW w:type="dxa" w:w="2324"/>
            <w:shd w:fill="19352D"/>
            <w:tcMar>
              <w:top w:w="90" w:type="dxa"/>
              <w:left w:w="100" w:type="dxa"/>
              <w:bottom w:w="90" w:type="dxa"/>
              <w:right w:w="100" w:type="dxa"/>
            </w:tcMar>
            <w:vAlign w:val="center"/>
          </w:tcPr>
          <w:p>
            <w:pPr>
              <w:spacing w:after="0"/>
              <w:jc w:val="center"/>
            </w:pPr>
            <w:r>
              <w:rPr>
                <w:rFonts w:ascii="DFKai-SB" w:hAnsi="DFKai-SB" w:eastAsia="DFKai-SB" w:cs="DFKai-SB"/>
                <w:b/>
                <w:i w:val="0"/>
                <w:color w:val="FFFFFF"/>
                <w:sz w:val="18"/>
              </w:rPr>
              <w:t>阿美族研究連接</w:t>
            </w:r>
          </w:p>
        </w:tc>
      </w:tr>
      <w:tr>
        <w:tc>
          <w:tcPr>
            <w:tcW w:type="dxa" w:w="1417"/>
            <w:tcMar>
              <w:top w:w="90" w:type="dxa"/>
              <w:left w:w="100" w:type="dxa"/>
              <w:bottom w:w="90" w:type="dxa"/>
              <w:right w:w="100" w:type="dxa"/>
            </w:tcMar>
            <w:vAlign w:val="center"/>
          </w:tcPr>
          <w:p>
            <w:pPr>
              <w:spacing w:after="0" w:line="276" w:lineRule="auto"/>
              <w:jc w:val="left"/>
            </w:pPr>
            <w:r>
              <w:rPr>
                <w:rFonts w:ascii="DFKai-SB" w:hAnsi="DFKai-SB" w:eastAsia="DFKai-SB" w:cs="DFKai-SB"/>
                <w:b/>
                <w:i w:val="0"/>
                <w:color w:val="19352D"/>
                <w:sz w:val="17"/>
              </w:rPr>
              <w:t>第1章／技術底座</w:t>
            </w:r>
          </w:p>
        </w:tc>
        <w:tc>
          <w:tcPr>
            <w:tcW w:type="dxa" w:w="2267"/>
            <w:tcMar>
              <w:top w:w="90" w:type="dxa"/>
              <w:left w:w="100" w:type="dxa"/>
              <w:bottom w:w="90" w:type="dxa"/>
              <w:right w:w="100" w:type="dxa"/>
            </w:tcMar>
            <w:vAlign w:val="center"/>
          </w:tcPr>
          <w:p>
            <w:pPr>
              <w:spacing w:after="0" w:line="276" w:lineRule="auto"/>
              <w:jc w:val="both"/>
            </w:pPr>
            <w:r>
              <w:rPr>
                <w:rFonts w:ascii="DFKai-SB" w:hAnsi="DFKai-SB" w:eastAsia="DFKai-SB" w:cs="DFKai-SB"/>
                <w:b w:val="0"/>
                <w:i w:val="0"/>
                <w:color w:val="19352D"/>
                <w:sz w:val="17"/>
              </w:rPr>
              <w:t>AI演進、ANN、機器學習、No-Code、CPU／GPU、資料庫</w:t>
            </w:r>
          </w:p>
        </w:tc>
        <w:tc>
          <w:tcPr>
            <w:tcW w:type="dxa" w:w="2834"/>
            <w:tcMar>
              <w:top w:w="90" w:type="dxa"/>
              <w:left w:w="100" w:type="dxa"/>
              <w:bottom w:w="90" w:type="dxa"/>
              <w:right w:w="100" w:type="dxa"/>
            </w:tcMar>
            <w:vAlign w:val="center"/>
          </w:tcPr>
          <w:p>
            <w:pPr>
              <w:spacing w:after="0" w:line="276" w:lineRule="auto"/>
              <w:jc w:val="both"/>
            </w:pPr>
            <w:r>
              <w:rPr>
                <w:rFonts w:ascii="DFKai-SB" w:hAnsi="DFKai-SB" w:eastAsia="DFKai-SB" w:cs="DFKai-SB"/>
                <w:b w:val="0"/>
                <w:i w:val="0"/>
                <w:color w:val="19352D"/>
                <w:sz w:val="17"/>
              </w:rPr>
              <w:t>比較臨床特徵、語言特徵及病前語言生態的增量價值</w:t>
            </w:r>
          </w:p>
        </w:tc>
        <w:tc>
          <w:tcPr>
            <w:tcW w:type="dxa" w:w="2324"/>
            <w:tcMar>
              <w:top w:w="90" w:type="dxa"/>
              <w:left w:w="100" w:type="dxa"/>
              <w:bottom w:w="90" w:type="dxa"/>
              <w:right w:w="100" w:type="dxa"/>
            </w:tcMar>
            <w:vAlign w:val="center"/>
          </w:tcPr>
          <w:p>
            <w:pPr>
              <w:spacing w:after="0" w:line="276" w:lineRule="auto"/>
              <w:jc w:val="both"/>
            </w:pPr>
            <w:r>
              <w:rPr>
                <w:rFonts w:ascii="DFKai-SB" w:hAnsi="DFKai-SB" w:eastAsia="DFKai-SB" w:cs="DFKai-SB"/>
                <w:b w:val="0"/>
                <w:i w:val="0"/>
                <w:color w:val="19352D"/>
                <w:sz w:val="17"/>
              </w:rPr>
              <w:t>以語言活力、代間傳承及使用領域建立病前基準</w:t>
            </w:r>
          </w:p>
        </w:tc>
      </w:tr>
      <w:tr>
        <w:tc>
          <w:tcPr>
            <w:tcW w:type="dxa" w:w="1417"/>
            <w:shd w:fill="F7F3EA"/>
            <w:tcMar>
              <w:top w:w="90" w:type="dxa"/>
              <w:left w:w="100" w:type="dxa"/>
              <w:bottom w:w="90" w:type="dxa"/>
              <w:right w:w="100" w:type="dxa"/>
            </w:tcMar>
            <w:vAlign w:val="center"/>
          </w:tcPr>
          <w:p>
            <w:pPr>
              <w:spacing w:after="0" w:line="276" w:lineRule="auto"/>
              <w:jc w:val="left"/>
            </w:pPr>
            <w:r>
              <w:rPr>
                <w:rFonts w:ascii="DFKai-SB" w:hAnsi="DFKai-SB" w:eastAsia="DFKai-SB" w:cs="DFKai-SB"/>
                <w:b/>
                <w:i w:val="0"/>
                <w:color w:val="19352D"/>
                <w:sz w:val="17"/>
              </w:rPr>
              <w:t>第2章／臨床決策</w:t>
            </w:r>
          </w:p>
        </w:tc>
        <w:tc>
          <w:tcPr>
            <w:tcW w:type="dxa" w:w="2267"/>
            <w:shd w:fill="F7F3EA"/>
            <w:tcMar>
              <w:top w:w="90" w:type="dxa"/>
              <w:left w:w="100" w:type="dxa"/>
              <w:bottom w:w="90" w:type="dxa"/>
              <w:right w:w="100" w:type="dxa"/>
            </w:tcMar>
            <w:vAlign w:val="center"/>
          </w:tcPr>
          <w:p>
            <w:pPr>
              <w:spacing w:after="0" w:line="276" w:lineRule="auto"/>
              <w:jc w:val="both"/>
            </w:pPr>
            <w:r>
              <w:rPr>
                <w:rFonts w:ascii="DFKai-SB" w:hAnsi="DFKai-SB" w:eastAsia="DFKai-SB" w:cs="DFKai-SB"/>
                <w:b w:val="0"/>
                <w:i w:val="0"/>
                <w:color w:val="19352D"/>
                <w:sz w:val="17"/>
              </w:rPr>
              <w:t>問題定義、資料前處理、決策樹與迴歸、模型評估</w:t>
            </w:r>
          </w:p>
        </w:tc>
        <w:tc>
          <w:tcPr>
            <w:tcW w:type="dxa" w:w="2834"/>
            <w:shd w:fill="F7F3EA"/>
            <w:tcMar>
              <w:top w:w="90" w:type="dxa"/>
              <w:left w:w="100" w:type="dxa"/>
              <w:bottom w:w="90" w:type="dxa"/>
              <w:right w:w="100" w:type="dxa"/>
            </w:tcMar>
            <w:vAlign w:val="center"/>
          </w:tcPr>
          <w:p>
            <w:pPr>
              <w:spacing w:after="0" w:line="276" w:lineRule="auto"/>
              <w:jc w:val="both"/>
            </w:pPr>
            <w:r>
              <w:rPr>
                <w:rFonts w:ascii="DFKai-SB" w:hAnsi="DFKai-SB" w:eastAsia="DFKai-SB" w:cs="DFKai-SB"/>
                <w:b w:val="0"/>
                <w:i w:val="0"/>
                <w:color w:val="19352D"/>
                <w:sz w:val="17"/>
              </w:rPr>
              <w:t>以受試者切分、校準、敏感度、特異度及錯誤代價評估</w:t>
            </w:r>
          </w:p>
        </w:tc>
        <w:tc>
          <w:tcPr>
            <w:tcW w:type="dxa" w:w="2324"/>
            <w:shd w:fill="F7F3EA"/>
            <w:tcMar>
              <w:top w:w="90" w:type="dxa"/>
              <w:left w:w="100" w:type="dxa"/>
              <w:bottom w:w="90" w:type="dxa"/>
              <w:right w:w="100" w:type="dxa"/>
            </w:tcMar>
            <w:vAlign w:val="center"/>
          </w:tcPr>
          <w:p>
            <w:pPr>
              <w:spacing w:after="0" w:line="276" w:lineRule="auto"/>
              <w:jc w:val="both"/>
            </w:pPr>
            <w:r>
              <w:rPr>
                <w:rFonts w:ascii="DFKai-SB" w:hAnsi="DFKai-SB" w:eastAsia="DFKai-SB" w:cs="DFKai-SB"/>
                <w:b w:val="0"/>
                <w:i w:val="0"/>
                <w:color w:val="19352D"/>
                <w:sz w:val="17"/>
              </w:rPr>
              <w:t>避免把方言、聽力、教育與任務陌生造成的低分病理化</w:t>
            </w:r>
          </w:p>
        </w:tc>
      </w:tr>
      <w:tr>
        <w:tc>
          <w:tcPr>
            <w:tcW w:type="dxa" w:w="1417"/>
            <w:tcMar>
              <w:top w:w="90" w:type="dxa"/>
              <w:left w:w="100" w:type="dxa"/>
              <w:bottom w:w="90" w:type="dxa"/>
              <w:right w:w="100" w:type="dxa"/>
            </w:tcMar>
            <w:vAlign w:val="center"/>
          </w:tcPr>
          <w:p>
            <w:pPr>
              <w:spacing w:after="0" w:line="276" w:lineRule="auto"/>
              <w:jc w:val="left"/>
            </w:pPr>
            <w:r>
              <w:rPr>
                <w:rFonts w:ascii="DFKai-SB" w:hAnsi="DFKai-SB" w:eastAsia="DFKai-SB" w:cs="DFKai-SB"/>
                <w:b/>
                <w:i w:val="0"/>
                <w:color w:val="19352D"/>
                <w:sz w:val="17"/>
              </w:rPr>
              <w:t>第3章／特徵辨識</w:t>
            </w:r>
          </w:p>
        </w:tc>
        <w:tc>
          <w:tcPr>
            <w:tcW w:type="dxa" w:w="2267"/>
            <w:tcMar>
              <w:top w:w="90" w:type="dxa"/>
              <w:left w:w="100" w:type="dxa"/>
              <w:bottom w:w="90" w:type="dxa"/>
              <w:right w:w="100" w:type="dxa"/>
            </w:tcMar>
            <w:vAlign w:val="center"/>
          </w:tcPr>
          <w:p>
            <w:pPr>
              <w:spacing w:after="0" w:line="276" w:lineRule="auto"/>
              <w:jc w:val="both"/>
            </w:pPr>
            <w:r>
              <w:rPr>
                <w:rFonts w:ascii="DFKai-SB" w:hAnsi="DFKai-SB" w:eastAsia="DFKai-SB" w:cs="DFKai-SB"/>
                <w:b w:val="0"/>
                <w:i w:val="0"/>
                <w:color w:val="19352D"/>
                <w:sz w:val="17"/>
              </w:rPr>
              <w:t>像素與特徵圖、CNN、自動駕駛風險與責任</w:t>
            </w:r>
          </w:p>
        </w:tc>
        <w:tc>
          <w:tcPr>
            <w:tcW w:type="dxa" w:w="2834"/>
            <w:tcMar>
              <w:top w:w="90" w:type="dxa"/>
              <w:left w:w="100" w:type="dxa"/>
              <w:bottom w:w="90" w:type="dxa"/>
              <w:right w:w="100" w:type="dxa"/>
            </w:tcMar>
            <w:vAlign w:val="center"/>
          </w:tcPr>
          <w:p>
            <w:pPr>
              <w:spacing w:after="0" w:line="276" w:lineRule="auto"/>
              <w:jc w:val="both"/>
            </w:pPr>
            <w:r>
              <w:rPr>
                <w:rFonts w:ascii="DFKai-SB" w:hAnsi="DFKai-SB" w:eastAsia="DFKai-SB" w:cs="DFKai-SB"/>
                <w:b w:val="0"/>
                <w:i w:val="0"/>
                <w:color w:val="19352D"/>
                <w:sz w:val="17"/>
              </w:rPr>
              <w:t>將影像局部特徵學習類比到語音頻譜；檢查設備與背景捷徑</w:t>
            </w:r>
          </w:p>
        </w:tc>
        <w:tc>
          <w:tcPr>
            <w:tcW w:type="dxa" w:w="2324"/>
            <w:tcMar>
              <w:top w:w="90" w:type="dxa"/>
              <w:left w:w="100" w:type="dxa"/>
              <w:bottom w:w="90" w:type="dxa"/>
              <w:right w:w="100" w:type="dxa"/>
            </w:tcMar>
            <w:vAlign w:val="center"/>
          </w:tcPr>
          <w:p>
            <w:pPr>
              <w:spacing w:after="0" w:line="276" w:lineRule="auto"/>
              <w:jc w:val="both"/>
            </w:pPr>
            <w:r>
              <w:rPr>
                <w:rFonts w:ascii="DFKai-SB" w:hAnsi="DFKai-SB" w:eastAsia="DFKai-SB" w:cs="DFKai-SB"/>
                <w:b w:val="0"/>
                <w:i w:val="0"/>
                <w:color w:val="19352D"/>
                <w:sz w:val="17"/>
              </w:rPr>
              <w:t>跨錄音設備、場域、部落及方言進行外部驗證</w:t>
            </w:r>
          </w:p>
        </w:tc>
      </w:tr>
      <w:tr>
        <w:tc>
          <w:tcPr>
            <w:tcW w:type="dxa" w:w="1417"/>
            <w:shd w:fill="F7F3EA"/>
            <w:tcMar>
              <w:top w:w="90" w:type="dxa"/>
              <w:left w:w="100" w:type="dxa"/>
              <w:bottom w:w="90" w:type="dxa"/>
              <w:right w:w="100" w:type="dxa"/>
            </w:tcMar>
            <w:vAlign w:val="center"/>
          </w:tcPr>
          <w:p>
            <w:pPr>
              <w:spacing w:after="0" w:line="276" w:lineRule="auto"/>
              <w:jc w:val="left"/>
            </w:pPr>
            <w:r>
              <w:rPr>
                <w:rFonts w:ascii="DFKai-SB" w:hAnsi="DFKai-SB" w:eastAsia="DFKai-SB" w:cs="DFKai-SB"/>
                <w:b/>
                <w:i w:val="0"/>
                <w:color w:val="19352D"/>
                <w:sz w:val="17"/>
              </w:rPr>
              <w:t>第4章／語言模型</w:t>
            </w:r>
          </w:p>
        </w:tc>
        <w:tc>
          <w:tcPr>
            <w:tcW w:type="dxa" w:w="2267"/>
            <w:shd w:fill="F7F3EA"/>
            <w:tcMar>
              <w:top w:w="90" w:type="dxa"/>
              <w:left w:w="100" w:type="dxa"/>
              <w:bottom w:w="90" w:type="dxa"/>
              <w:right w:w="100" w:type="dxa"/>
            </w:tcMar>
            <w:vAlign w:val="center"/>
          </w:tcPr>
          <w:p>
            <w:pPr>
              <w:spacing w:after="0" w:line="276" w:lineRule="auto"/>
              <w:jc w:val="both"/>
            </w:pPr>
            <w:r>
              <w:rPr>
                <w:rFonts w:ascii="DFKai-SB" w:hAnsi="DFKai-SB" w:eastAsia="DFKai-SB" w:cs="DFKai-SB"/>
                <w:b w:val="0"/>
                <w:i w:val="0"/>
                <w:color w:val="19352D"/>
                <w:sz w:val="17"/>
              </w:rPr>
              <w:t>NLP、Token、詞向量、Transformer、BERT、GPT</w:t>
            </w:r>
          </w:p>
        </w:tc>
        <w:tc>
          <w:tcPr>
            <w:tcW w:type="dxa" w:w="2834"/>
            <w:shd w:fill="F7F3EA"/>
            <w:tcMar>
              <w:top w:w="90" w:type="dxa"/>
              <w:left w:w="100" w:type="dxa"/>
              <w:bottom w:w="90" w:type="dxa"/>
              <w:right w:w="100" w:type="dxa"/>
            </w:tcMar>
            <w:vAlign w:val="center"/>
          </w:tcPr>
          <w:p>
            <w:pPr>
              <w:spacing w:after="0" w:line="276" w:lineRule="auto"/>
              <w:jc w:val="both"/>
            </w:pPr>
            <w:r>
              <w:rPr>
                <w:rFonts w:ascii="DFKai-SB" w:hAnsi="DFKai-SB" w:eastAsia="DFKai-SB" w:cs="DFKai-SB"/>
                <w:b w:val="0"/>
                <w:i w:val="0"/>
                <w:color w:val="19352D"/>
                <w:sz w:val="17"/>
              </w:rPr>
              <w:t>比較字元、子詞與詞素切分；保存語碼轉換及敘事脈絡</w:t>
            </w:r>
          </w:p>
        </w:tc>
        <w:tc>
          <w:tcPr>
            <w:tcW w:type="dxa" w:w="2324"/>
            <w:shd w:fill="F7F3EA"/>
            <w:tcMar>
              <w:top w:w="90" w:type="dxa"/>
              <w:left w:w="100" w:type="dxa"/>
              <w:bottom w:w="90" w:type="dxa"/>
              <w:right w:w="100" w:type="dxa"/>
            </w:tcMar>
            <w:vAlign w:val="center"/>
          </w:tcPr>
          <w:p>
            <w:pPr>
              <w:spacing w:after="0" w:line="276" w:lineRule="auto"/>
              <w:jc w:val="both"/>
            </w:pPr>
            <w:r>
              <w:rPr>
                <w:rFonts w:ascii="DFKai-SB" w:hAnsi="DFKai-SB" w:eastAsia="DFKai-SB" w:cs="DFKai-SB"/>
                <w:b w:val="0"/>
                <w:i w:val="0"/>
                <w:color w:val="19352D"/>
                <w:sz w:val="17"/>
              </w:rPr>
              <w:t>檢驗通用切詞器對阿美語構詞與低資源語料的不公平</w:t>
            </w:r>
          </w:p>
        </w:tc>
      </w:tr>
      <w:tr>
        <w:tc>
          <w:tcPr>
            <w:tcW w:type="dxa" w:w="1417"/>
            <w:tcMar>
              <w:top w:w="90" w:type="dxa"/>
              <w:left w:w="100" w:type="dxa"/>
              <w:bottom w:w="90" w:type="dxa"/>
              <w:right w:w="100" w:type="dxa"/>
            </w:tcMar>
            <w:vAlign w:val="center"/>
          </w:tcPr>
          <w:p>
            <w:pPr>
              <w:spacing w:after="0" w:line="276" w:lineRule="auto"/>
              <w:jc w:val="left"/>
            </w:pPr>
            <w:r>
              <w:rPr>
                <w:rFonts w:ascii="DFKai-SB" w:hAnsi="DFKai-SB" w:eastAsia="DFKai-SB" w:cs="DFKai-SB"/>
                <w:b/>
                <w:i w:val="0"/>
                <w:color w:val="19352D"/>
                <w:sz w:val="17"/>
              </w:rPr>
              <w:t>第5章／可信任治理</w:t>
            </w:r>
          </w:p>
        </w:tc>
        <w:tc>
          <w:tcPr>
            <w:tcW w:type="dxa" w:w="2267"/>
            <w:tcMar>
              <w:top w:w="90" w:type="dxa"/>
              <w:left w:w="100" w:type="dxa"/>
              <w:bottom w:w="90" w:type="dxa"/>
              <w:right w:w="100" w:type="dxa"/>
            </w:tcMar>
            <w:vAlign w:val="center"/>
          </w:tcPr>
          <w:p>
            <w:pPr>
              <w:spacing w:after="0" w:line="276" w:lineRule="auto"/>
              <w:jc w:val="both"/>
            </w:pPr>
            <w:r>
              <w:rPr>
                <w:rFonts w:ascii="DFKai-SB" w:hAnsi="DFKai-SB" w:eastAsia="DFKai-SB" w:cs="DFKai-SB"/>
                <w:b w:val="0"/>
                <w:i w:val="0"/>
                <w:color w:val="19352D"/>
                <w:sz w:val="17"/>
              </w:rPr>
              <w:t>穩健性、可解釋性、公平性、責任與Deepfake</w:t>
            </w:r>
          </w:p>
        </w:tc>
        <w:tc>
          <w:tcPr>
            <w:tcW w:type="dxa" w:w="2834"/>
            <w:tcMar>
              <w:top w:w="90" w:type="dxa"/>
              <w:left w:w="100" w:type="dxa"/>
              <w:bottom w:w="90" w:type="dxa"/>
              <w:right w:w="100" w:type="dxa"/>
            </w:tcMar>
            <w:vAlign w:val="center"/>
          </w:tcPr>
          <w:p>
            <w:pPr>
              <w:spacing w:after="0" w:line="276" w:lineRule="auto"/>
              <w:jc w:val="both"/>
            </w:pPr>
            <w:r>
              <w:rPr>
                <w:rFonts w:ascii="DFKai-SB" w:hAnsi="DFKai-SB" w:eastAsia="DFKai-SB" w:cs="DFKai-SB"/>
                <w:b w:val="0"/>
                <w:i w:val="0"/>
                <w:color w:val="19352D"/>
                <w:sz w:val="17"/>
              </w:rPr>
              <w:t>整合跨場域驗證、個案解釋、群體錯誤率與生命週期治理</w:t>
            </w:r>
          </w:p>
        </w:tc>
        <w:tc>
          <w:tcPr>
            <w:tcW w:type="dxa" w:w="2324"/>
            <w:tcMar>
              <w:top w:w="90" w:type="dxa"/>
              <w:left w:w="100" w:type="dxa"/>
              <w:bottom w:w="90" w:type="dxa"/>
              <w:right w:w="100" w:type="dxa"/>
            </w:tcMar>
            <w:vAlign w:val="center"/>
          </w:tcPr>
          <w:p>
            <w:pPr>
              <w:spacing w:after="0" w:line="276" w:lineRule="auto"/>
              <w:jc w:val="both"/>
            </w:pPr>
            <w:r>
              <w:rPr>
                <w:rFonts w:ascii="DFKai-SB" w:hAnsi="DFKai-SB" w:eastAsia="DFKai-SB" w:cs="DFKai-SB"/>
                <w:b w:val="0"/>
                <w:i w:val="0"/>
                <w:color w:val="19352D"/>
                <w:sz w:val="17"/>
              </w:rPr>
              <w:t>採分層同意、社群共同解釋、用途限制與可撤回機制</w:t>
            </w:r>
          </w:p>
        </w:tc>
      </w:tr>
    </w:tbl>
    <w:p>
      <w:pPr>
        <w:spacing w:before="80" w:after="200" w:line="300" w:lineRule="auto"/>
      </w:pPr>
      <w:r>
        <w:rPr>
          <w:rFonts w:ascii="DFKai-SB" w:hAnsi="DFKai-SB" w:eastAsia="DFKai-SB" w:cs="DFKai-SB"/>
          <w:b w:val="0"/>
          <w:i/>
          <w:color w:val="19352D"/>
          <w:sz w:val="20"/>
        </w:rPr>
        <w:t>註。</w:t>
      </w:r>
      <w:r>
        <w:rPr>
          <w:rFonts w:ascii="DFKai-SB" w:hAnsi="DFKai-SB" w:eastAsia="DFKai-SB" w:cs="DFKai-SB"/>
          <w:b w:val="0"/>
          <w:i w:val="0"/>
          <w:color w:val="19352D"/>
          <w:sz w:val="20"/>
        </w:rPr>
        <w:t xml:space="preserve">陳誼誠的語言活力研究可為第一、二章提供代間與使用領域基準；Hast及Sifo Lakaw的研究則把數位平台、家庭語言實踐、社群參與與去殖民化治理連接到第四、五章。 </w:t>
      </w:r>
      <w:hyperlink r:id="rId10">
        <w:r>
          <w:rPr>
            <w:rFonts w:ascii="DFKai-SB" w:hAnsi="DFKai-SB" w:eastAsia="DFKai-SB" w:cs="DFKai-SB"/>
            <w:color w:val="0563C1"/>
            <w:u w:val="single"/>
            <w:sz w:val="22"/>
          </w:rPr>
          <w:t>陳誼誠（2017）</w:t>
        </w:r>
      </w:hyperlink>
      <w:r>
        <w:rPr>
          <w:rFonts w:ascii="DFKai-SB" w:hAnsi="DFKai-SB" w:eastAsia="DFKai-SB" w:cs="DFKai-SB"/>
          <w:b w:val="0"/>
          <w:i w:val="0"/>
          <w:color w:val="19352D"/>
          <w:sz w:val="20"/>
        </w:rPr>
        <w:t>；</w:t>
      </w:r>
      <w:hyperlink r:id="rId13">
        <w:r>
          <w:rPr>
            <w:rFonts w:ascii="DFKai-SB" w:hAnsi="DFKai-SB" w:eastAsia="DFKai-SB" w:cs="DFKai-SB"/>
            <w:color w:val="0563C1"/>
            <w:u w:val="single"/>
            <w:sz w:val="22"/>
          </w:rPr>
          <w:t>Hast（2023）</w:t>
        </w:r>
      </w:hyperlink>
      <w:r>
        <w:rPr>
          <w:rFonts w:ascii="DFKai-SB" w:hAnsi="DFKai-SB" w:eastAsia="DFKai-SB" w:cs="DFKai-SB"/>
          <w:b w:val="0"/>
          <w:i w:val="0"/>
          <w:color w:val="19352D"/>
          <w:sz w:val="20"/>
        </w:rPr>
        <w:t>；</w:t>
      </w:r>
      <w:hyperlink r:id="rId11">
        <w:r>
          <w:rPr>
            <w:rFonts w:ascii="DFKai-SB" w:hAnsi="DFKai-SB" w:eastAsia="DFKai-SB" w:cs="DFKai-SB"/>
            <w:color w:val="0563C1"/>
            <w:u w:val="single"/>
            <w:sz w:val="22"/>
          </w:rPr>
          <w:t>Sifo Lakaw（2024）</w:t>
        </w:r>
      </w:hyperlink>
      <w:r>
        <w:rPr>
          <w:rFonts w:ascii="DFKai-SB" w:hAnsi="DFKai-SB" w:eastAsia="DFKai-SB" w:cs="DFKai-SB"/>
          <w:b w:val="0"/>
          <w:i w:val="0"/>
          <w:color w:val="19352D"/>
          <w:sz w:val="20"/>
        </w:rPr>
        <w:t>。</w:t>
      </w:r>
    </w:p>
    <w:p>
      <w:pPr>
        <w:keepNext/>
        <w:spacing w:before="200" w:after="0"/>
      </w:pPr>
      <w:r>
        <w:rPr>
          <w:rFonts w:ascii="DFKai-SB" w:hAnsi="DFKai-SB" w:eastAsia="DFKai-SB" w:cs="DFKai-SB"/>
          <w:b/>
          <w:i w:val="0"/>
          <w:color w:val="19352D"/>
          <w:sz w:val="22"/>
        </w:rPr>
        <w:t>圖 4</w:t>
      </w:r>
    </w:p>
    <w:p>
      <w:pPr>
        <w:keepNext/>
        <w:spacing w:after="100"/>
      </w:pPr>
      <w:r>
        <w:rPr>
          <w:rFonts w:ascii="DFKai-SB" w:hAnsi="DFKai-SB" w:eastAsia="DFKai-SB" w:cs="DFKai-SB"/>
          <w:b w:val="0"/>
          <w:i/>
          <w:color w:val="19352D"/>
          <w:sz w:val="22"/>
        </w:rPr>
        <w:t>五章人工智慧知識路徑與阿美族研究主軸</w:t>
      </w:r>
    </w:p>
    <w:p>
      <w:pPr>
        <w:spacing w:after="0"/>
        <w:jc w:val="center"/>
      </w:pPr>
      <w:r>
        <w:drawing>
          <wp:inline xmlns:a="http://schemas.openxmlformats.org/drawingml/2006/main" xmlns:pic="http://schemas.openxmlformats.org/drawingml/2006/picture">
            <wp:extent cx="5715000" cy="3294062"/>
            <wp:docPr id="4" name="Picture 4"/>
            <wp:cNvGraphicFramePr>
              <a:graphicFrameLocks noChangeAspect="1"/>
            </wp:cNvGraphicFramePr>
            <a:graphic>
              <a:graphicData uri="http://schemas.openxmlformats.org/drawingml/2006/picture">
                <pic:pic>
                  <pic:nvPicPr>
                    <pic:cNvPr id="0" name="figure-4-ai-path.png"/>
                    <pic:cNvPicPr/>
                  </pic:nvPicPr>
                  <pic:blipFill>
                    <a:blip r:embed="rId19"/>
                    <a:stretch>
                      <a:fillRect/>
                    </a:stretch>
                  </pic:blipFill>
                  <pic:spPr>
                    <a:xfrm>
                      <a:off x="0" y="0"/>
                      <a:ext cx="5715000" cy="3294062"/>
                    </a:xfrm>
                    <a:prstGeom prst="rect"/>
                  </pic:spPr>
                </pic:pic>
              </a:graphicData>
            </a:graphic>
          </wp:inline>
        </w:drawing>
      </w:r>
    </w:p>
    <w:p>
      <w:pPr>
        <w:spacing w:before="80" w:after="200" w:line="300" w:lineRule="auto"/>
      </w:pPr>
      <w:r>
        <w:rPr>
          <w:rFonts w:ascii="DFKai-SB" w:hAnsi="DFKai-SB" w:eastAsia="DFKai-SB" w:cs="DFKai-SB"/>
          <w:b w:val="0"/>
          <w:i/>
          <w:color w:val="19352D"/>
          <w:sz w:val="20"/>
        </w:rPr>
        <w:t>註。</w:t>
      </w:r>
      <w:r>
        <w:rPr>
          <w:rFonts w:ascii="DFKai-SB" w:hAnsi="DFKai-SB" w:eastAsia="DFKai-SB" w:cs="DFKai-SB"/>
          <w:b w:val="0"/>
          <w:i w:val="0"/>
          <w:color w:val="19352D"/>
          <w:sz w:val="20"/>
        </w:rPr>
        <w:t xml:space="preserve">本圖把五章串成由技術底座到可信任治理的路徑；阿美族研究主軸不是末端應用，而是同時約束問題定義、資料、模型與治理。語言活力、數位實踐社群及家庭語言去殖民化研究可分別支撐病前基準、平台語料與社群治理。 </w:t>
      </w:r>
      <w:hyperlink r:id="rId10">
        <w:r>
          <w:rPr>
            <w:rFonts w:ascii="DFKai-SB" w:hAnsi="DFKai-SB" w:eastAsia="DFKai-SB" w:cs="DFKai-SB"/>
            <w:color w:val="0563C1"/>
            <w:u w:val="single"/>
            <w:sz w:val="22"/>
          </w:rPr>
          <w:t>語言活力研究</w:t>
        </w:r>
      </w:hyperlink>
      <w:r>
        <w:rPr>
          <w:rFonts w:ascii="DFKai-SB" w:hAnsi="DFKai-SB" w:eastAsia="DFKai-SB" w:cs="DFKai-SB"/>
          <w:b w:val="0"/>
          <w:i w:val="0"/>
          <w:color w:val="19352D"/>
          <w:sz w:val="20"/>
        </w:rPr>
        <w:t>；</w:t>
      </w:r>
      <w:hyperlink r:id="rId13">
        <w:r>
          <w:rPr>
            <w:rFonts w:ascii="DFKai-SB" w:hAnsi="DFKai-SB" w:eastAsia="DFKai-SB" w:cs="DFKai-SB"/>
            <w:color w:val="0563C1"/>
            <w:u w:val="single"/>
            <w:sz w:val="22"/>
          </w:rPr>
          <w:t>數位民族誌</w:t>
        </w:r>
      </w:hyperlink>
      <w:r>
        <w:rPr>
          <w:rFonts w:ascii="DFKai-SB" w:hAnsi="DFKai-SB" w:eastAsia="DFKai-SB" w:cs="DFKai-SB"/>
          <w:b w:val="0"/>
          <w:i w:val="0"/>
          <w:color w:val="19352D"/>
          <w:sz w:val="20"/>
        </w:rPr>
        <w:t>；</w:t>
      </w:r>
      <w:hyperlink r:id="rId11">
        <w:r>
          <w:rPr>
            <w:rFonts w:ascii="DFKai-SB" w:hAnsi="DFKai-SB" w:eastAsia="DFKai-SB" w:cs="DFKai-SB"/>
            <w:color w:val="0563C1"/>
            <w:u w:val="single"/>
            <w:sz w:val="22"/>
          </w:rPr>
          <w:t>家庭語言去殖民化</w:t>
        </w:r>
      </w:hyperlink>
      <w:r>
        <w:rPr>
          <w:rFonts w:ascii="DFKai-SB" w:hAnsi="DFKai-SB" w:eastAsia="DFKai-SB" w:cs="DFKai-SB"/>
          <w:b w:val="0"/>
          <w:i w:val="0"/>
          <w:color w:val="19352D"/>
          <w:sz w:val="20"/>
        </w:rPr>
        <w:t>。</w:t>
      </w:r>
    </w:p>
    <w:p>
      <w:pPr>
        <w:keepNext/>
        <w:spacing w:before="200" w:after="0"/>
      </w:pPr>
      <w:r>
        <w:rPr>
          <w:rFonts w:ascii="DFKai-SB" w:hAnsi="DFKai-SB" w:eastAsia="DFKai-SB" w:cs="DFKai-SB"/>
          <w:b/>
          <w:i w:val="0"/>
          <w:color w:val="19352D"/>
          <w:sz w:val="22"/>
        </w:rPr>
        <w:t>表 6</w:t>
      </w:r>
    </w:p>
    <w:p>
      <w:pPr>
        <w:keepNext/>
        <w:spacing w:after="100"/>
      </w:pPr>
      <w:r>
        <w:rPr>
          <w:rFonts w:ascii="DFKai-SB" w:hAnsi="DFKai-SB" w:eastAsia="DFKai-SB" w:cs="DFKai-SB"/>
          <w:b w:val="0"/>
          <w:i/>
          <w:color w:val="19352D"/>
          <w:sz w:val="22"/>
        </w:rPr>
        <w:t>人工智慧整合研究缺口與可驗證設計</w:t>
      </w:r>
    </w:p>
    <w:tbl>
      <w:tblPr>
        <w:tblW w:type="dxa" w:w="8844"/>
        <w:jc w:val="center"/>
        <w:tblLayout w:type="fixed"/>
        <w:tblLook w:firstColumn="1" w:firstRow="1" w:lastColumn="0" w:lastRow="0" w:noHBand="0" w:noVBand="1" w:val="04A0"/>
        <w:tblBorders>
          <w:top w:val="single" w:sz="6" w:color="C8CFC8"/>
          <w:left w:val="single" w:sz="6" w:color="C8CFC8"/>
          <w:bottom w:val="single" w:sz="6" w:color="C8CFC8"/>
          <w:right w:val="single" w:sz="6" w:color="C8CFC8"/>
          <w:insideH w:val="single" w:sz="6" w:color="C8CFC8"/>
          <w:insideV w:val="single" w:sz="6" w:color="C8CFC8"/>
        </w:tblBorders>
      </w:tblPr>
      <w:tblGrid>
        <w:gridCol w:w="2267"/>
        <w:gridCol w:w="2154"/>
        <w:gridCol w:w="2721"/>
        <w:gridCol w:w="1700"/>
      </w:tblGrid>
      <w:tr>
        <w:trPr>
          <w:tblHeader/>
        </w:trPr>
        <w:tc>
          <w:tcPr>
            <w:tcW w:type="dxa" w:w="2267"/>
            <w:shd w:fill="19352D"/>
            <w:tcMar>
              <w:top w:w="90" w:type="dxa"/>
              <w:left w:w="100" w:type="dxa"/>
              <w:bottom w:w="90" w:type="dxa"/>
              <w:right w:w="100" w:type="dxa"/>
            </w:tcMar>
            <w:vAlign w:val="center"/>
          </w:tcPr>
          <w:p>
            <w:pPr>
              <w:spacing w:after="0"/>
              <w:jc w:val="center"/>
            </w:pPr>
            <w:r>
              <w:rPr>
                <w:rFonts w:ascii="DFKai-SB" w:hAnsi="DFKai-SB" w:eastAsia="DFKai-SB" w:cs="DFKai-SB"/>
                <w:b/>
                <w:i w:val="0"/>
                <w:color w:val="FFFFFF"/>
                <w:sz w:val="18"/>
              </w:rPr>
              <w:t>研究缺口</w:t>
            </w:r>
          </w:p>
        </w:tc>
        <w:tc>
          <w:tcPr>
            <w:tcW w:type="dxa" w:w="2154"/>
            <w:shd w:fill="19352D"/>
            <w:tcMar>
              <w:top w:w="90" w:type="dxa"/>
              <w:left w:w="100" w:type="dxa"/>
              <w:bottom w:w="90" w:type="dxa"/>
              <w:right w:w="100" w:type="dxa"/>
            </w:tcMar>
            <w:vAlign w:val="center"/>
          </w:tcPr>
          <w:p>
            <w:pPr>
              <w:spacing w:after="0"/>
              <w:jc w:val="center"/>
            </w:pPr>
            <w:r>
              <w:rPr>
                <w:rFonts w:ascii="DFKai-SB" w:hAnsi="DFKai-SB" w:eastAsia="DFKai-SB" w:cs="DFKai-SB"/>
                <w:b/>
                <w:i w:val="0"/>
                <w:color w:val="FFFFFF"/>
                <w:sz w:val="18"/>
              </w:rPr>
              <w:t>風險</w:t>
            </w:r>
          </w:p>
        </w:tc>
        <w:tc>
          <w:tcPr>
            <w:tcW w:type="dxa" w:w="2721"/>
            <w:shd w:fill="19352D"/>
            <w:tcMar>
              <w:top w:w="90" w:type="dxa"/>
              <w:left w:w="100" w:type="dxa"/>
              <w:bottom w:w="90" w:type="dxa"/>
              <w:right w:w="100" w:type="dxa"/>
            </w:tcMar>
            <w:vAlign w:val="center"/>
          </w:tcPr>
          <w:p>
            <w:pPr>
              <w:spacing w:after="0"/>
              <w:jc w:val="center"/>
            </w:pPr>
            <w:r>
              <w:rPr>
                <w:rFonts w:ascii="DFKai-SB" w:hAnsi="DFKai-SB" w:eastAsia="DFKai-SB" w:cs="DFKai-SB"/>
                <w:b/>
                <w:i w:val="0"/>
                <w:color w:val="FFFFFF"/>
                <w:sz w:val="18"/>
              </w:rPr>
              <w:t>可驗證設計</w:t>
            </w:r>
          </w:p>
        </w:tc>
        <w:tc>
          <w:tcPr>
            <w:tcW w:type="dxa" w:w="1700"/>
            <w:shd w:fill="19352D"/>
            <w:tcMar>
              <w:top w:w="90" w:type="dxa"/>
              <w:left w:w="100" w:type="dxa"/>
              <w:bottom w:w="90" w:type="dxa"/>
              <w:right w:w="100" w:type="dxa"/>
            </w:tcMar>
            <w:vAlign w:val="center"/>
          </w:tcPr>
          <w:p>
            <w:pPr>
              <w:spacing w:after="0"/>
              <w:jc w:val="center"/>
            </w:pPr>
            <w:r>
              <w:rPr>
                <w:rFonts w:ascii="DFKai-SB" w:hAnsi="DFKai-SB" w:eastAsia="DFKai-SB" w:cs="DFKai-SB"/>
                <w:b/>
                <w:i w:val="0"/>
                <w:color w:val="FFFFFF"/>
                <w:sz w:val="18"/>
              </w:rPr>
              <w:t>與阿美族研究的關係</w:t>
            </w:r>
          </w:p>
        </w:tc>
      </w:tr>
      <w:tr>
        <w:tc>
          <w:tcPr>
            <w:tcW w:type="dxa" w:w="2267"/>
            <w:tcMar>
              <w:top w:w="90" w:type="dxa"/>
              <w:left w:w="100" w:type="dxa"/>
              <w:bottom w:w="90" w:type="dxa"/>
              <w:right w:w="100" w:type="dxa"/>
            </w:tcMar>
            <w:vAlign w:val="center"/>
          </w:tcPr>
          <w:p>
            <w:pPr>
              <w:spacing w:after="0" w:line="276" w:lineRule="auto"/>
              <w:jc w:val="left"/>
            </w:pPr>
            <w:r>
              <w:rPr>
                <w:rFonts w:ascii="DFKai-SB" w:hAnsi="DFKai-SB" w:eastAsia="DFKai-SB" w:cs="DFKai-SB"/>
                <w:b/>
                <w:i w:val="0"/>
                <w:color w:val="19352D"/>
                <w:sz w:val="17"/>
              </w:rPr>
              <w:t>病前語言生態未進入模型</w:t>
            </w:r>
          </w:p>
        </w:tc>
        <w:tc>
          <w:tcPr>
            <w:tcW w:type="dxa" w:w="2154"/>
            <w:tcMar>
              <w:top w:w="90" w:type="dxa"/>
              <w:left w:w="100" w:type="dxa"/>
              <w:bottom w:w="90" w:type="dxa"/>
              <w:right w:w="100" w:type="dxa"/>
            </w:tcMar>
            <w:vAlign w:val="center"/>
          </w:tcPr>
          <w:p>
            <w:pPr>
              <w:spacing w:after="0" w:line="276" w:lineRule="auto"/>
              <w:jc w:val="both"/>
            </w:pPr>
            <w:r>
              <w:rPr>
                <w:rFonts w:ascii="DFKai-SB" w:hAnsi="DFKai-SB" w:eastAsia="DFKai-SB" w:cs="DFKai-SB"/>
                <w:b w:val="0"/>
                <w:i w:val="0"/>
                <w:color w:val="19352D"/>
                <w:sz w:val="17"/>
              </w:rPr>
              <w:t>把語言轉移或少用誤認為認知退化</w:t>
            </w:r>
          </w:p>
        </w:tc>
        <w:tc>
          <w:tcPr>
            <w:tcW w:type="dxa" w:w="2721"/>
            <w:tcMar>
              <w:top w:w="90" w:type="dxa"/>
              <w:left w:w="100" w:type="dxa"/>
              <w:bottom w:w="90" w:type="dxa"/>
              <w:right w:w="100" w:type="dxa"/>
            </w:tcMar>
            <w:vAlign w:val="center"/>
          </w:tcPr>
          <w:p>
            <w:pPr>
              <w:spacing w:after="0" w:line="276" w:lineRule="auto"/>
              <w:jc w:val="both"/>
            </w:pPr>
            <w:r>
              <w:rPr>
                <w:rFonts w:ascii="DFKai-SB" w:hAnsi="DFKai-SB" w:eastAsia="DFKai-SB" w:cs="DFKai-SB"/>
                <w:b w:val="0"/>
                <w:i w:val="0"/>
                <w:color w:val="19352D"/>
                <w:sz w:val="17"/>
              </w:rPr>
              <w:t>比較加入病前語言生態前後的效能、校準與錯誤個案</w:t>
            </w:r>
          </w:p>
        </w:tc>
        <w:tc>
          <w:tcPr>
            <w:tcW w:type="dxa" w:w="1700"/>
            <w:tcMar>
              <w:top w:w="90" w:type="dxa"/>
              <w:left w:w="100" w:type="dxa"/>
              <w:bottom w:w="90" w:type="dxa"/>
              <w:right w:w="100" w:type="dxa"/>
            </w:tcMar>
            <w:vAlign w:val="center"/>
          </w:tcPr>
          <w:p>
            <w:pPr>
              <w:spacing w:after="0" w:line="276" w:lineRule="auto"/>
              <w:jc w:val="both"/>
            </w:pPr>
            <w:r>
              <w:rPr>
                <w:rFonts w:ascii="DFKai-SB" w:hAnsi="DFKai-SB" w:eastAsia="DFKai-SB" w:cs="DFKai-SB"/>
                <w:b w:val="0"/>
                <w:i w:val="0"/>
                <w:color w:val="19352D"/>
                <w:sz w:val="17"/>
              </w:rPr>
              <w:t>連接語言活力、代間傳承與使用領域研究</w:t>
            </w:r>
          </w:p>
        </w:tc>
      </w:tr>
      <w:tr>
        <w:tc>
          <w:tcPr>
            <w:tcW w:type="dxa" w:w="2267"/>
            <w:shd w:fill="F7F3EA"/>
            <w:tcMar>
              <w:top w:w="90" w:type="dxa"/>
              <w:left w:w="100" w:type="dxa"/>
              <w:bottom w:w="90" w:type="dxa"/>
              <w:right w:w="100" w:type="dxa"/>
            </w:tcMar>
            <w:vAlign w:val="center"/>
          </w:tcPr>
          <w:p>
            <w:pPr>
              <w:spacing w:after="0" w:line="276" w:lineRule="auto"/>
              <w:jc w:val="left"/>
            </w:pPr>
            <w:r>
              <w:rPr>
                <w:rFonts w:ascii="DFKai-SB" w:hAnsi="DFKai-SB" w:eastAsia="DFKai-SB" w:cs="DFKai-SB"/>
                <w:b/>
                <w:i w:val="0"/>
                <w:color w:val="19352D"/>
                <w:sz w:val="17"/>
              </w:rPr>
              <w:t>阿美語Tokenization缺少比較</w:t>
            </w:r>
          </w:p>
        </w:tc>
        <w:tc>
          <w:tcPr>
            <w:tcW w:type="dxa" w:w="2154"/>
            <w:shd w:fill="F7F3EA"/>
            <w:tcMar>
              <w:top w:w="90" w:type="dxa"/>
              <w:left w:w="100" w:type="dxa"/>
              <w:bottom w:w="90" w:type="dxa"/>
              <w:right w:w="100" w:type="dxa"/>
            </w:tcMar>
            <w:vAlign w:val="center"/>
          </w:tcPr>
          <w:p>
            <w:pPr>
              <w:spacing w:after="0" w:line="276" w:lineRule="auto"/>
              <w:jc w:val="both"/>
            </w:pPr>
            <w:r>
              <w:rPr>
                <w:rFonts w:ascii="DFKai-SB" w:hAnsi="DFKai-SB" w:eastAsia="DFKai-SB" w:cs="DFKai-SB"/>
                <w:b w:val="0"/>
                <w:i w:val="0"/>
                <w:color w:val="19352D"/>
                <w:sz w:val="17"/>
              </w:rPr>
              <w:t>詞素被過度切碎，與華語比較不公平</w:t>
            </w:r>
          </w:p>
        </w:tc>
        <w:tc>
          <w:tcPr>
            <w:tcW w:type="dxa" w:w="2721"/>
            <w:shd w:fill="F7F3EA"/>
            <w:tcMar>
              <w:top w:w="90" w:type="dxa"/>
              <w:left w:w="100" w:type="dxa"/>
              <w:bottom w:w="90" w:type="dxa"/>
              <w:right w:w="100" w:type="dxa"/>
            </w:tcMar>
            <w:vAlign w:val="center"/>
          </w:tcPr>
          <w:p>
            <w:pPr>
              <w:spacing w:after="0" w:line="276" w:lineRule="auto"/>
              <w:jc w:val="both"/>
            </w:pPr>
            <w:r>
              <w:rPr>
                <w:rFonts w:ascii="DFKai-SB" w:hAnsi="DFKai-SB" w:eastAsia="DFKai-SB" w:cs="DFKai-SB"/>
                <w:b w:val="0"/>
                <w:i w:val="0"/>
                <w:color w:val="19352D"/>
                <w:sz w:val="17"/>
              </w:rPr>
              <w:t>比較字元、子詞、詞素與語言學導向切分</w:t>
            </w:r>
          </w:p>
        </w:tc>
        <w:tc>
          <w:tcPr>
            <w:tcW w:type="dxa" w:w="1700"/>
            <w:shd w:fill="F7F3EA"/>
            <w:tcMar>
              <w:top w:w="90" w:type="dxa"/>
              <w:left w:w="100" w:type="dxa"/>
              <w:bottom w:w="90" w:type="dxa"/>
              <w:right w:w="100" w:type="dxa"/>
            </w:tcMar>
            <w:vAlign w:val="center"/>
          </w:tcPr>
          <w:p>
            <w:pPr>
              <w:spacing w:after="0" w:line="276" w:lineRule="auto"/>
              <w:jc w:val="both"/>
            </w:pPr>
            <w:r>
              <w:rPr>
                <w:rFonts w:ascii="DFKai-SB" w:hAnsi="DFKai-SB" w:eastAsia="DFKai-SB" w:cs="DFKai-SB"/>
                <w:b w:val="0"/>
                <w:i w:val="0"/>
                <w:color w:val="19352D"/>
                <w:sz w:val="17"/>
              </w:rPr>
              <w:t>由族語使用者驗證構詞與語碼轉換的功能</w:t>
            </w:r>
          </w:p>
        </w:tc>
      </w:tr>
      <w:tr>
        <w:tc>
          <w:tcPr>
            <w:tcW w:type="dxa" w:w="2267"/>
            <w:tcMar>
              <w:top w:w="90" w:type="dxa"/>
              <w:left w:w="100" w:type="dxa"/>
              <w:bottom w:w="90" w:type="dxa"/>
              <w:right w:w="100" w:type="dxa"/>
            </w:tcMar>
            <w:vAlign w:val="center"/>
          </w:tcPr>
          <w:p>
            <w:pPr>
              <w:spacing w:after="0" w:line="276" w:lineRule="auto"/>
              <w:jc w:val="left"/>
            </w:pPr>
            <w:r>
              <w:rPr>
                <w:rFonts w:ascii="DFKai-SB" w:hAnsi="DFKai-SB" w:eastAsia="DFKai-SB" w:cs="DFKai-SB"/>
                <w:b/>
                <w:i w:val="0"/>
                <w:color w:val="19352D"/>
                <w:sz w:val="17"/>
              </w:rPr>
              <w:t>跨部落／方言外部驗證不足</w:t>
            </w:r>
          </w:p>
        </w:tc>
        <w:tc>
          <w:tcPr>
            <w:tcW w:type="dxa" w:w="2154"/>
            <w:tcMar>
              <w:top w:w="90" w:type="dxa"/>
              <w:left w:w="100" w:type="dxa"/>
              <w:bottom w:w="90" w:type="dxa"/>
              <w:right w:w="100" w:type="dxa"/>
            </w:tcMar>
            <w:vAlign w:val="center"/>
          </w:tcPr>
          <w:p>
            <w:pPr>
              <w:spacing w:after="0" w:line="276" w:lineRule="auto"/>
              <w:jc w:val="both"/>
            </w:pPr>
            <w:r>
              <w:rPr>
                <w:rFonts w:ascii="DFKai-SB" w:hAnsi="DFKai-SB" w:eastAsia="DFKai-SB" w:cs="DFKai-SB"/>
                <w:b w:val="0"/>
                <w:i w:val="0"/>
                <w:color w:val="19352D"/>
                <w:sz w:val="17"/>
              </w:rPr>
              <w:t>模型記住來源或錄音條件</w:t>
            </w:r>
          </w:p>
        </w:tc>
        <w:tc>
          <w:tcPr>
            <w:tcW w:type="dxa" w:w="2721"/>
            <w:tcMar>
              <w:top w:w="90" w:type="dxa"/>
              <w:left w:w="100" w:type="dxa"/>
              <w:bottom w:w="90" w:type="dxa"/>
              <w:right w:w="100" w:type="dxa"/>
            </w:tcMar>
            <w:vAlign w:val="center"/>
          </w:tcPr>
          <w:p>
            <w:pPr>
              <w:spacing w:after="0" w:line="276" w:lineRule="auto"/>
              <w:jc w:val="both"/>
            </w:pPr>
            <w:r>
              <w:rPr>
                <w:rFonts w:ascii="DFKai-SB" w:hAnsi="DFKai-SB" w:eastAsia="DFKai-SB" w:cs="DFKai-SB"/>
                <w:b w:val="0"/>
                <w:i w:val="0"/>
                <w:color w:val="19352D"/>
                <w:sz w:val="17"/>
              </w:rPr>
              <w:t>留一部落、留一方言、跨設備與跨任務測試</w:t>
            </w:r>
          </w:p>
        </w:tc>
        <w:tc>
          <w:tcPr>
            <w:tcW w:type="dxa" w:w="1700"/>
            <w:tcMar>
              <w:top w:w="90" w:type="dxa"/>
              <w:left w:w="100" w:type="dxa"/>
              <w:bottom w:w="90" w:type="dxa"/>
              <w:right w:w="100" w:type="dxa"/>
            </w:tcMar>
            <w:vAlign w:val="center"/>
          </w:tcPr>
          <w:p>
            <w:pPr>
              <w:spacing w:after="0" w:line="276" w:lineRule="auto"/>
              <w:jc w:val="both"/>
            </w:pPr>
            <w:r>
              <w:rPr>
                <w:rFonts w:ascii="DFKai-SB" w:hAnsi="DFKai-SB" w:eastAsia="DFKai-SB" w:cs="DFKai-SB"/>
                <w:b w:val="0"/>
                <w:i w:val="0"/>
                <w:color w:val="19352D"/>
                <w:sz w:val="17"/>
              </w:rPr>
              <w:t>避免單一場域被誤當成全體阿美族</w:t>
            </w:r>
          </w:p>
        </w:tc>
      </w:tr>
      <w:tr>
        <w:tc>
          <w:tcPr>
            <w:tcW w:type="dxa" w:w="2267"/>
            <w:shd w:fill="F7F3EA"/>
            <w:tcMar>
              <w:top w:w="90" w:type="dxa"/>
              <w:left w:w="100" w:type="dxa"/>
              <w:bottom w:w="90" w:type="dxa"/>
              <w:right w:w="100" w:type="dxa"/>
            </w:tcMar>
            <w:vAlign w:val="center"/>
          </w:tcPr>
          <w:p>
            <w:pPr>
              <w:spacing w:after="0" w:line="276" w:lineRule="auto"/>
              <w:jc w:val="left"/>
            </w:pPr>
            <w:r>
              <w:rPr>
                <w:rFonts w:ascii="DFKai-SB" w:hAnsi="DFKai-SB" w:eastAsia="DFKai-SB" w:cs="DFKai-SB"/>
                <w:b/>
                <w:i w:val="0"/>
                <w:color w:val="19352D"/>
                <w:sz w:val="17"/>
              </w:rPr>
              <w:t>個案解釋缺少社會語言層</w:t>
            </w:r>
          </w:p>
        </w:tc>
        <w:tc>
          <w:tcPr>
            <w:tcW w:type="dxa" w:w="2154"/>
            <w:shd w:fill="F7F3EA"/>
            <w:tcMar>
              <w:top w:w="90" w:type="dxa"/>
              <w:left w:w="100" w:type="dxa"/>
              <w:bottom w:w="90" w:type="dxa"/>
              <w:right w:w="100" w:type="dxa"/>
            </w:tcMar>
            <w:vAlign w:val="center"/>
          </w:tcPr>
          <w:p>
            <w:pPr>
              <w:spacing w:after="0" w:line="276" w:lineRule="auto"/>
              <w:jc w:val="both"/>
            </w:pPr>
            <w:r>
              <w:rPr>
                <w:rFonts w:ascii="DFKai-SB" w:hAnsi="DFKai-SB" w:eastAsia="DFKai-SB" w:cs="DFKai-SB"/>
                <w:b w:val="0"/>
                <w:i w:val="0"/>
                <w:color w:val="19352D"/>
                <w:sz w:val="17"/>
              </w:rPr>
              <w:t>方言、教育或識字被當成疾病特徵</w:t>
            </w:r>
          </w:p>
        </w:tc>
        <w:tc>
          <w:tcPr>
            <w:tcW w:type="dxa" w:w="2721"/>
            <w:shd w:fill="F7F3EA"/>
            <w:tcMar>
              <w:top w:w="90" w:type="dxa"/>
              <w:left w:w="100" w:type="dxa"/>
              <w:bottom w:w="90" w:type="dxa"/>
              <w:right w:w="100" w:type="dxa"/>
            </w:tcMar>
            <w:vAlign w:val="center"/>
          </w:tcPr>
          <w:p>
            <w:pPr>
              <w:spacing w:after="0" w:line="276" w:lineRule="auto"/>
              <w:jc w:val="both"/>
            </w:pPr>
            <w:r>
              <w:rPr>
                <w:rFonts w:ascii="DFKai-SB" w:hAnsi="DFKai-SB" w:eastAsia="DFKai-SB" w:cs="DFKai-SB"/>
                <w:b w:val="0"/>
                <w:i w:val="0"/>
                <w:color w:val="19352D"/>
                <w:sz w:val="17"/>
              </w:rPr>
              <w:t>以反事實與特徵貢獻檢查替代解釋，交由社群複核</w:t>
            </w:r>
          </w:p>
        </w:tc>
        <w:tc>
          <w:tcPr>
            <w:tcW w:type="dxa" w:w="1700"/>
            <w:shd w:fill="F7F3EA"/>
            <w:tcMar>
              <w:top w:w="90" w:type="dxa"/>
              <w:left w:w="100" w:type="dxa"/>
              <w:bottom w:w="90" w:type="dxa"/>
              <w:right w:w="100" w:type="dxa"/>
            </w:tcMar>
            <w:vAlign w:val="center"/>
          </w:tcPr>
          <w:p>
            <w:pPr>
              <w:spacing w:after="0" w:line="276" w:lineRule="auto"/>
              <w:jc w:val="both"/>
            </w:pPr>
            <w:r>
              <w:rPr>
                <w:rFonts w:ascii="DFKai-SB" w:hAnsi="DFKai-SB" w:eastAsia="DFKai-SB" w:cs="DFKai-SB"/>
                <w:b w:val="0"/>
                <w:i w:val="0"/>
                <w:color w:val="19352D"/>
                <w:sz w:val="17"/>
              </w:rPr>
              <w:t>連接家庭語言實踐、文化健康與跨文化溝通</w:t>
            </w:r>
          </w:p>
        </w:tc>
      </w:tr>
      <w:tr>
        <w:tc>
          <w:tcPr>
            <w:tcW w:type="dxa" w:w="2267"/>
            <w:tcMar>
              <w:top w:w="90" w:type="dxa"/>
              <w:left w:w="100" w:type="dxa"/>
              <w:bottom w:w="90" w:type="dxa"/>
              <w:right w:w="100" w:type="dxa"/>
            </w:tcMar>
            <w:vAlign w:val="center"/>
          </w:tcPr>
          <w:p>
            <w:pPr>
              <w:spacing w:after="0" w:line="276" w:lineRule="auto"/>
              <w:jc w:val="left"/>
            </w:pPr>
            <w:r>
              <w:rPr>
                <w:rFonts w:ascii="DFKai-SB" w:hAnsi="DFKai-SB" w:eastAsia="DFKai-SB" w:cs="DFKai-SB"/>
                <w:b/>
                <w:i w:val="0"/>
                <w:color w:val="19352D"/>
                <w:sz w:val="17"/>
              </w:rPr>
              <w:t>AI生命週期治理尚未操作化</w:t>
            </w:r>
          </w:p>
        </w:tc>
        <w:tc>
          <w:tcPr>
            <w:tcW w:type="dxa" w:w="2154"/>
            <w:tcMar>
              <w:top w:w="90" w:type="dxa"/>
              <w:left w:w="100" w:type="dxa"/>
              <w:bottom w:w="90" w:type="dxa"/>
              <w:right w:w="100" w:type="dxa"/>
            </w:tcMar>
            <w:vAlign w:val="center"/>
          </w:tcPr>
          <w:p>
            <w:pPr>
              <w:spacing w:after="0" w:line="276" w:lineRule="auto"/>
              <w:jc w:val="both"/>
            </w:pPr>
            <w:r>
              <w:rPr>
                <w:rFonts w:ascii="DFKai-SB" w:hAnsi="DFKai-SB" w:eastAsia="DFKai-SB" w:cs="DFKai-SB"/>
                <w:b w:val="0"/>
                <w:i w:val="0"/>
                <w:color w:val="19352D"/>
                <w:sz w:val="17"/>
              </w:rPr>
              <w:t>同意被擴張到模型再利用或公開生成</w:t>
            </w:r>
          </w:p>
        </w:tc>
        <w:tc>
          <w:tcPr>
            <w:tcW w:type="dxa" w:w="2721"/>
            <w:tcMar>
              <w:top w:w="90" w:type="dxa"/>
              <w:left w:w="100" w:type="dxa"/>
              <w:bottom w:w="90" w:type="dxa"/>
              <w:right w:w="100" w:type="dxa"/>
            </w:tcMar>
            <w:vAlign w:val="center"/>
          </w:tcPr>
          <w:p>
            <w:pPr>
              <w:spacing w:after="0" w:line="276" w:lineRule="auto"/>
              <w:jc w:val="both"/>
            </w:pPr>
            <w:r>
              <w:rPr>
                <w:rFonts w:ascii="DFKai-SB" w:hAnsi="DFKai-SB" w:eastAsia="DFKai-SB" w:cs="DFKai-SB"/>
                <w:b w:val="0"/>
                <w:i w:val="0"/>
                <w:color w:val="19352D"/>
                <w:sz w:val="17"/>
              </w:rPr>
              <w:t>分層同意、用途登錄、撤回演練、事件通報與定期回饋</w:t>
            </w:r>
          </w:p>
        </w:tc>
        <w:tc>
          <w:tcPr>
            <w:tcW w:type="dxa" w:w="1700"/>
            <w:tcMar>
              <w:top w:w="90" w:type="dxa"/>
              <w:left w:w="100" w:type="dxa"/>
              <w:bottom w:w="90" w:type="dxa"/>
              <w:right w:w="100" w:type="dxa"/>
            </w:tcMar>
            <w:vAlign w:val="center"/>
          </w:tcPr>
          <w:p>
            <w:pPr>
              <w:spacing w:after="0" w:line="276" w:lineRule="auto"/>
              <w:jc w:val="both"/>
            </w:pPr>
            <w:r>
              <w:rPr>
                <w:rFonts w:ascii="DFKai-SB" w:hAnsi="DFKai-SB" w:eastAsia="DFKai-SB" w:cs="DFKai-SB"/>
                <w:b w:val="0"/>
                <w:i w:val="0"/>
                <w:color w:val="19352D"/>
                <w:sz w:val="17"/>
              </w:rPr>
              <w:t>將資料主權落實為可稽核、可撤回的治理程序</w:t>
            </w:r>
          </w:p>
        </w:tc>
      </w:tr>
    </w:tbl>
    <w:p>
      <w:pPr>
        <w:spacing w:before="80" w:after="200" w:line="300" w:lineRule="auto"/>
      </w:pPr>
      <w:r>
        <w:rPr>
          <w:rFonts w:ascii="DFKai-SB" w:hAnsi="DFKai-SB" w:eastAsia="DFKai-SB" w:cs="DFKai-SB"/>
          <w:b w:val="0"/>
          <w:i/>
          <w:color w:val="19352D"/>
          <w:sz w:val="20"/>
        </w:rPr>
        <w:t>註。</w:t>
      </w:r>
      <w:r>
        <w:rPr>
          <w:rFonts w:ascii="DFKai-SB" w:hAnsi="DFKai-SB" w:eastAsia="DFKai-SB" w:cs="DFKai-SB"/>
          <w:b w:val="0"/>
          <w:i w:val="0"/>
          <w:color w:val="19352D"/>
          <w:sz w:val="20"/>
        </w:rPr>
        <w:t xml:space="preserve">Sifo Lakaw及Hast均顯示族語資料的家庭、社群與數位平台脈絡不能被技術流程取代；蕭惠美與全俊儒則支撐文化轉譯、醫療資源、信任及跨文化溝通必須進入模型驗證。 </w:t>
      </w:r>
      <w:hyperlink r:id="rId11">
        <w:r>
          <w:rPr>
            <w:rFonts w:ascii="DFKai-SB" w:hAnsi="DFKai-SB" w:eastAsia="DFKai-SB" w:cs="DFKai-SB"/>
            <w:color w:val="0563C1"/>
            <w:u w:val="single"/>
            <w:sz w:val="22"/>
          </w:rPr>
          <w:t>Sifo Lakaw（2024）</w:t>
        </w:r>
      </w:hyperlink>
      <w:r>
        <w:rPr>
          <w:rFonts w:ascii="DFKai-SB" w:hAnsi="DFKai-SB" w:eastAsia="DFKai-SB" w:cs="DFKai-SB"/>
          <w:b w:val="0"/>
          <w:i w:val="0"/>
          <w:color w:val="19352D"/>
          <w:sz w:val="20"/>
        </w:rPr>
        <w:t>；</w:t>
      </w:r>
      <w:hyperlink r:id="rId13">
        <w:r>
          <w:rPr>
            <w:rFonts w:ascii="DFKai-SB" w:hAnsi="DFKai-SB" w:eastAsia="DFKai-SB" w:cs="DFKai-SB"/>
            <w:color w:val="0563C1"/>
            <w:u w:val="single"/>
            <w:sz w:val="22"/>
          </w:rPr>
          <w:t>Hast（2023）</w:t>
        </w:r>
      </w:hyperlink>
      <w:r>
        <w:rPr>
          <w:rFonts w:ascii="DFKai-SB" w:hAnsi="DFKai-SB" w:eastAsia="DFKai-SB" w:cs="DFKai-SB"/>
          <w:b w:val="0"/>
          <w:i w:val="0"/>
          <w:color w:val="19352D"/>
          <w:sz w:val="20"/>
        </w:rPr>
        <w:t>；</w:t>
      </w:r>
      <w:hyperlink r:id="rId14">
        <w:r>
          <w:rPr>
            <w:rFonts w:ascii="DFKai-SB" w:hAnsi="DFKai-SB" w:eastAsia="DFKai-SB" w:cs="DFKai-SB"/>
            <w:color w:val="0563C1"/>
            <w:u w:val="single"/>
            <w:sz w:val="22"/>
          </w:rPr>
          <w:t>蕭惠美（2025）</w:t>
        </w:r>
      </w:hyperlink>
      <w:r>
        <w:rPr>
          <w:rFonts w:ascii="DFKai-SB" w:hAnsi="DFKai-SB" w:eastAsia="DFKai-SB" w:cs="DFKai-SB"/>
          <w:b w:val="0"/>
          <w:i w:val="0"/>
          <w:color w:val="19352D"/>
          <w:sz w:val="20"/>
        </w:rPr>
        <w:t>；</w:t>
      </w:r>
      <w:hyperlink r:id="rId15">
        <w:r>
          <w:rPr>
            <w:rFonts w:ascii="DFKai-SB" w:hAnsi="DFKai-SB" w:eastAsia="DFKai-SB" w:cs="DFKai-SB"/>
            <w:color w:val="0563C1"/>
            <w:u w:val="single"/>
            <w:sz w:val="22"/>
          </w:rPr>
          <w:t>全俊儒（2025）</w:t>
        </w:r>
      </w:hyperlink>
      <w:r>
        <w:rPr>
          <w:rFonts w:ascii="DFKai-SB" w:hAnsi="DFKai-SB" w:eastAsia="DFKai-SB" w:cs="DFKai-SB"/>
          <w:b w:val="0"/>
          <w:i w:val="0"/>
          <w:color w:val="19352D"/>
          <w:sz w:val="20"/>
        </w:rPr>
        <w:t>。</w:t>
      </w:r>
    </w:p>
    <w:p>
      <w:pPr>
        <w:keepNext/>
        <w:spacing w:before="320" w:after="160"/>
      </w:pPr>
      <w:r>
        <w:rPr>
          <w:rFonts w:ascii="DFKai-SB" w:hAnsi="DFKai-SB" w:eastAsia="DFKai-SB" w:cs="DFKai-SB"/>
          <w:b/>
          <w:i w:val="0"/>
          <w:color w:val="19352D"/>
          <w:sz w:val="32"/>
        </w:rPr>
        <w:t>整合後的研究主張</w:t>
      </w:r>
    </w:p>
    <w:p>
      <w:pPr>
        <w:spacing w:after="160" w:line="480" w:lineRule="auto"/>
        <w:jc w:val="both"/>
      </w:pPr>
      <w:r>
        <w:rPr>
          <w:rFonts w:ascii="DFKai-SB" w:hAnsi="DFKai-SB" w:eastAsia="DFKai-SB" w:cs="DFKai-SB"/>
          <w:b w:val="0"/>
          <w:i w:val="0"/>
          <w:color w:val="19352D"/>
          <w:sz w:val="24"/>
        </w:rPr>
        <w:t>若要區分高齡阿美語使用者的正常社會語言變化、語言使用減少／磨損與可能的神經認知變化，研究單位不能只是一份族語版測驗。較穩健的設計需要同時保存個人多語生命史、網絡與共同實踐、感官及健康背景、自然語料、結構式任務、口譯互動軌跡，以及社群對結果的共同詮釋。</w:t>
      </w:r>
    </w:p>
    <w:p>
      <w:pPr>
        <w:spacing w:after="160" w:line="480" w:lineRule="auto"/>
        <w:jc w:val="both"/>
      </w:pPr>
      <w:r>
        <w:rPr>
          <w:rFonts w:ascii="DFKai-SB" w:hAnsi="DFKai-SB" w:eastAsia="DFKai-SB" w:cs="DFKai-SB"/>
          <w:b w:val="0"/>
          <w:i w:val="0"/>
          <w:color w:val="19352D"/>
          <w:sz w:val="24"/>
        </w:rPr>
        <w:t>最優先的證據缺口是：阿美語方言與任務公平性、病前雙語基線、自然互動與臨床任務的效標連結，以及可操作的資料主權／撤回機制。這些缺口決定研究能否把『不同』與『病理』清楚分開。</w:t>
      </w:r>
    </w:p>
    <w:p>
      <w:pPr>
        <w:keepNext/>
        <w:spacing w:before="320" w:after="160"/>
      </w:pPr>
      <w:r>
        <w:rPr>
          <w:rFonts w:ascii="DFKai-SB" w:hAnsi="DFKai-SB" w:eastAsia="DFKai-SB" w:cs="DFKai-SB"/>
          <w:b/>
          <w:i w:val="0"/>
          <w:color w:val="19352D"/>
          <w:sz w:val="32"/>
        </w:rPr>
        <w:t>參考文獻</w:t>
      </w:r>
    </w:p>
    <w:p>
      <w:pPr>
        <w:spacing w:line="480" w:lineRule="auto" w:after="0"/>
        <w:ind w:left="720" w:hanging="720"/>
      </w:pPr>
      <w:r>
        <w:rPr>
          <w:rFonts w:ascii="DFKai-SB" w:hAnsi="DFKai-SB" w:eastAsia="DFKai-SB" w:cs="DFKai-SB"/>
          <w:b w:val="0"/>
          <w:i w:val="0"/>
          <w:color w:val="19352D"/>
          <w:sz w:val="22"/>
        </w:rPr>
        <w:t>Ball, M. J. (Ed.). (2005). Clinical sociolinguistics. Blackwell Publishing.</w:t>
      </w:r>
    </w:p>
    <w:p>
      <w:pPr>
        <w:spacing w:line="480" w:lineRule="auto" w:after="0"/>
        <w:ind w:left="720" w:hanging="720"/>
      </w:pPr>
      <w:r>
        <w:rPr>
          <w:rFonts w:ascii="DFKai-SB" w:hAnsi="DFKai-SB" w:eastAsia="DFKai-SB" w:cs="DFKai-SB"/>
          <w:b w:val="0"/>
          <w:i w:val="0"/>
          <w:color w:val="19352D"/>
          <w:sz w:val="22"/>
        </w:rPr>
        <w:t xml:space="preserve">Hast, A. C. (2023). Mipaselak to sowal no Pangcah: A digital ethnography of two open 'Amis/Pangcah language platforms, 'Amis MoeDict and 'Amis Wikipitiya [Master's thesis, National Dong Hwa University]. </w:t>
      </w:r>
      <w:hyperlink r:id="rId13">
        <w:r>
          <w:rPr>
            <w:rFonts w:ascii="DFKai-SB" w:hAnsi="DFKai-SB" w:eastAsia="DFKai-SB" w:cs="DFKai-SB"/>
            <w:color w:val="0563C1"/>
            <w:u w:val="single"/>
            <w:sz w:val="22"/>
          </w:rPr>
          <w:t>https://ndltd.ncl.edu.tw/cgi-bin/gs32/gsweb.cgi/login?o=dnclcdr&amp;s=id%3D%22112NDHU5577003%22.&amp;searchmode=basic</w:t>
        </w:r>
      </w:hyperlink>
    </w:p>
    <w:p>
      <w:pPr>
        <w:spacing w:line="480" w:lineRule="auto" w:after="0"/>
        <w:ind w:left="720" w:hanging="720"/>
      </w:pPr>
      <w:r>
        <w:rPr>
          <w:rFonts w:ascii="DFKai-SB" w:hAnsi="DFKai-SB" w:eastAsia="DFKai-SB" w:cs="DFKai-SB"/>
          <w:b w:val="0"/>
          <w:i w:val="0"/>
          <w:color w:val="19352D"/>
          <w:sz w:val="22"/>
        </w:rPr>
        <w:t xml:space="preserve">Sifo Lakaw. (2024). O Pangcah kami, misanoPangcah kami i loma': Misawaday a misanoholam a parod no Pangcah i Taywan [Doctoral dissertation, National Dong Hwa University]. </w:t>
      </w:r>
      <w:hyperlink r:id="rId11">
        <w:r>
          <w:rPr>
            <w:rFonts w:ascii="DFKai-SB" w:hAnsi="DFKai-SB" w:eastAsia="DFKai-SB" w:cs="DFKai-SB"/>
            <w:color w:val="0563C1"/>
            <w:u w:val="single"/>
            <w:sz w:val="22"/>
          </w:rPr>
          <w:t>https://ndltd.ncl.edu.tw/cgi-bin/gs32/gsweb.cgi/login?o=dnclcdr&amp;s=id%3D%22112NDHU5577013%22.&amp;searchmode=basic</w:t>
        </w:r>
      </w:hyperlink>
    </w:p>
    <w:p>
      <w:pPr>
        <w:spacing w:line="480" w:lineRule="auto" w:after="0"/>
        <w:ind w:left="720" w:hanging="720"/>
      </w:pPr>
      <w:r>
        <w:rPr>
          <w:rFonts w:ascii="DFKai-SB" w:hAnsi="DFKai-SB" w:eastAsia="DFKai-SB" w:cs="DFKai-SB"/>
          <w:b w:val="0"/>
          <w:i w:val="0"/>
          <w:color w:val="19352D"/>
          <w:sz w:val="22"/>
        </w:rPr>
        <w:t>全俊儒（2025）。《跨文化溝通對原住民醫病關係的影響—以南投某教學醫院為例》［碩士論文，南開科技大學］。</w:t>
      </w:r>
      <w:hyperlink r:id="rId15">
        <w:r>
          <w:rPr>
            <w:rFonts w:ascii="DFKai-SB" w:hAnsi="DFKai-SB" w:eastAsia="DFKai-SB" w:cs="DFKai-SB"/>
            <w:color w:val="0563C1"/>
            <w:u w:val="single"/>
            <w:sz w:val="22"/>
          </w:rPr>
          <w:t>https://ndltd.ncl.edu.tw/cgi-bin/gs32/gsweb.cgi/ccd%3D4YLJ_i/search?s=id%3D%22113NKUT0836016%22.&amp;searchmode=basic</w:t>
        </w:r>
      </w:hyperlink>
    </w:p>
    <w:p>
      <w:pPr>
        <w:spacing w:line="480" w:lineRule="auto" w:after="0"/>
        <w:ind w:left="720" w:hanging="720"/>
      </w:pPr>
      <w:r>
        <w:rPr>
          <w:rFonts w:ascii="DFKai-SB" w:hAnsi="DFKai-SB" w:eastAsia="DFKai-SB" w:cs="DFKai-SB"/>
          <w:b w:val="0"/>
          <w:i w:val="0"/>
          <w:color w:val="19352D"/>
          <w:sz w:val="22"/>
        </w:rPr>
        <w:t>張文翊（2024）。《文化敏感音樂治療應用於部落長者預防及延緩失能之成效探討》［碩士論文，輔仁大學］。</w:t>
      </w:r>
      <w:hyperlink r:id="rId17">
        <w:r>
          <w:rPr>
            <w:rFonts w:ascii="DFKai-SB" w:hAnsi="DFKai-SB" w:eastAsia="DFKai-SB" w:cs="DFKai-SB"/>
            <w:color w:val="0563C1"/>
            <w:u w:val="single"/>
            <w:sz w:val="22"/>
          </w:rPr>
          <w:t>https://ndltd.ncl.edu.tw/cgi-bin/gs32/gsweb.cgi/login?o=dnclcdr&amp;s=id%3D%22112FJU00248043%22.&amp;searchmode=basic</w:t>
        </w:r>
      </w:hyperlink>
    </w:p>
    <w:p>
      <w:pPr>
        <w:spacing w:line="480" w:lineRule="auto" w:after="0"/>
        <w:ind w:left="720" w:hanging="720"/>
      </w:pPr>
      <w:r>
        <w:rPr>
          <w:rFonts w:ascii="DFKai-SB" w:hAnsi="DFKai-SB" w:eastAsia="DFKai-SB" w:cs="DFKai-SB"/>
          <w:b w:val="0"/>
          <w:i w:val="0"/>
          <w:color w:val="19352D"/>
          <w:sz w:val="22"/>
        </w:rPr>
        <w:t>陳誼誠（2017）。《阿美族語的語言活力》［博士論文，國立政治大學］。</w:t>
      </w:r>
      <w:hyperlink r:id="rId10">
        <w:r>
          <w:rPr>
            <w:rFonts w:ascii="DFKai-SB" w:hAnsi="DFKai-SB" w:eastAsia="DFKai-SB" w:cs="DFKai-SB"/>
            <w:color w:val="0563C1"/>
            <w:u w:val="single"/>
            <w:sz w:val="22"/>
          </w:rPr>
          <w:t>https://ndltd.ncl.edu.tw/cgi-bin/gs32/gsweb.cgi?o=dnclcdr&amp;s=id%3D%22105NCCU5100005%22.&amp;searchmode=basic</w:t>
        </w:r>
      </w:hyperlink>
    </w:p>
    <w:p>
      <w:pPr>
        <w:spacing w:line="480" w:lineRule="auto" w:after="0"/>
        <w:ind w:left="720" w:hanging="720"/>
      </w:pPr>
      <w:r>
        <w:rPr>
          <w:rFonts w:ascii="DFKai-SB" w:hAnsi="DFKai-SB" w:eastAsia="DFKai-SB" w:cs="DFKai-SB"/>
          <w:b w:val="0"/>
          <w:i w:val="0"/>
          <w:color w:val="19352D"/>
          <w:sz w:val="22"/>
        </w:rPr>
        <w:t>蕭惠美（2025）。《以層級分析法探討提升原住民健康識能轉譯之關鍵成功因素》［碩士論文，國立屏東科技大學］。</w:t>
      </w:r>
      <w:hyperlink r:id="rId14">
        <w:r>
          <w:rPr>
            <w:rFonts w:ascii="DFKai-SB" w:hAnsi="DFKai-SB" w:eastAsia="DFKai-SB" w:cs="DFKai-SB"/>
            <w:color w:val="0563C1"/>
            <w:u w:val="single"/>
            <w:sz w:val="22"/>
          </w:rPr>
          <w:t>https://ndltd.ncl.edu.tw/cgi-bin/gs32/gsweb.cgi/login?o=dnclcdr&amp;s=id%3D%22113NPUS5457005%22.&amp;searchmode=basic</w:t>
        </w:r>
      </w:hyperlink>
    </w:p>
    <w:p>
      <w:pPr>
        <w:keepNext/>
        <w:spacing w:before="320" w:after="160"/>
      </w:pPr>
      <w:r>
        <w:rPr>
          <w:rFonts w:ascii="DFKai-SB" w:hAnsi="DFKai-SB" w:eastAsia="DFKai-SB" w:cs="DFKai-SB"/>
          <w:b/>
          <w:i w:val="0"/>
          <w:color w:val="19352D"/>
          <w:sz w:val="32"/>
        </w:rPr>
        <w:t>圖表可近用描述</w:t>
      </w:r>
    </w:p>
    <w:p>
      <w:pPr>
        <w:spacing w:after="160" w:line="360" w:lineRule="auto"/>
        <w:jc w:val="both"/>
      </w:pPr>
      <w:r>
        <w:rPr>
          <w:rFonts w:ascii="DFKai-SB" w:hAnsi="DFKai-SB" w:eastAsia="DFKai-SB" w:cs="DFKai-SB"/>
          <w:b w:val="0"/>
          <w:i w:val="0"/>
          <w:color w:val="19352D"/>
          <w:sz w:val="20"/>
        </w:rPr>
        <w:t>圖 1：四個水平方塊由左至右排列，依序為生命史與制度脈絡、社會網絡與共同實踐、語言使用量／優勢／方言、任務中的語言表現；下方列出教育識字、聽力、健康史、任務熟悉度與口譯者效應等調節或混淆因素。</w:t>
      </w:r>
    </w:p>
    <w:p>
      <w:pPr>
        <w:spacing w:after="160" w:line="360" w:lineRule="auto"/>
        <w:jc w:val="both"/>
      </w:pPr>
      <w:r>
        <w:rPr>
          <w:rFonts w:ascii="DFKai-SB" w:hAnsi="DFKai-SB" w:eastAsia="DFKai-SB" w:cs="DFKai-SB"/>
          <w:b w:val="0"/>
          <w:i w:val="0"/>
          <w:color w:val="19352D"/>
          <w:sz w:val="20"/>
        </w:rPr>
        <w:t>圖 2：二乘二矩陣，橫軸為臨床／認知證據強度，縱軸為社會語言脈絡整合度；右上象限代表文化公平的多語臨床評估，是本研究設計的目標位置。</w:t>
      </w:r>
    </w:p>
    <w:p>
      <w:pPr>
        <w:spacing w:after="160" w:line="360" w:lineRule="auto"/>
        <w:jc w:val="both"/>
      </w:pPr>
      <w:r>
        <w:rPr>
          <w:rFonts w:ascii="DFKai-SB" w:hAnsi="DFKai-SB" w:eastAsia="DFKai-SB" w:cs="DFKai-SB"/>
          <w:b w:val="0"/>
          <w:i w:val="0"/>
          <w:color w:val="19352D"/>
          <w:sz w:val="20"/>
        </w:rPr>
        <w:t>圖 3：七階段流程依序為共同定義問題、多語生命史與同意、聽力／健康背景、自然互動語料、雙語／方言任務、社群共同詮釋、分級保存／撤回／回饋。</w:t>
      </w:r>
    </w:p>
    <w:p>
      <w:pPr>
        <w:spacing w:after="160" w:line="360" w:lineRule="auto"/>
        <w:jc w:val="both"/>
      </w:pPr>
      <w:r>
        <w:rPr>
          <w:rFonts w:ascii="DFKai-SB" w:hAnsi="DFKai-SB" w:eastAsia="DFKai-SB" w:cs="DFKai-SB"/>
          <w:b w:val="0"/>
          <w:i w:val="0"/>
          <w:color w:val="19352D"/>
          <w:sz w:val="20"/>
        </w:rPr>
        <w:t>圖 4：五個水平階段由左至右排列，依序為技術底座、臨床決策、特徵辨識、語言模型與可信任治理；五者共同指向下方的阿美族研究主軸，包括病前語言生態、語言／認知特徵、外部驗證與社群治理。</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DFKai-SB" w:hAnsi="DFKai-SB" w:eastAsia="DFKai-SB" w:cs="DFKai-SB"/>
        <w:b w:val="0"/>
        <w:i w:val="0"/>
        <w:color w:val="19352D"/>
        <w:sz w:val="20"/>
      </w:rPr>
      <w:fldChar w:fldCharType="begin"/>
      <w:instrText xml:space="preserve"> PAGE </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jc w:val="both"/>
    </w:pPr>
    <w:rPr>
      <w:rFonts w:ascii="DFKai-SB" w:hAnsi="DFKai-SB" w:eastAsia="DFKai-SB"/>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yperlink" Target="https://ndltd.ncl.edu.tw/cgi-bin/gs32/gsweb.cgi?o=dnclcdr&amp;s=id%3D%22105NCCU5100005%22.&amp;searchmode=basic" TargetMode="External"/><Relationship Id="rId11" Type="http://schemas.openxmlformats.org/officeDocument/2006/relationships/hyperlink" Target="https://ndltd.ncl.edu.tw/cgi-bin/gs32/gsweb.cgi/login?o=dnclcdr&amp;s=id%3D%22112NDHU5577013%22.&amp;searchmode=basic" TargetMode="External"/><Relationship Id="rId12" Type="http://schemas.openxmlformats.org/officeDocument/2006/relationships/image" Target="media/image1.png"/><Relationship Id="rId13" Type="http://schemas.openxmlformats.org/officeDocument/2006/relationships/hyperlink" Target="https://ndltd.ncl.edu.tw/cgi-bin/gs32/gsweb.cgi/login?o=dnclcdr&amp;s=id%3D%22112NDHU5577003%22.&amp;searchmode=basic" TargetMode="External"/><Relationship Id="rId14" Type="http://schemas.openxmlformats.org/officeDocument/2006/relationships/hyperlink" Target="https://ndltd.ncl.edu.tw/cgi-bin/gs32/gsweb.cgi/login?o=dnclcdr&amp;s=id%3D%22113NPUS5457005%22.&amp;searchmode=basic" TargetMode="External"/><Relationship Id="rId15" Type="http://schemas.openxmlformats.org/officeDocument/2006/relationships/hyperlink" Target="https://ndltd.ncl.edu.tw/cgi-bin/gs32/gsweb.cgi/ccd%3D4YLJ_i/search?s=id%3D%22113NKUT0836016%22.&amp;searchmode=basic" TargetMode="External"/><Relationship Id="rId16" Type="http://schemas.openxmlformats.org/officeDocument/2006/relationships/image" Target="media/image2.png"/><Relationship Id="rId17" Type="http://schemas.openxmlformats.org/officeDocument/2006/relationships/hyperlink" Target="https://ndltd.ncl.edu.tw/cgi-bin/gs32/gsweb.cgi/login?o=dnclcdr&amp;s=id%3D%22112FJU00248043%22.&amp;searchmode=basic" TargetMode="External"/><Relationship Id="rId18" Type="http://schemas.openxmlformats.org/officeDocument/2006/relationships/image" Target="media/image3.png"/><Relationship Id="rId1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《臨床社會語言學》圖表、研究脈絡與研究缺口整理</dc:title>
  <dc:subject>APA 7 研究整理包：高齡阿美族語與文化公平評估</dc:subject>
  <dc:creator>Clinical Sociolinguistics Reading Platform</dc:creator>
  <cp:keywords>臨床社會語言學, 阿美族, 多語生命史, APA 7, 研究缺口</cp:keywords>
  <dc:description>generated by python-docx</dc:description>
  <cp:lastModifiedBy/>
  <cp:revision>1</cp:revision>
  <dcterms:created xsi:type="dcterms:W3CDTF">2013-12-23T23:15:00Z</dcterms:created>
  <dcterms:modified xsi:type="dcterms:W3CDTF">2013-12-23T23:15:00Z</dcterms:modified>
  <cp:category/>
</cp:coreProperties>
</file>