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80"/>
      </w:pPr>
      <w:r>
        <w:rPr>
          <w:rFonts w:ascii="DFKai-SB" w:hAnsi="DFKai-SB" w:eastAsia="DFKai-SB" w:cs="DFKai-SB"/>
          <w:b/>
          <w:i w:val="0"/>
          <w:color w:val="D7653E"/>
          <w:sz w:val="20"/>
        </w:rPr>
        <w:t>CLINICAL SOCIOLINGUISTICS · RESEARCH PACK</w:t>
      </w:r>
    </w:p>
    <w:p>
      <w:pPr>
        <w:spacing w:after="360"/>
      </w:pPr>
      <w:r>
        <w:rPr>
          <w:rFonts w:ascii="DFKai-SB" w:hAnsi="DFKai-SB" w:eastAsia="DFKai-SB" w:cs="DFKai-SB"/>
          <w:b/>
          <w:i w:val="0"/>
          <w:color w:val="19352D"/>
          <w:sz w:val="50"/>
        </w:rPr>
        <w:t>《臨床社會語言學》</w:t>
        <w:br/>
        <w:t>圖表、研究脈絡與研究缺口整理</w:t>
      </w:r>
    </w:p>
    <w:p>
      <w:pPr>
        <w:spacing w:after="680"/>
      </w:pPr>
      <w:r>
        <w:rPr>
          <w:rFonts w:ascii="DFKai-SB" w:hAnsi="DFKai-SB" w:eastAsia="DFKai-SB" w:cs="DFKai-SB"/>
          <w:b w:val="0"/>
          <w:i w:val="0"/>
          <w:color w:val="D7653E"/>
          <w:sz w:val="28"/>
        </w:rPr>
        <w:t>以高齡阿美族語、多語生命史與文化公平評估為研究轉譯焦點</w:t>
      </w:r>
    </w:p>
    <w:tbl>
      <w:tblPr>
        <w:tblW w:type="dxa" w:w="873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2040"/>
        <w:gridCol w:w="6689"/>
      </w:tblGrid>
      <w:tr>
        <w:tc>
          <w:tcPr>
            <w:tcW w:type="dxa" w:w="2040"/>
            <w:shd w:fill="19352D"/>
            <w:tcMar>
              <w:top w:w="160" w:type="dxa"/>
              <w:left w:w="160" w:type="dxa"/>
              <w:bottom w:w="160" w:type="dxa"/>
              <w:right w:w="160" w:type="dxa"/>
            </w:tcMar>
          </w:tcPr>
          <w:p>
            <w:r>
              <w:rPr>
                <w:rFonts w:ascii="DFKai-SB" w:hAnsi="DFKai-SB" w:eastAsia="DFKai-SB" w:cs="DFKai-SB"/>
                <w:b/>
                <w:i w:val="0"/>
                <w:color w:val="FFFFFF"/>
                <w:sz w:val="20"/>
              </w:rPr>
              <w:t>文件型態</w:t>
            </w:r>
          </w:p>
        </w:tc>
        <w:tc>
          <w:tcPr>
            <w:tcW w:type="dxa" w:w="6689"/>
            <w:shd w:fill="F7F3EA"/>
            <w:tcMar>
              <w:top w:w="160" w:type="dxa"/>
              <w:left w:w="160" w:type="dxa"/>
              <w:bottom w:w="160" w:type="dxa"/>
              <w:right w:w="160" w:type="dxa"/>
            </w:tcMar>
          </w:tcPr>
          <w:p>
            <w:r>
              <w:rPr>
                <w:rFonts w:ascii="DFKai-SB" w:hAnsi="DFKai-SB" w:eastAsia="DFKai-SB" w:cs="DFKai-SB"/>
                <w:b w:val="0"/>
                <w:i w:val="0"/>
                <w:color w:val="19352D"/>
                <w:sz w:val="20"/>
              </w:rPr>
              <w:t>APA 第 7 版格式之研究整理包</w:t>
            </w:r>
          </w:p>
        </w:tc>
      </w:tr>
      <w:tr>
        <w:tc>
          <w:tcPr>
            <w:tcW w:type="dxa" w:w="2040"/>
            <w:shd w:fill="19352D"/>
            <w:tcMar>
              <w:top w:w="160" w:type="dxa"/>
              <w:left w:w="160" w:type="dxa"/>
              <w:bottom w:w="160" w:type="dxa"/>
              <w:right w:w="160" w:type="dxa"/>
            </w:tcMar>
          </w:tcPr>
          <w:p>
            <w:r>
              <w:rPr>
                <w:rFonts w:ascii="DFKai-SB" w:hAnsi="DFKai-SB" w:eastAsia="DFKai-SB" w:cs="DFKai-SB"/>
                <w:b/>
                <w:i w:val="0"/>
                <w:color w:val="FFFFFF"/>
                <w:sz w:val="20"/>
              </w:rPr>
              <w:t>字體與版面</w:t>
            </w:r>
          </w:p>
        </w:tc>
        <w:tc>
          <w:tcPr>
            <w:tcW w:type="dxa" w:w="6689"/>
            <w:shd w:fill="F7F3EA"/>
            <w:tcMar>
              <w:top w:w="160" w:type="dxa"/>
              <w:left w:w="160" w:type="dxa"/>
              <w:bottom w:w="160" w:type="dxa"/>
              <w:right w:w="160" w:type="dxa"/>
            </w:tcMar>
          </w:tcPr>
          <w:p>
            <w:r>
              <w:rPr>
                <w:rFonts w:ascii="DFKai-SB" w:hAnsi="DFKai-SB" w:eastAsia="DFKai-SB" w:cs="DFKai-SB"/>
                <w:b w:val="0"/>
                <w:i w:val="0"/>
                <w:color w:val="19352D"/>
                <w:sz w:val="20"/>
              </w:rPr>
              <w:t>標楷體；內文左右對齊；雙行距；四邊 1 吋</w:t>
            </w:r>
          </w:p>
        </w:tc>
      </w:tr>
      <w:tr>
        <w:tc>
          <w:tcPr>
            <w:tcW w:type="dxa" w:w="2040"/>
            <w:shd w:fill="19352D"/>
            <w:tcMar>
              <w:top w:w="160" w:type="dxa"/>
              <w:left w:w="160" w:type="dxa"/>
              <w:bottom w:w="160" w:type="dxa"/>
              <w:right w:w="160" w:type="dxa"/>
            </w:tcMar>
          </w:tcPr>
          <w:p>
            <w:r>
              <w:rPr>
                <w:rFonts w:ascii="DFKai-SB" w:hAnsi="DFKai-SB" w:eastAsia="DFKai-SB" w:cs="DFKai-SB"/>
                <w:b/>
                <w:i w:val="0"/>
                <w:color w:val="FFFFFF"/>
                <w:sz w:val="20"/>
              </w:rPr>
              <w:t>整理日期</w:t>
            </w:r>
          </w:p>
        </w:tc>
        <w:tc>
          <w:tcPr>
            <w:tcW w:type="dxa" w:w="6689"/>
            <w:shd w:fill="F7F3EA"/>
            <w:tcMar>
              <w:top w:w="160" w:type="dxa"/>
              <w:left w:w="160" w:type="dxa"/>
              <w:bottom w:w="160" w:type="dxa"/>
              <w:right w:w="160" w:type="dxa"/>
            </w:tcMar>
          </w:tcPr>
          <w:p>
            <w:r>
              <w:rPr>
                <w:rFonts w:ascii="DFKai-SB" w:hAnsi="DFKai-SB" w:eastAsia="DFKai-SB" w:cs="DFKai-SB"/>
                <w:b w:val="0"/>
                <w:i w:val="0"/>
                <w:color w:val="19352D"/>
                <w:sz w:val="20"/>
              </w:rPr>
              <w:t>2026 年 8 月 27 日</w:t>
            </w:r>
          </w:p>
        </w:tc>
      </w:tr>
    </w:tbl>
    <w:p>
      <w:pPr>
        <w:spacing w:after="0" w:line="348" w:lineRule="auto"/>
        <w:jc w:val="both"/>
      </w:pPr>
      <w:r>
        <w:rPr>
          <w:rFonts w:ascii="DFKai-SB" w:hAnsi="DFKai-SB" w:eastAsia="DFKai-SB" w:cs="DFKai-SB"/>
          <w:b w:val="0"/>
          <w:i w:val="0"/>
          <w:color w:val="19352D"/>
          <w:sz w:val="20"/>
        </w:rPr>
        <w:t>使用聲明：本文件將閱讀心得中的概念整理為可供研究設計討論的表格與脈絡圖。圖中的箭頭表示待驗證的概念關係，不代表已建立因果效果；阿美族相關研究連結置於每一圖表的註釋中。</w:t>
      </w:r>
    </w:p>
    <w:p>
      <w:r>
        <w:br w:type="page"/>
      </w:r>
    </w:p>
    <w:p>
      <w:pPr>
        <w:keepNext/>
        <w:spacing w:before="320" w:after="160"/>
      </w:pPr>
      <w:r>
        <w:rPr>
          <w:rFonts w:ascii="DFKai-SB" w:hAnsi="DFKai-SB" w:eastAsia="DFKai-SB" w:cs="DFKai-SB"/>
          <w:b/>
          <w:i w:val="0"/>
          <w:color w:val="19352D"/>
          <w:sz w:val="32"/>
        </w:rPr>
        <w:t>摘要</w:t>
      </w:r>
    </w:p>
    <w:p>
      <w:pPr>
        <w:spacing w:after="160" w:line="480" w:lineRule="auto"/>
        <w:jc w:val="both"/>
      </w:pPr>
      <w:r>
        <w:rPr>
          <w:rFonts w:ascii="DFKai-SB" w:hAnsi="DFKai-SB" w:eastAsia="DFKai-SB" w:cs="DFKai-SB"/>
          <w:b w:val="0"/>
          <w:i w:val="0"/>
          <w:color w:val="19352D"/>
          <w:sz w:val="24"/>
        </w:rPr>
        <w:t>本整理包將《Clinical Sociolinguistics》（Ball, 2005）21 章閱讀心得轉譯為研究設計資源，聚焦社會網絡、多語生命史、臨床公平性、識字／語言社會化與語群個案五個主題群。文件以高齡阿美族語與神經認知研究為情境，彙整章節資料、變項操作化、概念路徑、雙軸證據框架、研究缺口優先序與參與式資料流程。每一圖表均附阿美族相關研究的可點擊連結與連接說明，以便追索證據與延伸閱讀。</w:t>
      </w:r>
    </w:p>
    <w:p>
      <w:pPr>
        <w:keepNext/>
        <w:spacing w:before="200" w:after="160"/>
      </w:pPr>
      <w:r>
        <w:rPr>
          <w:rFonts w:ascii="DFKai-SB" w:hAnsi="DFKai-SB" w:eastAsia="DFKai-SB" w:cs="DFKai-SB"/>
          <w:b/>
          <w:i w:val="0"/>
          <w:color w:val="D7653E"/>
          <w:sz w:val="26"/>
        </w:rPr>
        <w:t>使用與判讀原則</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差異不等於障礙：方言、語碼轉換、識字經驗與文化熟悉度必須納入低分的替代解釋。</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生命史先於分數：同一位多語使用者的各語言能力可能隨家庭、教育、工作、遷徙與健康事件改變。</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圖表不宣稱因果：本文件沒有原始受試者資料，所有路徑與優先序均是研究設計假設。</w:t>
      </w:r>
    </w:p>
    <w:p>
      <w:pPr>
        <w:spacing w:before="0" w:after="160" w:line="480" w:lineRule="auto"/>
        <w:ind w:left="340" w:hanging="198"/>
        <w:jc w:val="both"/>
      </w:pPr>
      <w:r>
        <w:rPr>
          <w:rFonts w:ascii="DFKai-SB" w:hAnsi="DFKai-SB" w:eastAsia="DFKai-SB" w:cs="DFKai-SB"/>
          <w:b w:val="0"/>
          <w:i w:val="0"/>
          <w:color w:val="19352D"/>
          <w:sz w:val="24"/>
        </w:rPr>
        <w:t xml:space="preserve">• </w:t>
      </w:r>
      <w:r>
        <w:rPr>
          <w:rFonts w:ascii="DFKai-SB" w:hAnsi="DFKai-SB" w:eastAsia="DFKai-SB" w:cs="DFKai-SB"/>
          <w:b w:val="0"/>
          <w:i w:val="0"/>
          <w:color w:val="19352D"/>
          <w:sz w:val="24"/>
        </w:rPr>
        <w:t>連結需持續核對：下列學位論文連結以臺灣博碩士論文知識加值系統為主，正式引用前宜再次檢查書目頁。</w:t>
      </w:r>
    </w:p>
    <w:p>
      <w:r>
        <w:br w:type="page"/>
      </w:r>
    </w:p>
    <w:p>
      <w:pPr>
        <w:keepNext/>
        <w:spacing w:before="200" w:after="0"/>
      </w:pPr>
      <w:r>
        <w:rPr>
          <w:rFonts w:ascii="DFKai-SB" w:hAnsi="DFKai-SB" w:eastAsia="DFKai-SB" w:cs="DFKai-SB"/>
          <w:b/>
          <w:i w:val="0"/>
          <w:color w:val="19352D"/>
          <w:sz w:val="22"/>
        </w:rPr>
        <w:t>表 1</w:t>
      </w:r>
    </w:p>
    <w:p>
      <w:pPr>
        <w:keepNext/>
        <w:spacing w:after="100"/>
      </w:pPr>
      <w:r>
        <w:rPr>
          <w:rFonts w:ascii="DFKai-SB" w:hAnsi="DFKai-SB" w:eastAsia="DFKai-SB" w:cs="DFKai-SB"/>
          <w:b w:val="0"/>
          <w:i/>
          <w:color w:val="19352D"/>
          <w:sz w:val="22"/>
        </w:rPr>
        <w:t>章節主題群、完成度與研究用途</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700"/>
        <w:gridCol w:w="1303"/>
        <w:gridCol w:w="2834"/>
        <w:gridCol w:w="2891"/>
      </w:tblGrid>
      <w:tr>
        <w:trPr>
          <w:tblHeader/>
        </w:trPr>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主題群</w:t>
            </w:r>
          </w:p>
        </w:tc>
        <w:tc>
          <w:tcPr>
            <w:tcW w:type="dxa" w:w="1303"/>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章數／完成</w:t>
            </w:r>
          </w:p>
        </w:tc>
        <w:tc>
          <w:tcPr>
            <w:tcW w:type="dxa" w:w="283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整合重點</w:t>
            </w:r>
          </w:p>
        </w:tc>
        <w:tc>
          <w:tcPr>
            <w:tcW w:type="dxa" w:w="289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對阿美族研究的用途</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社會脈絡</w:t>
            </w:r>
          </w:p>
        </w:tc>
        <w:tc>
          <w:tcPr>
            <w:tcW w:type="dxa" w:w="1303"/>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7／7</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網絡、共同實踐、權力、文化、變遷、規劃、態度</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辨識語言轉移、標準語權力與部落生活領域變化</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多語生命史</w:t>
            </w:r>
          </w:p>
        </w:tc>
        <w:tc>
          <w:tcPr>
            <w:tcW w:type="dxa" w:w="1303"/>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3／3</w:t>
            </w:r>
          </w:p>
        </w:tc>
        <w:tc>
          <w:tcPr>
            <w:tcW w:type="dxa" w:w="283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雙語動態、語碼轉換、多語習得</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重建阿美語／華語的習得、使用與優勢軌跡</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臨床評估</w:t>
            </w:r>
          </w:p>
        </w:tc>
        <w:tc>
          <w:tcPr>
            <w:tcW w:type="dxa" w:w="1303"/>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4／6</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聽力、失語、多語評估、公平性、口譯</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避免將方言、聽力或文化陌生誤判為認知障礙</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識字與社會化</w:t>
            </w:r>
          </w:p>
        </w:tc>
        <w:tc>
          <w:tcPr>
            <w:tcW w:type="dxa" w:w="1303"/>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2／3</w:t>
            </w:r>
          </w:p>
        </w:tc>
        <w:tc>
          <w:tcPr>
            <w:tcW w:type="dxa" w:w="283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語言社會化、識字實踐、溝通模態</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區分口語能力、羅馬字讀寫與教育經驗</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語群個案</w:t>
            </w:r>
          </w:p>
        </w:tc>
        <w:tc>
          <w:tcPr>
            <w:tcW w:type="dxa" w:w="1303"/>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0／2</w:t>
            </w:r>
          </w:p>
        </w:tc>
        <w:tc>
          <w:tcPr>
            <w:tcW w:type="dxa" w:w="283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區域／社會變異、非主流英語個案</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補足『非標準不等於障礙』的比較證據</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陳誼誠以語言活力指標呈現阿美語代間傳承與使用領域收縮，可支撐社會脈絡與生命史群組；Sifo Lakaw 從家庭語言去殖民化、語言意識形態與實踐社群說明家庭／部落場域的能動性。 </w:t>
      </w:r>
      <w:hyperlink r:id="rId10">
        <w:r>
          <w:rPr>
            <w:rFonts w:ascii="DFKai-SB" w:hAnsi="DFKai-SB" w:eastAsia="DFKai-SB" w:cs="DFKai-SB"/>
            <w:color w:val="0563C1"/>
            <w:u w:val="single"/>
            <w:sz w:val="22"/>
          </w:rPr>
          <w:t>陳誼誠（2017）</w:t>
        </w:r>
      </w:hyperlink>
      <w:r>
        <w:rPr>
          <w:rFonts w:ascii="DFKai-SB" w:hAnsi="DFKai-SB" w:eastAsia="DFKai-SB" w:cs="DFKai-SB"/>
          <w:b w:val="0"/>
          <w:i w:val="0"/>
          <w:color w:val="19352D"/>
          <w:sz w:val="20"/>
        </w:rPr>
        <w:t>；</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1</w:t>
      </w:r>
    </w:p>
    <w:p>
      <w:pPr>
        <w:keepNext/>
        <w:spacing w:after="100"/>
      </w:pPr>
      <w:r>
        <w:rPr>
          <w:rFonts w:ascii="DFKai-SB" w:hAnsi="DFKai-SB" w:eastAsia="DFKai-SB" w:cs="DFKai-SB"/>
          <w:b w:val="0"/>
          <w:i/>
          <w:color w:val="19352D"/>
          <w:sz w:val="22"/>
        </w:rPr>
        <w:t>從生命史與制度脈絡到任務表現的概念路徑</w:t>
      </w:r>
    </w:p>
    <w:p>
      <w:pPr>
        <w:spacing w:after="0"/>
        <w:jc w:val="center"/>
      </w:pPr>
      <w:r>
        <w:drawing>
          <wp:inline xmlns:a="http://schemas.openxmlformats.org/drawingml/2006/main" xmlns:pic="http://schemas.openxmlformats.org/drawingml/2006/picture">
            <wp:extent cx="5715000" cy="3095625"/>
            <wp:docPr id="1" name="Picture 1"/>
            <wp:cNvGraphicFramePr>
              <a:graphicFrameLocks noChangeAspect="1"/>
            </wp:cNvGraphicFramePr>
            <a:graphic>
              <a:graphicData uri="http://schemas.openxmlformats.org/drawingml/2006/picture">
                <pic:pic>
                  <pic:nvPicPr>
                    <pic:cNvPr id="0" name="figure-1-context.png"/>
                    <pic:cNvPicPr/>
                  </pic:nvPicPr>
                  <pic:blipFill>
                    <a:blip r:embed="rId12"/>
                    <a:stretch>
                      <a:fillRect/>
                    </a:stretch>
                  </pic:blipFill>
                  <pic:spPr>
                    <a:xfrm>
                      <a:off x="0" y="0"/>
                      <a:ext cx="5715000" cy="3095625"/>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陳誼誠的語言活力研究提供『領域與代間傳承』背景；Hast 的數位民族誌可用來擴充數位社群／開放平台的共同實踐；本圖據此將臨床表現放回語言生命史與網絡中解讀。 </w:t>
      </w:r>
      <w:hyperlink r:id="rId10">
        <w:r>
          <w:rPr>
            <w:rFonts w:ascii="DFKai-SB" w:hAnsi="DFKai-SB" w:eastAsia="DFKai-SB" w:cs="DFKai-SB"/>
            <w:color w:val="0563C1"/>
            <w:u w:val="single"/>
            <w:sz w:val="22"/>
          </w:rPr>
          <w:t>陳誼誠（2017）</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2</w:t>
      </w:r>
    </w:p>
    <w:p>
      <w:pPr>
        <w:keepNext/>
        <w:spacing w:after="100"/>
      </w:pPr>
      <w:r>
        <w:rPr>
          <w:rFonts w:ascii="DFKai-SB" w:hAnsi="DFKai-SB" w:eastAsia="DFKai-SB" w:cs="DFKai-SB"/>
          <w:b w:val="0"/>
          <w:i/>
          <w:color w:val="19352D"/>
          <w:sz w:val="22"/>
        </w:rPr>
        <w:t>核心變項操作化矩陣</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700"/>
        <w:gridCol w:w="3288"/>
        <w:gridCol w:w="1757"/>
        <w:gridCol w:w="1984"/>
      </w:tblGrid>
      <w:tr>
        <w:trPr>
          <w:tblHeader/>
        </w:trPr>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構念</w:t>
            </w:r>
          </w:p>
        </w:tc>
        <w:tc>
          <w:tcPr>
            <w:tcW w:type="dxa" w:w="3288"/>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建議指標／資料</w:t>
            </w:r>
          </w:p>
        </w:tc>
        <w:tc>
          <w:tcPr>
            <w:tcW w:type="dxa" w:w="175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資料型態</w:t>
            </w:r>
          </w:p>
        </w:tc>
        <w:tc>
          <w:tcPr>
            <w:tcW w:type="dxa" w:w="198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主要偏誤控制</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病前語言生態</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習得年齡、家庭／學校／工作語言、方言、優勢轉換</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生命史訪談＋時間軸</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回憶偏誤；家屬／文件交叉核對</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社會網絡</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互動對象、關係強度、頻率、語言選擇、網絡縮小事件</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網絡名冊＋事件紀錄</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把同住誤當實際互動</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共同實踐</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教會、農作、祭儀、照顧、工作與數位社群中的語言功能</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參與觀察＋自然語料</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研究者預設場域功能</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語言使用與優勢</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每週使用比例、自評、命名／敘事、語碼轉換功能</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多方法重複測量</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單一分數與單語常模</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感官與健康</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聽力、視力、病史、用藥、疲勞與情緒</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篩檢＋病歷／自陳</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將未聽清楚當成理解缺損</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評估公平性</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方言、文化熟悉度、教育、識字、任務可理解性</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認知訪談＋差異項目檢驗</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翻譯等同文化調適</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口譯者效應</w:t>
            </w:r>
          </w:p>
        </w:tc>
        <w:tc>
          <w:tcPr>
            <w:tcW w:type="dxa" w:w="3288"/>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口譯者背景、提示、改述、互動回合</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錄音錄影＋逐字稿標記</w:t>
            </w:r>
          </w:p>
        </w:tc>
        <w:tc>
          <w:tcPr>
            <w:tcW w:type="dxa" w:w="198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把口譯視為透明管道</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資料治理</w:t>
            </w:r>
          </w:p>
        </w:tc>
        <w:tc>
          <w:tcPr>
            <w:tcW w:type="dxa" w:w="3288"/>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同意層級、公開範圍、撤回、社群回饋、命名規則</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治理協議＋稽核軌跡</w:t>
            </w:r>
          </w:p>
        </w:tc>
        <w:tc>
          <w:tcPr>
            <w:tcW w:type="dxa" w:w="198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一次同意涵蓋所有再利用</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蕭惠美將原住民健康識能轉譯分為資訊轉譯、文化、社會結構與醫療資源等面向；全俊儒則聚焦跨文化溝通與原住民醫病關係。兩者可用於擴充『評估公平性』與『口譯者效應』欄位。 </w:t>
      </w:r>
      <w:hyperlink r:id="rId14">
        <w:r>
          <w:rPr>
            <w:rFonts w:ascii="DFKai-SB" w:hAnsi="DFKai-SB" w:eastAsia="DFKai-SB" w:cs="DFKai-SB"/>
            <w:color w:val="0563C1"/>
            <w:u w:val="single"/>
            <w:sz w:val="22"/>
          </w:rPr>
          <w:t>蕭惠美（2025）</w:t>
        </w:r>
      </w:hyperlink>
      <w:r>
        <w:rPr>
          <w:rFonts w:ascii="DFKai-SB" w:hAnsi="DFKai-SB" w:eastAsia="DFKai-SB" w:cs="DFKai-SB"/>
          <w:b w:val="0"/>
          <w:i w:val="0"/>
          <w:color w:val="19352D"/>
          <w:sz w:val="20"/>
        </w:rPr>
        <w:t>；</w:t>
      </w:r>
      <w:hyperlink r:id="rId15">
        <w:r>
          <w:rPr>
            <w:rFonts w:ascii="DFKai-SB" w:hAnsi="DFKai-SB" w:eastAsia="DFKai-SB" w:cs="DFKai-SB"/>
            <w:color w:val="0563C1"/>
            <w:u w:val="single"/>
            <w:sz w:val="22"/>
          </w:rPr>
          <w:t>全俊儒（2025）</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2</w:t>
      </w:r>
    </w:p>
    <w:p>
      <w:pPr>
        <w:keepNext/>
        <w:spacing w:after="100"/>
      </w:pPr>
      <w:r>
        <w:rPr>
          <w:rFonts w:ascii="DFKai-SB" w:hAnsi="DFKai-SB" w:eastAsia="DFKai-SB" w:cs="DFKai-SB"/>
          <w:b w:val="0"/>
          <w:i/>
          <w:color w:val="19352D"/>
          <w:sz w:val="22"/>
        </w:rPr>
        <w:t>臨床／認知證據與社會語言脈絡的雙軸框架</w:t>
      </w:r>
    </w:p>
    <w:p>
      <w:pPr>
        <w:spacing w:after="0"/>
        <w:jc w:val="center"/>
      </w:pPr>
      <w:r>
        <w:drawing>
          <wp:inline xmlns:a="http://schemas.openxmlformats.org/drawingml/2006/main" xmlns:pic="http://schemas.openxmlformats.org/drawingml/2006/picture">
            <wp:extent cx="5715000" cy="3492500"/>
            <wp:docPr id="2" name="Picture 2"/>
            <wp:cNvGraphicFramePr>
              <a:graphicFrameLocks noChangeAspect="1"/>
            </wp:cNvGraphicFramePr>
            <a:graphic>
              <a:graphicData uri="http://schemas.openxmlformats.org/drawingml/2006/picture">
                <pic:pic>
                  <pic:nvPicPr>
                    <pic:cNvPr id="0" name="figure-2-dual-axis.png"/>
                    <pic:cNvPicPr/>
                  </pic:nvPicPr>
                  <pic:blipFill>
                    <a:blip r:embed="rId16"/>
                    <a:stretch>
                      <a:fillRect/>
                    </a:stretch>
                  </pic:blipFill>
                  <pic:spPr>
                    <a:xfrm>
                      <a:off x="0" y="0"/>
                      <a:ext cx="5715000" cy="3492500"/>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張文翊以臺東文化健康站阿美族長者進行文化敏感音樂治療，呈現文化記憶、參與和量化結果需要並置；蕭惠美的健康識能轉譯架構則提醒醫療資源與文化面向不可被單一工具取代。 </w:t>
      </w:r>
      <w:hyperlink r:id="rId17">
        <w:r>
          <w:rPr>
            <w:rFonts w:ascii="DFKai-SB" w:hAnsi="DFKai-SB" w:eastAsia="DFKai-SB" w:cs="DFKai-SB"/>
            <w:color w:val="0563C1"/>
            <w:u w:val="single"/>
            <w:sz w:val="22"/>
          </w:rPr>
          <w:t>張文翊（2024）</w:t>
        </w:r>
      </w:hyperlink>
      <w:r>
        <w:rPr>
          <w:rFonts w:ascii="DFKai-SB" w:hAnsi="DFKai-SB" w:eastAsia="DFKai-SB" w:cs="DFKai-SB"/>
          <w:b w:val="0"/>
          <w:i w:val="0"/>
          <w:color w:val="19352D"/>
          <w:sz w:val="20"/>
        </w:rPr>
        <w:t>；</w:t>
      </w:r>
      <w:hyperlink r:id="rId14">
        <w:r>
          <w:rPr>
            <w:rFonts w:ascii="DFKai-SB" w:hAnsi="DFKai-SB" w:eastAsia="DFKai-SB" w:cs="DFKai-SB"/>
            <w:color w:val="0563C1"/>
            <w:u w:val="single"/>
            <w:sz w:val="22"/>
          </w:rPr>
          <w:t>蕭惠美（2025）</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3</w:t>
      </w:r>
    </w:p>
    <w:p>
      <w:pPr>
        <w:keepNext/>
        <w:spacing w:after="100"/>
      </w:pPr>
      <w:r>
        <w:rPr>
          <w:rFonts w:ascii="DFKai-SB" w:hAnsi="DFKai-SB" w:eastAsia="DFKai-SB" w:cs="DFKai-SB"/>
          <w:b w:val="0"/>
          <w:i/>
          <w:color w:val="19352D"/>
          <w:sz w:val="22"/>
        </w:rPr>
        <w:t>研究缺口與優先序矩陣</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133"/>
        <w:gridCol w:w="2381"/>
        <w:gridCol w:w="2891"/>
        <w:gridCol w:w="2324"/>
      </w:tblGrid>
      <w:tr>
        <w:trPr>
          <w:tblHeader/>
        </w:trPr>
        <w:tc>
          <w:tcPr>
            <w:tcW w:type="dxa" w:w="1133"/>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優先序</w:t>
            </w:r>
          </w:p>
        </w:tc>
        <w:tc>
          <w:tcPr>
            <w:tcW w:type="dxa" w:w="238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缺口</w:t>
            </w:r>
          </w:p>
        </w:tc>
        <w:tc>
          <w:tcPr>
            <w:tcW w:type="dxa" w:w="289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可回答的問題</w:t>
            </w:r>
          </w:p>
        </w:tc>
        <w:tc>
          <w:tcPr>
            <w:tcW w:type="dxa" w:w="2324"/>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建議下一步</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P1</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第14、15章：非主流方言與雙語差異／障礙</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低分如何由語言差異、文化陌生或神經認知變化解釋？</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建立阿美語—華語雙語基線、動態評量與多重證據判讀規則</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P1</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病前多語功能缺乏標準化生命史紀錄</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目前表現相對於個人一生的哪一階段？</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設計事件時間軸並以家屬、社群與文件交叉核對</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P1</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阿美語方言／變體與任務公平性證據不足</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哪些題項測到的是變體差異，而非能力？</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進行認知訪談、方言審查與差異項目分析</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P2</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第2、8章：社會變異比較證據未補</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如何證明非標準形式不等於病理？</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補讀跨語群個案並建立臨床誤判案例庫</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P2</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自然互動語料與結構式測驗尚未連結</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測驗表現能否代表日常溝通功能？</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同日蒐集敘事、對話、任務與場域使用資料</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P2</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口譯／協作者效應未被量化</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提示、改述與關係位置如何改變結果？</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保留雙語原始語料並標記每次協助</w:t>
            </w:r>
          </w:p>
        </w:tc>
      </w:tr>
      <w:tr>
        <w:tc>
          <w:tcPr>
            <w:tcW w:type="dxa" w:w="1133"/>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P3</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第20章：手語與多模態溝通未補</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研究是否忽略手勢、書寫與非口語資源？</w:t>
            </w:r>
          </w:p>
        </w:tc>
        <w:tc>
          <w:tcPr>
            <w:tcW w:type="dxa" w:w="2324"/>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建立多模態編碼規則與可近用流程</w:t>
            </w:r>
          </w:p>
        </w:tc>
      </w:tr>
      <w:tr>
        <w:tc>
          <w:tcPr>
            <w:tcW w:type="dxa" w:w="1133"/>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P3</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資料主權與撤回機制欠缺實作測試</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社群如何控制後續使用與公開？</w:t>
            </w:r>
          </w:p>
        </w:tc>
        <w:tc>
          <w:tcPr>
            <w:tcW w:type="dxa" w:w="2324"/>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共同制定分級存取、撤回演練與成果回饋週期</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Sifo Lakaw 的家庭語言去殖民化研究可支持共同詮釋、語言意識形態與資料治理；Hast 對阿美語數位平台的民族誌則指向數位語料、社群參與及平台治理仍需納入。 </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圖 3</w:t>
      </w:r>
    </w:p>
    <w:p>
      <w:pPr>
        <w:keepNext/>
        <w:spacing w:after="100"/>
      </w:pPr>
      <w:r>
        <w:rPr>
          <w:rFonts w:ascii="DFKai-SB" w:hAnsi="DFKai-SB" w:eastAsia="DFKai-SB" w:cs="DFKai-SB"/>
          <w:b w:val="0"/>
          <w:i/>
          <w:color w:val="19352D"/>
          <w:sz w:val="22"/>
        </w:rPr>
        <w:t>參與式且可撤回的研究資料流程</w:t>
      </w:r>
    </w:p>
    <w:p>
      <w:pPr>
        <w:spacing w:after="0"/>
        <w:jc w:val="center"/>
      </w:pPr>
      <w:r>
        <w:drawing>
          <wp:inline xmlns:a="http://schemas.openxmlformats.org/drawingml/2006/main" xmlns:pic="http://schemas.openxmlformats.org/drawingml/2006/picture">
            <wp:extent cx="5715000" cy="3095625"/>
            <wp:docPr id="3" name="Picture 3"/>
            <wp:cNvGraphicFramePr>
              <a:graphicFrameLocks noChangeAspect="1"/>
            </wp:cNvGraphicFramePr>
            <a:graphic>
              <a:graphicData uri="http://schemas.openxmlformats.org/drawingml/2006/picture">
                <pic:pic>
                  <pic:nvPicPr>
                    <pic:cNvPr id="0" name="figure-3-pipeline.png"/>
                    <pic:cNvPicPr/>
                  </pic:nvPicPr>
                  <pic:blipFill>
                    <a:blip r:embed="rId18"/>
                    <a:stretch>
                      <a:fillRect/>
                    </a:stretch>
                  </pic:blipFill>
                  <pic:spPr>
                    <a:xfrm>
                      <a:off x="0" y="0"/>
                      <a:ext cx="5715000" cy="3095625"/>
                    </a:xfrm>
                    <a:prstGeom prst="rect"/>
                  </pic:spPr>
                </pic:pic>
              </a:graphicData>
            </a:graphic>
          </wp:inline>
        </w:drawing>
      </w:r>
    </w:p>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Sifo Lakaw 強調家庭與社群的語言實踐、能動性及去殖民化視角；Hast 的開放阿美語平台研究提醒數位保存不是純技術步驟，而涉及社群規範、參與和再利用。 </w:t>
      </w:r>
      <w:hyperlink r:id="rId11">
        <w:r>
          <w:rPr>
            <w:rFonts w:ascii="DFKai-SB" w:hAnsi="DFKai-SB" w:eastAsia="DFKai-SB" w:cs="DFKai-SB"/>
            <w:color w:val="0563C1"/>
            <w:u w:val="single"/>
            <w:sz w:val="22"/>
          </w:rPr>
          <w:t>Sifo Lakaw（2024）</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Hast（2023）</w:t>
        </w:r>
      </w:hyperlink>
      <w:r>
        <w:rPr>
          <w:rFonts w:ascii="DFKai-SB" w:hAnsi="DFKai-SB" w:eastAsia="DFKai-SB" w:cs="DFKai-SB"/>
          <w:b w:val="0"/>
          <w:i w:val="0"/>
          <w:color w:val="19352D"/>
          <w:sz w:val="20"/>
        </w:rPr>
        <w:t>。</w:t>
      </w:r>
    </w:p>
    <w:p>
      <w:pPr>
        <w:keepNext/>
        <w:spacing w:before="200" w:after="0"/>
      </w:pPr>
      <w:r>
        <w:rPr>
          <w:rFonts w:ascii="DFKai-SB" w:hAnsi="DFKai-SB" w:eastAsia="DFKai-SB" w:cs="DFKai-SB"/>
          <w:b/>
          <w:i w:val="0"/>
          <w:color w:val="19352D"/>
          <w:sz w:val="22"/>
        </w:rPr>
        <w:t>表 4</w:t>
      </w:r>
    </w:p>
    <w:p>
      <w:pPr>
        <w:keepNext/>
        <w:spacing w:after="100"/>
      </w:pPr>
      <w:r>
        <w:rPr>
          <w:rFonts w:ascii="DFKai-SB" w:hAnsi="DFKai-SB" w:eastAsia="DFKai-SB" w:cs="DFKai-SB"/>
          <w:b w:val="0"/>
          <w:i/>
          <w:color w:val="19352D"/>
          <w:sz w:val="22"/>
        </w:rPr>
        <w:t>阿美族相關研究的連接方式與可轉用觀點</w:t>
      </w:r>
    </w:p>
    <w:tbl>
      <w:tblPr>
        <w:tblW w:type="dxa" w:w="8730"/>
        <w:jc w:val="center"/>
        <w:tblLayout w:type="fixed"/>
        <w:tblLook w:firstColumn="1" w:firstRow="1" w:lastColumn="0" w:lastRow="0" w:noHBand="0" w:noVBand="1" w:val="04A0"/>
        <w:tblBorders>
          <w:top w:val="single" w:sz="6" w:color="C8CFC8"/>
          <w:left w:val="single" w:sz="6" w:color="C8CFC8"/>
          <w:bottom w:val="single" w:sz="6" w:color="C8CFC8"/>
          <w:right w:val="single" w:sz="6" w:color="C8CFC8"/>
          <w:insideH w:val="single" w:sz="6" w:color="C8CFC8"/>
          <w:insideV w:val="single" w:sz="6" w:color="C8CFC8"/>
        </w:tblBorders>
      </w:tblPr>
      <w:tblGrid>
        <w:gridCol w:w="1700"/>
        <w:gridCol w:w="2381"/>
        <w:gridCol w:w="2891"/>
        <w:gridCol w:w="1757"/>
      </w:tblGrid>
      <w:tr>
        <w:trPr>
          <w:tblHeader/>
        </w:trPr>
        <w:tc>
          <w:tcPr>
            <w:tcW w:type="dxa" w:w="1700"/>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研究</w:t>
            </w:r>
          </w:p>
        </w:tc>
        <w:tc>
          <w:tcPr>
            <w:tcW w:type="dxa" w:w="238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情境／焦點</w:t>
            </w:r>
          </w:p>
        </w:tc>
        <w:tc>
          <w:tcPr>
            <w:tcW w:type="dxa" w:w="2891"/>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與本整理包的連接</w:t>
            </w:r>
          </w:p>
        </w:tc>
        <w:tc>
          <w:tcPr>
            <w:tcW w:type="dxa" w:w="1757"/>
            <w:shd w:fill="19352D"/>
            <w:tcMar>
              <w:top w:w="90" w:type="dxa"/>
              <w:left w:w="100" w:type="dxa"/>
              <w:bottom w:w="90" w:type="dxa"/>
              <w:right w:w="100" w:type="dxa"/>
            </w:tcMar>
            <w:vAlign w:val="center"/>
          </w:tcPr>
          <w:p>
            <w:pPr>
              <w:spacing w:after="0"/>
              <w:jc w:val="center"/>
            </w:pPr>
            <w:r>
              <w:rPr>
                <w:rFonts w:ascii="DFKai-SB" w:hAnsi="DFKai-SB" w:eastAsia="DFKai-SB" w:cs="DFKai-SB"/>
                <w:b/>
                <w:i w:val="0"/>
                <w:color w:val="FFFFFF"/>
                <w:sz w:val="18"/>
              </w:rPr>
              <w:t>使用界線</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陳誼誠（2017）</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阿美族語語言活力；代間傳承與使用領域</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校準病前語言生態、世代與領域變化</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群體活力指標不能直接推論個人認知狀態</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Hast（2023）</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阿美語萌典與 Wikipitiya 的數位民族誌</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補入數位實踐社群、平台與開放語料治理</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平台參與者不代表所有地區與年齡層</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Sifo Lakaw（2024）</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家庭語言去殖民化、意識形態與社會化</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支持共同設計、家庭語言實踐與社群詮釋</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去殖民化框架不可簡化成單一介入變項</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張文翊（2024）</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文化健康站阿美族長者與文化敏感音樂治療</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示範文化記憶、參與及臨床量化結果並置</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介入成效不能外推為語言或失智診斷效度</w:t>
            </w:r>
          </w:p>
        </w:tc>
      </w:tr>
      <w:tr>
        <w:tc>
          <w:tcPr>
            <w:tcW w:type="dxa" w:w="1700"/>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蕭惠美（2025）</w:t>
            </w:r>
          </w:p>
        </w:tc>
        <w:tc>
          <w:tcPr>
            <w:tcW w:type="dxa" w:w="238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原住民健康識能轉譯成功因素</w:t>
            </w:r>
          </w:p>
        </w:tc>
        <w:tc>
          <w:tcPr>
            <w:tcW w:type="dxa" w:w="2891"/>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擴充文化、資訊轉譯、社會結構、醫療資源欄位</w:t>
            </w:r>
          </w:p>
        </w:tc>
        <w:tc>
          <w:tcPr>
            <w:tcW w:type="dxa" w:w="1757"/>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層級分析法的權重不是個體因果效果</w:t>
            </w:r>
          </w:p>
        </w:tc>
      </w:tr>
      <w:tr>
        <w:tc>
          <w:tcPr>
            <w:tcW w:type="dxa" w:w="1700"/>
            <w:shd w:fill="F7F3EA"/>
            <w:tcMar>
              <w:top w:w="90" w:type="dxa"/>
              <w:left w:w="100" w:type="dxa"/>
              <w:bottom w:w="90" w:type="dxa"/>
              <w:right w:w="100" w:type="dxa"/>
            </w:tcMar>
            <w:vAlign w:val="center"/>
          </w:tcPr>
          <w:p>
            <w:pPr>
              <w:spacing w:after="0" w:line="276" w:lineRule="auto"/>
              <w:jc w:val="left"/>
            </w:pPr>
            <w:r>
              <w:rPr>
                <w:rFonts w:ascii="DFKai-SB" w:hAnsi="DFKai-SB" w:eastAsia="DFKai-SB" w:cs="DFKai-SB"/>
                <w:b/>
                <w:i w:val="0"/>
                <w:color w:val="19352D"/>
                <w:sz w:val="17"/>
              </w:rPr>
              <w:t>全俊儒（2025）</w:t>
            </w:r>
          </w:p>
        </w:tc>
        <w:tc>
          <w:tcPr>
            <w:tcW w:type="dxa" w:w="238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跨文化溝通與原住民醫病關係</w:t>
            </w:r>
          </w:p>
        </w:tc>
        <w:tc>
          <w:tcPr>
            <w:tcW w:type="dxa" w:w="2891"/>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支持記錄互動、信任、口譯與機構條件</w:t>
            </w:r>
          </w:p>
        </w:tc>
        <w:tc>
          <w:tcPr>
            <w:tcW w:type="dxa" w:w="1757"/>
            <w:shd w:fill="F7F3EA"/>
            <w:tcMar>
              <w:top w:w="90" w:type="dxa"/>
              <w:left w:w="100" w:type="dxa"/>
              <w:bottom w:w="90" w:type="dxa"/>
              <w:right w:w="100" w:type="dxa"/>
            </w:tcMar>
            <w:vAlign w:val="center"/>
          </w:tcPr>
          <w:p>
            <w:pPr>
              <w:spacing w:after="0" w:line="276" w:lineRule="auto"/>
              <w:jc w:val="both"/>
            </w:pPr>
            <w:r>
              <w:rPr>
                <w:rFonts w:ascii="DFKai-SB" w:hAnsi="DFKai-SB" w:eastAsia="DFKai-SB" w:cs="DFKai-SB"/>
                <w:b w:val="0"/>
                <w:i w:val="0"/>
                <w:color w:val="19352D"/>
                <w:sz w:val="17"/>
              </w:rPr>
              <w:t>單一醫院情境需經跨場域驗證</w:t>
            </w:r>
          </w:p>
        </w:tc>
      </w:tr>
    </w:tbl>
    <w:p>
      <w:pPr>
        <w:spacing w:before="80" w:after="200" w:line="300" w:lineRule="auto"/>
      </w:pPr>
      <w:r>
        <w:rPr>
          <w:rFonts w:ascii="DFKai-SB" w:hAnsi="DFKai-SB" w:eastAsia="DFKai-SB" w:cs="DFKai-SB"/>
          <w:b w:val="0"/>
          <w:i/>
          <w:color w:val="19352D"/>
          <w:sz w:val="20"/>
        </w:rPr>
        <w:t>註。</w:t>
      </w:r>
      <w:r>
        <w:rPr>
          <w:rFonts w:ascii="DFKai-SB" w:hAnsi="DFKai-SB" w:eastAsia="DFKai-SB" w:cs="DFKai-SB"/>
          <w:b w:val="0"/>
          <w:i w:val="0"/>
          <w:color w:val="19352D"/>
          <w:sz w:val="20"/>
        </w:rPr>
        <w:t xml:space="preserve">本表將六項阿美族／原住民族研究定位為『研究設計參照』，不把不同研究目的、樣本與方法合併成效果量；原文書目頁可由下列連結逐項查核。 </w:t>
      </w:r>
      <w:hyperlink r:id="rId10">
        <w:r>
          <w:rPr>
            <w:rFonts w:ascii="DFKai-SB" w:hAnsi="DFKai-SB" w:eastAsia="DFKai-SB" w:cs="DFKai-SB"/>
            <w:color w:val="0563C1"/>
            <w:u w:val="single"/>
            <w:sz w:val="22"/>
          </w:rPr>
          <w:t>語言活力</w:t>
        </w:r>
      </w:hyperlink>
      <w:r>
        <w:rPr>
          <w:rFonts w:ascii="DFKai-SB" w:hAnsi="DFKai-SB" w:eastAsia="DFKai-SB" w:cs="DFKai-SB"/>
          <w:b w:val="0"/>
          <w:i w:val="0"/>
          <w:color w:val="19352D"/>
          <w:sz w:val="20"/>
        </w:rPr>
        <w:t>；</w:t>
      </w:r>
      <w:hyperlink r:id="rId13">
        <w:r>
          <w:rPr>
            <w:rFonts w:ascii="DFKai-SB" w:hAnsi="DFKai-SB" w:eastAsia="DFKai-SB" w:cs="DFKai-SB"/>
            <w:color w:val="0563C1"/>
            <w:u w:val="single"/>
            <w:sz w:val="22"/>
          </w:rPr>
          <w:t>數位民族誌</w:t>
        </w:r>
      </w:hyperlink>
      <w:r>
        <w:rPr>
          <w:rFonts w:ascii="DFKai-SB" w:hAnsi="DFKai-SB" w:eastAsia="DFKai-SB" w:cs="DFKai-SB"/>
          <w:b w:val="0"/>
          <w:i w:val="0"/>
          <w:color w:val="19352D"/>
          <w:sz w:val="20"/>
        </w:rPr>
        <w:t>；</w:t>
      </w:r>
      <w:hyperlink r:id="rId11">
        <w:r>
          <w:rPr>
            <w:rFonts w:ascii="DFKai-SB" w:hAnsi="DFKai-SB" w:eastAsia="DFKai-SB" w:cs="DFKai-SB"/>
            <w:color w:val="0563C1"/>
            <w:u w:val="single"/>
            <w:sz w:val="22"/>
          </w:rPr>
          <w:t>家庭語言去殖民化</w:t>
        </w:r>
      </w:hyperlink>
      <w:r>
        <w:rPr>
          <w:rFonts w:ascii="DFKai-SB" w:hAnsi="DFKai-SB" w:eastAsia="DFKai-SB" w:cs="DFKai-SB"/>
          <w:b w:val="0"/>
          <w:i w:val="0"/>
          <w:color w:val="19352D"/>
          <w:sz w:val="20"/>
        </w:rPr>
        <w:t>；</w:t>
      </w:r>
      <w:hyperlink r:id="rId17">
        <w:r>
          <w:rPr>
            <w:rFonts w:ascii="DFKai-SB" w:hAnsi="DFKai-SB" w:eastAsia="DFKai-SB" w:cs="DFKai-SB"/>
            <w:color w:val="0563C1"/>
            <w:u w:val="single"/>
            <w:sz w:val="22"/>
          </w:rPr>
          <w:t>文化敏感音樂治療</w:t>
        </w:r>
      </w:hyperlink>
      <w:r>
        <w:rPr>
          <w:rFonts w:ascii="DFKai-SB" w:hAnsi="DFKai-SB" w:eastAsia="DFKai-SB" w:cs="DFKai-SB"/>
          <w:b w:val="0"/>
          <w:i w:val="0"/>
          <w:color w:val="19352D"/>
          <w:sz w:val="20"/>
        </w:rPr>
        <w:t>；</w:t>
      </w:r>
      <w:hyperlink r:id="rId14">
        <w:r>
          <w:rPr>
            <w:rFonts w:ascii="DFKai-SB" w:hAnsi="DFKai-SB" w:eastAsia="DFKai-SB" w:cs="DFKai-SB"/>
            <w:color w:val="0563C1"/>
            <w:u w:val="single"/>
            <w:sz w:val="22"/>
          </w:rPr>
          <w:t>健康識能轉譯</w:t>
        </w:r>
      </w:hyperlink>
      <w:r>
        <w:rPr>
          <w:rFonts w:ascii="DFKai-SB" w:hAnsi="DFKai-SB" w:eastAsia="DFKai-SB" w:cs="DFKai-SB"/>
          <w:b w:val="0"/>
          <w:i w:val="0"/>
          <w:color w:val="19352D"/>
          <w:sz w:val="20"/>
        </w:rPr>
        <w:t>；</w:t>
      </w:r>
      <w:hyperlink r:id="rId15">
        <w:r>
          <w:rPr>
            <w:rFonts w:ascii="DFKai-SB" w:hAnsi="DFKai-SB" w:eastAsia="DFKai-SB" w:cs="DFKai-SB"/>
            <w:color w:val="0563C1"/>
            <w:u w:val="single"/>
            <w:sz w:val="22"/>
          </w:rPr>
          <w:t>跨文化醫病溝通</w:t>
        </w:r>
      </w:hyperlink>
      <w:r>
        <w:rPr>
          <w:rFonts w:ascii="DFKai-SB" w:hAnsi="DFKai-SB" w:eastAsia="DFKai-SB" w:cs="DFKai-SB"/>
          <w:b w:val="0"/>
          <w:i w:val="0"/>
          <w:color w:val="19352D"/>
          <w:sz w:val="20"/>
        </w:rPr>
        <w:t>。</w:t>
      </w:r>
    </w:p>
    <w:p>
      <w:pPr>
        <w:keepNext/>
        <w:spacing w:before="320" w:after="160"/>
      </w:pPr>
      <w:r>
        <w:rPr>
          <w:rFonts w:ascii="DFKai-SB" w:hAnsi="DFKai-SB" w:eastAsia="DFKai-SB" w:cs="DFKai-SB"/>
          <w:b/>
          <w:i w:val="0"/>
          <w:color w:val="19352D"/>
          <w:sz w:val="32"/>
        </w:rPr>
        <w:t>整合後的研究主張</w:t>
      </w:r>
    </w:p>
    <w:p>
      <w:pPr>
        <w:spacing w:after="160" w:line="480" w:lineRule="auto"/>
        <w:jc w:val="both"/>
      </w:pPr>
      <w:r>
        <w:rPr>
          <w:rFonts w:ascii="DFKai-SB" w:hAnsi="DFKai-SB" w:eastAsia="DFKai-SB" w:cs="DFKai-SB"/>
          <w:b w:val="0"/>
          <w:i w:val="0"/>
          <w:color w:val="19352D"/>
          <w:sz w:val="24"/>
        </w:rPr>
        <w:t>若要區分高齡阿美語使用者的正常社會語言變化、語言使用減少／磨損與可能的神經認知變化，研究單位不能只是一份族語版測驗。較穩健的設計需要同時保存個人多語生命史、網絡與共同實踐、感官及健康背景、自然語料、結構式任務、口譯互動軌跡，以及社群對結果的共同詮釋。</w:t>
      </w:r>
    </w:p>
    <w:p>
      <w:pPr>
        <w:spacing w:after="160" w:line="480" w:lineRule="auto"/>
        <w:jc w:val="both"/>
      </w:pPr>
      <w:r>
        <w:rPr>
          <w:rFonts w:ascii="DFKai-SB" w:hAnsi="DFKai-SB" w:eastAsia="DFKai-SB" w:cs="DFKai-SB"/>
          <w:b w:val="0"/>
          <w:i w:val="0"/>
          <w:color w:val="19352D"/>
          <w:sz w:val="24"/>
        </w:rPr>
        <w:t>最優先的證據缺口是：阿美語方言與任務公平性、病前雙語基線、自然互動與臨床任務的效標連結，以及可操作的資料主權／撤回機制。這些缺口決定研究能否把『不同』與『病理』清楚分開。</w:t>
      </w:r>
    </w:p>
    <w:p>
      <w:pPr>
        <w:keepNext/>
        <w:spacing w:before="320" w:after="160"/>
      </w:pPr>
      <w:r>
        <w:rPr>
          <w:rFonts w:ascii="DFKai-SB" w:hAnsi="DFKai-SB" w:eastAsia="DFKai-SB" w:cs="DFKai-SB"/>
          <w:b/>
          <w:i w:val="0"/>
          <w:color w:val="19352D"/>
          <w:sz w:val="32"/>
        </w:rPr>
        <w:t>參考文獻</w:t>
      </w:r>
    </w:p>
    <w:p>
      <w:pPr>
        <w:spacing w:line="480" w:lineRule="auto" w:after="0"/>
        <w:ind w:left="720" w:hanging="720"/>
      </w:pPr>
      <w:r>
        <w:rPr>
          <w:rFonts w:ascii="DFKai-SB" w:hAnsi="DFKai-SB" w:eastAsia="DFKai-SB" w:cs="DFKai-SB"/>
          <w:b w:val="0"/>
          <w:i w:val="0"/>
          <w:color w:val="19352D"/>
          <w:sz w:val="22"/>
        </w:rPr>
        <w:t>Ball, M. J. (Ed.). (2005). Clinical sociolinguistics. Blackwell Publishing.</w:t>
      </w:r>
    </w:p>
    <w:p>
      <w:pPr>
        <w:spacing w:line="480" w:lineRule="auto" w:after="0"/>
        <w:ind w:left="720" w:hanging="720"/>
      </w:pPr>
      <w:r>
        <w:rPr>
          <w:rFonts w:ascii="DFKai-SB" w:hAnsi="DFKai-SB" w:eastAsia="DFKai-SB" w:cs="DFKai-SB"/>
          <w:b w:val="0"/>
          <w:i w:val="0"/>
          <w:color w:val="19352D"/>
          <w:sz w:val="22"/>
        </w:rPr>
        <w:t xml:space="preserve">Hast, A. C. (2023). Mipaselak to sowal no Pangcah: A digital ethnography of two open 'Amis/Pangcah language platforms, 'Amis MoeDict and 'Amis Wikipitiya [Master's thesis, National Dong Hwa University]. </w:t>
      </w:r>
      <w:hyperlink r:id="rId13">
        <w:r>
          <w:rPr>
            <w:rFonts w:ascii="DFKai-SB" w:hAnsi="DFKai-SB" w:eastAsia="DFKai-SB" w:cs="DFKai-SB"/>
            <w:color w:val="0563C1"/>
            <w:u w:val="single"/>
            <w:sz w:val="22"/>
          </w:rPr>
          <w:t>https://ndltd.ncl.edu.tw/cgi-bin/gs32/gsweb.cgi/login?o=dnclcdr&amp;s=id%3D%22112NDHU5577003%22.&amp;searchmode=basic</w:t>
        </w:r>
      </w:hyperlink>
    </w:p>
    <w:p>
      <w:pPr>
        <w:spacing w:line="480" w:lineRule="auto" w:after="0"/>
        <w:ind w:left="720" w:hanging="720"/>
      </w:pPr>
      <w:r>
        <w:rPr>
          <w:rFonts w:ascii="DFKai-SB" w:hAnsi="DFKai-SB" w:eastAsia="DFKai-SB" w:cs="DFKai-SB"/>
          <w:b w:val="0"/>
          <w:i w:val="0"/>
          <w:color w:val="19352D"/>
          <w:sz w:val="22"/>
        </w:rPr>
        <w:t xml:space="preserve">Sifo Lakaw. (2024). O Pangcah kami, misanoPangcah kami i loma': Misawaday a misanoholam a parod no Pangcah i Taywan [Doctoral dissertation, National Dong Hwa University]. </w:t>
      </w:r>
      <w:hyperlink r:id="rId11">
        <w:r>
          <w:rPr>
            <w:rFonts w:ascii="DFKai-SB" w:hAnsi="DFKai-SB" w:eastAsia="DFKai-SB" w:cs="DFKai-SB"/>
            <w:color w:val="0563C1"/>
            <w:u w:val="single"/>
            <w:sz w:val="22"/>
          </w:rPr>
          <w:t>https://ndltd.ncl.edu.tw/cgi-bin/gs32/gsweb.cgi/login?o=dnclcdr&amp;s=id%3D%22112NDHU5577013%22.&amp;searchmode=basic</w:t>
        </w:r>
      </w:hyperlink>
    </w:p>
    <w:p>
      <w:pPr>
        <w:spacing w:line="480" w:lineRule="auto" w:after="0"/>
        <w:ind w:left="720" w:hanging="720"/>
      </w:pPr>
      <w:r>
        <w:rPr>
          <w:rFonts w:ascii="DFKai-SB" w:hAnsi="DFKai-SB" w:eastAsia="DFKai-SB" w:cs="DFKai-SB"/>
          <w:b w:val="0"/>
          <w:i w:val="0"/>
          <w:color w:val="19352D"/>
          <w:sz w:val="22"/>
        </w:rPr>
        <w:t>全俊儒（2025）。《跨文化溝通對原住民醫病關係的影響—以南投某教學醫院為例》［碩士論文，南開科技大學］。</w:t>
      </w:r>
      <w:hyperlink r:id="rId15">
        <w:r>
          <w:rPr>
            <w:rFonts w:ascii="DFKai-SB" w:hAnsi="DFKai-SB" w:eastAsia="DFKai-SB" w:cs="DFKai-SB"/>
            <w:color w:val="0563C1"/>
            <w:u w:val="single"/>
            <w:sz w:val="22"/>
          </w:rPr>
          <w:t>https://ndltd.ncl.edu.tw/cgi-bin/gs32/gsweb.cgi/ccd%3D4YLJ_i/search?s=id%3D%22113NKUT0836016%22.&amp;searchmode=basic</w:t>
        </w:r>
      </w:hyperlink>
    </w:p>
    <w:p>
      <w:pPr>
        <w:spacing w:line="480" w:lineRule="auto" w:after="0"/>
        <w:ind w:left="720" w:hanging="720"/>
      </w:pPr>
      <w:r>
        <w:rPr>
          <w:rFonts w:ascii="DFKai-SB" w:hAnsi="DFKai-SB" w:eastAsia="DFKai-SB" w:cs="DFKai-SB"/>
          <w:b w:val="0"/>
          <w:i w:val="0"/>
          <w:color w:val="19352D"/>
          <w:sz w:val="22"/>
        </w:rPr>
        <w:t>張文翊（2024）。《文化敏感音樂治療應用於部落長者預防及延緩失能之成效探討》［碩士論文，輔仁大學］。</w:t>
      </w:r>
      <w:hyperlink r:id="rId17">
        <w:r>
          <w:rPr>
            <w:rFonts w:ascii="DFKai-SB" w:hAnsi="DFKai-SB" w:eastAsia="DFKai-SB" w:cs="DFKai-SB"/>
            <w:color w:val="0563C1"/>
            <w:u w:val="single"/>
            <w:sz w:val="22"/>
          </w:rPr>
          <w:t>https://ndltd.ncl.edu.tw/cgi-bin/gs32/gsweb.cgi/login?o=dnclcdr&amp;s=id%3D%22112FJU00248043%22.&amp;searchmode=basic</w:t>
        </w:r>
      </w:hyperlink>
    </w:p>
    <w:p>
      <w:pPr>
        <w:spacing w:line="480" w:lineRule="auto" w:after="0"/>
        <w:ind w:left="720" w:hanging="720"/>
      </w:pPr>
      <w:r>
        <w:rPr>
          <w:rFonts w:ascii="DFKai-SB" w:hAnsi="DFKai-SB" w:eastAsia="DFKai-SB" w:cs="DFKai-SB"/>
          <w:b w:val="0"/>
          <w:i w:val="0"/>
          <w:color w:val="19352D"/>
          <w:sz w:val="22"/>
        </w:rPr>
        <w:t>陳誼誠（2017）。《阿美族語的語言活力》［博士論文，國立政治大學］。</w:t>
      </w:r>
      <w:hyperlink r:id="rId10">
        <w:r>
          <w:rPr>
            <w:rFonts w:ascii="DFKai-SB" w:hAnsi="DFKai-SB" w:eastAsia="DFKai-SB" w:cs="DFKai-SB"/>
            <w:color w:val="0563C1"/>
            <w:u w:val="single"/>
            <w:sz w:val="22"/>
          </w:rPr>
          <w:t>https://ndltd.ncl.edu.tw/cgi-bin/gs32/gsweb.cgi?o=dnclcdr&amp;s=id%3D%22105NCCU5100005%22.&amp;searchmode=basic</w:t>
        </w:r>
      </w:hyperlink>
    </w:p>
    <w:p>
      <w:pPr>
        <w:spacing w:line="480" w:lineRule="auto" w:after="0"/>
        <w:ind w:left="720" w:hanging="720"/>
      </w:pPr>
      <w:r>
        <w:rPr>
          <w:rFonts w:ascii="DFKai-SB" w:hAnsi="DFKai-SB" w:eastAsia="DFKai-SB" w:cs="DFKai-SB"/>
          <w:b w:val="0"/>
          <w:i w:val="0"/>
          <w:color w:val="19352D"/>
          <w:sz w:val="22"/>
        </w:rPr>
        <w:t>蕭惠美（2025）。《以層級分析法探討提升原住民健康識能轉譯之關鍵成功因素》［碩士論文，國立屏東科技大學］。</w:t>
      </w:r>
      <w:hyperlink r:id="rId14">
        <w:r>
          <w:rPr>
            <w:rFonts w:ascii="DFKai-SB" w:hAnsi="DFKai-SB" w:eastAsia="DFKai-SB" w:cs="DFKai-SB"/>
            <w:color w:val="0563C1"/>
            <w:u w:val="single"/>
            <w:sz w:val="22"/>
          </w:rPr>
          <w:t>https://ndltd.ncl.edu.tw/cgi-bin/gs32/gsweb.cgi/login?o=dnclcdr&amp;s=id%3D%22113NPUS5457005%22.&amp;searchmode=basic</w:t>
        </w:r>
      </w:hyperlink>
    </w:p>
    <w:p>
      <w:pPr>
        <w:keepNext/>
        <w:spacing w:before="320" w:after="160"/>
      </w:pPr>
      <w:r>
        <w:rPr>
          <w:rFonts w:ascii="DFKai-SB" w:hAnsi="DFKai-SB" w:eastAsia="DFKai-SB" w:cs="DFKai-SB"/>
          <w:b/>
          <w:i w:val="0"/>
          <w:color w:val="19352D"/>
          <w:sz w:val="32"/>
        </w:rPr>
        <w:t>圖表可近用描述</w:t>
      </w:r>
    </w:p>
    <w:p>
      <w:pPr>
        <w:spacing w:after="160" w:line="360" w:lineRule="auto"/>
        <w:jc w:val="both"/>
      </w:pPr>
      <w:r>
        <w:rPr>
          <w:rFonts w:ascii="DFKai-SB" w:hAnsi="DFKai-SB" w:eastAsia="DFKai-SB" w:cs="DFKai-SB"/>
          <w:b w:val="0"/>
          <w:i w:val="0"/>
          <w:color w:val="19352D"/>
          <w:sz w:val="20"/>
        </w:rPr>
        <w:t>圖 1：四個水平方塊由左至右排列，依序為生命史與制度脈絡、社會網絡與共同實踐、語言使用量／優勢／方言、任務中的語言表現；下方列出教育識字、聽力、健康史、任務熟悉度與口譯者效應等調節或混淆因素。</w:t>
      </w:r>
    </w:p>
    <w:p>
      <w:pPr>
        <w:spacing w:after="160" w:line="360" w:lineRule="auto"/>
        <w:jc w:val="both"/>
      </w:pPr>
      <w:r>
        <w:rPr>
          <w:rFonts w:ascii="DFKai-SB" w:hAnsi="DFKai-SB" w:eastAsia="DFKai-SB" w:cs="DFKai-SB"/>
          <w:b w:val="0"/>
          <w:i w:val="0"/>
          <w:color w:val="19352D"/>
          <w:sz w:val="20"/>
        </w:rPr>
        <w:t>圖 2：二乘二矩陣，橫軸為臨床／認知證據強度，縱軸為社會語言脈絡整合度；右上象限代表文化公平的多語臨床評估，是本研究設計的目標位置。</w:t>
      </w:r>
    </w:p>
    <w:p>
      <w:pPr>
        <w:spacing w:after="160" w:line="360" w:lineRule="auto"/>
        <w:jc w:val="both"/>
      </w:pPr>
      <w:r>
        <w:rPr>
          <w:rFonts w:ascii="DFKai-SB" w:hAnsi="DFKai-SB" w:eastAsia="DFKai-SB" w:cs="DFKai-SB"/>
          <w:b w:val="0"/>
          <w:i w:val="0"/>
          <w:color w:val="19352D"/>
          <w:sz w:val="20"/>
        </w:rPr>
        <w:t>圖 3：七階段流程依序為共同定義問題、多語生命史與同意、聽力／健康背景、自然互動語料、雙語／方言任務、社群共同詮釋、分級保存／撤回／回饋。</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DFKai-SB" w:hAnsi="DFKai-SB" w:eastAsia="DFKai-SB" w:cs="DFKai-SB"/>
        <w:b w:val="0"/>
        <w:i w:val="0"/>
        <w:color w:val="19352D"/>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DFKai-SB" w:hAnsi="DFKai-SB" w:eastAsia="DFKai-S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ndltd.ncl.edu.tw/cgi-bin/gs32/gsweb.cgi?o=dnclcdr&amp;s=id%3D%22105NCCU5100005%22.&amp;searchmode=basic" TargetMode="External"/><Relationship Id="rId11" Type="http://schemas.openxmlformats.org/officeDocument/2006/relationships/hyperlink" Target="https://ndltd.ncl.edu.tw/cgi-bin/gs32/gsweb.cgi/login?o=dnclcdr&amp;s=id%3D%22112NDHU5577013%22.&amp;searchmode=basic" TargetMode="External"/><Relationship Id="rId12" Type="http://schemas.openxmlformats.org/officeDocument/2006/relationships/image" Target="media/image1.png"/><Relationship Id="rId13" Type="http://schemas.openxmlformats.org/officeDocument/2006/relationships/hyperlink" Target="https://ndltd.ncl.edu.tw/cgi-bin/gs32/gsweb.cgi/login?o=dnclcdr&amp;s=id%3D%22112NDHU5577003%22.&amp;searchmode=basic" TargetMode="External"/><Relationship Id="rId14" Type="http://schemas.openxmlformats.org/officeDocument/2006/relationships/hyperlink" Target="https://ndltd.ncl.edu.tw/cgi-bin/gs32/gsweb.cgi/login?o=dnclcdr&amp;s=id%3D%22113NPUS5457005%22.&amp;searchmode=basic" TargetMode="External"/><Relationship Id="rId15" Type="http://schemas.openxmlformats.org/officeDocument/2006/relationships/hyperlink" Target="https://ndltd.ncl.edu.tw/cgi-bin/gs32/gsweb.cgi/ccd%3D4YLJ_i/search?s=id%3D%22113NKUT0836016%22.&amp;searchmode=basic" TargetMode="External"/><Relationship Id="rId16" Type="http://schemas.openxmlformats.org/officeDocument/2006/relationships/image" Target="media/image2.png"/><Relationship Id="rId17" Type="http://schemas.openxmlformats.org/officeDocument/2006/relationships/hyperlink" Target="https://ndltd.ncl.edu.tw/cgi-bin/gs32/gsweb.cgi/login?o=dnclcdr&amp;s=id%3D%22112FJU00248043%22.&amp;searchmode=basic" TargetMode="External"/><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《臨床社會語言學》圖表、研究脈絡與研究缺口整理</dc:title>
  <dc:subject>APA 7 研究整理包：高齡阿美族語與文化公平評估</dc:subject>
  <dc:creator>Clinical Sociolinguistics Reading Platform</dc:creator>
  <cp:keywords>臨床社會語言學, 阿美族, 多語生命史, APA 7, 研究缺口</cp:keywords>
  <dc:description>generated by python-docx</dc:description>
  <cp:lastModifiedBy/>
  <cp:revision>1</cp:revision>
  <dcterms:created xsi:type="dcterms:W3CDTF">2013-12-23T23:15:00Z</dcterms:created>
  <dcterms:modified xsi:type="dcterms:W3CDTF">2013-12-23T23:15:00Z</dcterms:modified>
  <cp:category/>
</cp:coreProperties>
</file>