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智能纪要：20251215_133124 2026年10月28日</w:t>
      </w:r>
    </w:p>
    <w:p>
      <w:pPr>
        <w:spacing w:before="120" w:after="120" w:line="288" w:lineRule="auto"/>
        <w:ind w:left="0"/>
        <w:jc w:val="left"/>
      </w:pPr>
      <w:r>
        <w:rPr>
          <w:rFonts w:eastAsia="等线" w:ascii="Arial" w:cs="Arial" w:hAnsi="Arial"/>
          <w:sz w:val="22"/>
        </w:rPr>
        <w:t>上传时间：2026-10-28 16:01</w:t>
      </w: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5257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525780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本次为课程期末考前重点梳理答疑会，明确了作业提交要求、全章节核心考点与考试注意事项，内容如下：</w:t>
      </w:r>
    </w:p>
    <w:p>
      <w:pPr>
        <w:numPr>
          <w:numId w:val="1"/>
        </w:numPr>
        <w:spacing w:before="120" w:after="120" w:line="288" w:lineRule="auto"/>
        <w:ind w:left="0"/>
        <w:jc w:val="left"/>
      </w:pPr>
      <w:r>
        <w:rPr>
          <w:rFonts w:eastAsia="等线" w:ascii="Arial" w:cs="Arial" w:hAnsi="Arial"/>
          <w:b w:val="true"/>
          <w:sz w:val="22"/>
        </w:rPr>
        <w:t>考前基础要求</w:t>
      </w:r>
    </w:p>
    <w:p>
      <w:pPr>
        <w:numPr>
          <w:numId w:val="2"/>
        </w:numPr>
        <w:spacing w:before="120" w:after="120" w:line="288" w:lineRule="auto"/>
        <w:ind w:left="453"/>
        <w:jc w:val="left"/>
      </w:pPr>
      <w:r>
        <w:rPr>
          <w:rFonts w:eastAsia="等线" w:ascii="Arial" w:cs="Arial" w:hAnsi="Arial"/>
          <w:b w:val="true"/>
          <w:sz w:val="22"/>
        </w:rPr>
        <w:t>作业提交时间</w:t>
      </w:r>
      <w:r>
        <w:rPr>
          <w:rFonts w:eastAsia="等线" w:ascii="Arial" w:cs="Arial" w:hAnsi="Arial"/>
          <w:sz w:val="22"/>
        </w:rPr>
        <w:t>：所有完成并经批改的作业，需在下周考试当天全部上交，漏交将无法录入平时成绩。</w:t>
      </w:r>
    </w:p>
    <w:p>
      <w:pPr>
        <w:numPr>
          <w:numId w:val="3"/>
        </w:numPr>
        <w:spacing w:before="120" w:after="120" w:line="288" w:lineRule="auto"/>
        <w:ind w:left="453"/>
        <w:jc w:val="left"/>
      </w:pPr>
      <w:r>
        <w:rPr>
          <w:rFonts w:eastAsia="等线" w:ascii="Arial" w:cs="Arial" w:hAnsi="Arial"/>
          <w:b w:val="true"/>
          <w:sz w:val="22"/>
        </w:rPr>
        <w:t>复习原则</w:t>
      </w:r>
      <w:r>
        <w:rPr>
          <w:rFonts w:eastAsia="等线" w:ascii="Arial" w:cs="Arial" w:hAnsi="Arial"/>
          <w:sz w:val="22"/>
        </w:rPr>
        <w:t>：因课程内容较多、复习时间有限，无需全面通读所有内容，按照本次划定的重点针对性复习即可。</w:t>
      </w:r>
    </w:p>
    <w:p>
      <w:pPr>
        <w:numPr>
          <w:numId w:val="4"/>
        </w:numPr>
        <w:spacing w:before="120" w:after="120" w:line="288" w:lineRule="auto"/>
        <w:ind w:left="453"/>
        <w:jc w:val="left"/>
      </w:pPr>
      <w:r>
        <w:rPr>
          <w:rFonts w:eastAsia="等线" w:ascii="Arial" w:cs="Arial" w:hAnsi="Arial"/>
          <w:b w:val="true"/>
          <w:sz w:val="22"/>
        </w:rPr>
        <w:t>考试工具准备</w:t>
      </w:r>
      <w:r>
        <w:rPr>
          <w:rFonts w:eastAsia="等线" w:ascii="Arial" w:cs="Arial" w:hAnsi="Arial"/>
          <w:sz w:val="22"/>
        </w:rPr>
        <w:t>：需携带铅笔、尺子，如有圆规也建议一并携带，应对考试中的结构改错绘图类题目。</w:t>
      </w:r>
    </w:p>
    <w:p>
      <w:pPr>
        <w:numPr>
          <w:numId w:val="5"/>
        </w:numPr>
        <w:spacing w:before="120" w:after="120" w:line="288" w:lineRule="auto"/>
        <w:ind w:left="0"/>
        <w:jc w:val="left"/>
      </w:pPr>
      <w:r>
        <w:rPr>
          <w:rFonts w:eastAsia="等线" w:ascii="Arial" w:cs="Arial" w:hAnsi="Arial"/>
          <w:b w:val="true"/>
          <w:sz w:val="22"/>
        </w:rPr>
        <w:t>铸造模块考点</w:t>
      </w:r>
    </w:p>
    <w:p>
      <w:pPr>
        <w:numPr>
          <w:numId w:val="6"/>
        </w:numPr>
        <w:spacing w:before="120" w:after="120" w:line="288" w:lineRule="auto"/>
        <w:ind w:left="453"/>
        <w:jc w:val="left"/>
      </w:pPr>
      <w:r>
        <w:rPr>
          <w:rFonts w:eastAsia="等线" w:ascii="Arial" w:cs="Arial" w:hAnsi="Arial"/>
          <w:b w:val="true"/>
          <w:sz w:val="22"/>
        </w:rPr>
        <w:t>液态合金充型相关考点</w:t>
      </w:r>
    </w:p>
    <w:p>
      <w:pPr>
        <w:numPr>
          <w:numId w:val="7"/>
        </w:numPr>
        <w:spacing w:before="120" w:after="120" w:line="288" w:lineRule="auto"/>
        <w:ind w:left="907"/>
        <w:jc w:val="left"/>
      </w:pPr>
      <w:r>
        <w:rPr>
          <w:rFonts w:eastAsia="等线" w:ascii="Arial" w:cs="Arial" w:hAnsi="Arial"/>
          <w:sz w:val="22"/>
        </w:rPr>
        <w:t>充型能力影响因素：核心考点为合金流动性、浇注条件、铸型填充条件，其中合金流动性受化学成分影响最显著，靠近共晶点区域流动性更好。</w:t>
      </w:r>
    </w:p>
    <w:p>
      <w:pPr>
        <w:numPr>
          <w:numId w:val="8"/>
        </w:numPr>
        <w:spacing w:before="120" w:after="120" w:line="288" w:lineRule="auto"/>
        <w:ind w:left="907"/>
        <w:jc w:val="left"/>
      </w:pPr>
      <w:r>
        <w:rPr>
          <w:rFonts w:eastAsia="等线" w:ascii="Arial" w:cs="Arial" w:hAnsi="Arial"/>
          <w:sz w:val="22"/>
        </w:rPr>
        <w:t>浇注温度影响规律：浇注温度升高会降低合金粘度、提升过热度，延长流动性保持时间，增强充型能力，反之充型能力会下降。</w:t>
      </w:r>
    </w:p>
    <w:p>
      <w:pPr>
        <w:numPr>
          <w:numId w:val="9"/>
        </w:numPr>
        <w:spacing w:before="120" w:after="120" w:line="288" w:lineRule="auto"/>
        <w:ind w:left="453"/>
        <w:jc w:val="left"/>
      </w:pPr>
      <w:r>
        <w:rPr>
          <w:rFonts w:eastAsia="等线" w:ascii="Arial" w:cs="Arial" w:hAnsi="Arial"/>
          <w:b w:val="true"/>
          <w:sz w:val="22"/>
        </w:rPr>
        <w:t>凝固与收缩相关考点</w:t>
      </w:r>
    </w:p>
    <w:p>
      <w:pPr>
        <w:numPr>
          <w:numId w:val="10"/>
        </w:numPr>
        <w:spacing w:before="120" w:after="120" w:line="288" w:lineRule="auto"/>
        <w:ind w:left="907"/>
        <w:jc w:val="left"/>
      </w:pPr>
      <w:r>
        <w:rPr>
          <w:rFonts w:eastAsia="等线" w:ascii="Arial" w:cs="Arial" w:hAnsi="Arial"/>
          <w:sz w:val="22"/>
        </w:rPr>
        <w:t>缩孔缩松核心知识点：需掌握缩孔、缩松的定义、二者在形状与形成过程上的区别，以及各自对铸件质量的危害。</w:t>
      </w:r>
    </w:p>
    <w:p>
      <w:pPr>
        <w:numPr>
          <w:numId w:val="11"/>
        </w:numPr>
        <w:spacing w:before="120" w:after="120" w:line="288" w:lineRule="auto"/>
        <w:ind w:left="907"/>
        <w:jc w:val="left"/>
      </w:pPr>
      <w:r>
        <w:rPr>
          <w:rFonts w:eastAsia="等线" w:ascii="Arial" w:cs="Arial" w:hAnsi="Arial"/>
          <w:sz w:val="22"/>
        </w:rPr>
        <w:t>缩孔缩松特性：当二者容积相同时，缩松的分布面积远大于缩孔，对铸件性能的负面影响范围更广。</w:t>
      </w:r>
    </w:p>
    <w:p>
      <w:pPr>
        <w:numPr>
          <w:numId w:val="12"/>
        </w:numPr>
        <w:spacing w:before="120" w:after="120" w:line="288" w:lineRule="auto"/>
        <w:ind w:left="453"/>
        <w:jc w:val="left"/>
      </w:pPr>
      <w:r>
        <w:rPr>
          <w:rFonts w:eastAsia="等线" w:ascii="Arial" w:cs="Arial" w:hAnsi="Arial"/>
          <w:b w:val="true"/>
          <w:sz w:val="22"/>
        </w:rPr>
        <w:t>铸造内应力相关考点</w:t>
      </w:r>
    </w:p>
    <w:p>
      <w:pPr>
        <w:numPr>
          <w:numId w:val="13"/>
        </w:numPr>
        <w:spacing w:before="120" w:after="120" w:line="288" w:lineRule="auto"/>
        <w:ind w:left="907"/>
        <w:jc w:val="left"/>
      </w:pPr>
      <w:r>
        <w:rPr>
          <w:rFonts w:eastAsia="等线" w:ascii="Arial" w:cs="Arial" w:hAnsi="Arial"/>
          <w:sz w:val="22"/>
        </w:rPr>
        <w:t>内应力产生阶段：内应力产生于铸件凝固完成后的继续冷却阶段，是固态收缩受到阻碍所引发的。</w:t>
      </w:r>
    </w:p>
    <w:p>
      <w:pPr>
        <w:numPr>
          <w:numId w:val="14"/>
        </w:numPr>
        <w:spacing w:before="120" w:after="120" w:line="288" w:lineRule="auto"/>
        <w:ind w:left="907"/>
        <w:jc w:val="left"/>
      </w:pPr>
      <w:r>
        <w:rPr>
          <w:rFonts w:eastAsia="等线" w:ascii="Arial" w:cs="Arial" w:hAnsi="Arial"/>
          <w:sz w:val="22"/>
        </w:rPr>
        <w:t>内应力分类与成因：内应力分为热应力和机械应力，需重点掌握热应力的产生根本原因，可参考教材56页下方的分析原则。</w:t>
      </w:r>
    </w:p>
    <w:p>
      <w:pPr>
        <w:numPr>
          <w:numId w:val="15"/>
        </w:numPr>
        <w:spacing w:before="120" w:after="120" w:line="288" w:lineRule="auto"/>
        <w:ind w:left="907"/>
        <w:jc w:val="left"/>
      </w:pPr>
      <w:r>
        <w:rPr>
          <w:rFonts w:eastAsia="等线" w:ascii="Arial" w:cs="Arial" w:hAnsi="Arial"/>
          <w:sz w:val="22"/>
        </w:rPr>
        <w:t>热应力分布规律：铸件冷却速度慢的区域受拉应力，冷却速度快的区域受压应力，对应结构会产生特定方向的弯曲变形。</w:t>
      </w:r>
    </w:p>
    <w:p>
      <w:pPr>
        <w:numPr>
          <w:numId w:val="16"/>
        </w:numPr>
        <w:spacing w:before="120" w:after="120" w:line="288" w:lineRule="auto"/>
        <w:ind w:left="453"/>
        <w:jc w:val="left"/>
      </w:pPr>
      <w:r>
        <w:rPr>
          <w:rFonts w:eastAsia="等线" w:ascii="Arial" w:cs="Arial" w:hAnsi="Arial"/>
          <w:b w:val="true"/>
          <w:sz w:val="22"/>
        </w:rPr>
        <w:t>凝固原则相关考点</w:t>
      </w:r>
      <w:r>
        <w:rPr>
          <w:rFonts w:eastAsia="等线" w:ascii="Arial" w:cs="Arial" w:hAnsi="Arial"/>
          <w:sz w:val="22"/>
        </w:rPr>
        <w:t>：需掌握顺序凝固原则、同时凝固原则的定义，以及二者各自的适用场景差异，相关内容可结合PPT与教材55页内容复习。</w:t>
      </w:r>
    </w:p>
    <w:p>
      <w:pPr>
        <w:numPr>
          <w:numId w:val="17"/>
        </w:numPr>
        <w:spacing w:before="120" w:after="120" w:line="288" w:lineRule="auto"/>
        <w:ind w:left="453"/>
        <w:jc w:val="left"/>
      </w:pPr>
      <w:r>
        <w:rPr>
          <w:rFonts w:eastAsia="等线" w:ascii="Arial" w:cs="Arial" w:hAnsi="Arial"/>
          <w:b w:val="true"/>
          <w:sz w:val="22"/>
        </w:rPr>
        <w:t>铸造工艺分析考点</w:t>
      </w:r>
    </w:p>
    <w:p>
      <w:pPr>
        <w:numPr>
          <w:numId w:val="18"/>
        </w:numPr>
        <w:spacing w:before="120" w:after="120" w:line="288" w:lineRule="auto"/>
        <w:ind w:left="907"/>
        <w:jc w:val="left"/>
      </w:pPr>
      <w:r>
        <w:rPr>
          <w:rFonts w:eastAsia="等线" w:ascii="Arial" w:cs="Arial" w:hAnsi="Arial"/>
          <w:sz w:val="22"/>
        </w:rPr>
        <w:t>15分必考大题：教材80、81页的综合分析举例为必考15分大题考点，题型为分型面方案分析，难度低于课后补充习题。</w:t>
      </w:r>
    </w:p>
    <w:p>
      <w:pPr>
        <w:numPr>
          <w:numId w:val="19"/>
        </w:numPr>
        <w:spacing w:before="120" w:after="120" w:line="288" w:lineRule="auto"/>
        <w:ind w:left="907"/>
        <w:jc w:val="left"/>
      </w:pPr>
      <w:r>
        <w:rPr>
          <w:rFonts w:eastAsia="等线" w:ascii="Arial" w:cs="Arial" w:hAnsi="Arial"/>
          <w:sz w:val="22"/>
        </w:rPr>
        <w:t>分型面分析要点：需掌握不同分型方案的优缺点，重点关注错箱风险、曲面分型难度、活块造型、挖砂造型等相关知识点。</w:t>
      </w:r>
    </w:p>
    <w:p>
      <w:pPr>
        <w:numPr>
          <w:numId w:val="20"/>
        </w:numPr>
        <w:spacing w:before="120" w:after="120" w:line="288" w:lineRule="auto"/>
        <w:ind w:left="453"/>
        <w:jc w:val="left"/>
      </w:pPr>
      <w:r>
        <w:rPr>
          <w:rFonts w:eastAsia="等线" w:ascii="Arial" w:cs="Arial" w:hAnsi="Arial"/>
          <w:b w:val="true"/>
          <w:sz w:val="22"/>
        </w:rPr>
        <w:t>铸件结构工艺性考点</w:t>
      </w:r>
    </w:p>
    <w:p>
      <w:pPr>
        <w:numPr>
          <w:numId w:val="21"/>
        </w:numPr>
        <w:spacing w:before="120" w:after="120" w:line="288" w:lineRule="auto"/>
        <w:ind w:left="907"/>
        <w:jc w:val="left"/>
      </w:pPr>
      <w:r>
        <w:rPr>
          <w:rFonts w:eastAsia="等线" w:ascii="Arial" w:cs="Arial" w:hAnsi="Arial"/>
          <w:sz w:val="22"/>
        </w:rPr>
        <w:t>结构改错答题要求：答题需先指出结构不合理，说明不合理原因，再通过绘图完成结构改正，相关题型为高频考点。</w:t>
      </w:r>
    </w:p>
    <w:p>
      <w:pPr>
        <w:numPr>
          <w:numId w:val="22"/>
        </w:numPr>
        <w:spacing w:before="120" w:after="120" w:line="288" w:lineRule="auto"/>
        <w:ind w:left="907"/>
        <w:jc w:val="left"/>
      </w:pPr>
      <w:r>
        <w:rPr>
          <w:rFonts w:eastAsia="等线" w:ascii="Arial" w:cs="Arial" w:hAnsi="Arial"/>
          <w:sz w:val="22"/>
        </w:rPr>
        <w:t>典型不合理结构：重点关注拐角、轮辐、十字接头等位置，这类区域易形成大热点，引发缩孔缩松与内应力，需改为错列接头优化。</w:t>
      </w:r>
    </w:p>
    <w:p>
      <w:pPr>
        <w:numPr>
          <w:numId w:val="23"/>
        </w:numPr>
        <w:spacing w:before="120" w:after="120" w:line="288" w:lineRule="auto"/>
        <w:ind w:left="907"/>
        <w:jc w:val="left"/>
      </w:pPr>
      <w:r>
        <w:rPr>
          <w:rFonts w:eastAsia="等线" w:ascii="Arial" w:cs="Arial" w:hAnsi="Arial"/>
          <w:sz w:val="22"/>
        </w:rPr>
        <w:t>其他典型优化场景：需掌握壁厚均匀化、避免弧形结构妨碍起模、设置合理拔模斜度等常见结构优化规则。</w:t>
      </w:r>
    </w:p>
    <w:p>
      <w:pPr>
        <w:numPr>
          <w:numId w:val="24"/>
        </w:numPr>
        <w:spacing w:before="120" w:after="120" w:line="288" w:lineRule="auto"/>
        <w:ind w:left="0"/>
        <w:jc w:val="left"/>
      </w:pPr>
      <w:r>
        <w:rPr>
          <w:rFonts w:eastAsia="等线" w:ascii="Arial" w:cs="Arial" w:hAnsi="Arial"/>
          <w:b w:val="true"/>
          <w:sz w:val="22"/>
        </w:rPr>
        <w:t>金属塑性加工模块考点</w:t>
      </w:r>
    </w:p>
    <w:p>
      <w:pPr>
        <w:numPr>
          <w:numId w:val="25"/>
        </w:numPr>
        <w:spacing w:before="120" w:after="120" w:line="288" w:lineRule="auto"/>
        <w:ind w:left="453"/>
        <w:jc w:val="left"/>
      </w:pPr>
      <w:r>
        <w:rPr>
          <w:rFonts w:eastAsia="等线" w:ascii="Arial" w:cs="Arial" w:hAnsi="Arial"/>
          <w:b w:val="true"/>
          <w:sz w:val="22"/>
        </w:rPr>
        <w:t>塑性变形基础考点</w:t>
      </w:r>
    </w:p>
    <w:p>
      <w:pPr>
        <w:numPr>
          <w:numId w:val="26"/>
        </w:numPr>
        <w:spacing w:before="120" w:after="120" w:line="288" w:lineRule="auto"/>
        <w:ind w:left="907"/>
        <w:jc w:val="left"/>
      </w:pPr>
      <w:r>
        <w:rPr>
          <w:rFonts w:eastAsia="等线" w:ascii="Arial" w:cs="Arial" w:hAnsi="Arial"/>
          <w:sz w:val="22"/>
        </w:rPr>
        <w:t>塑性变形实质：金属塑性变形的核心实现方式为滑移，次要方式为孪生，常温下塑性变形以滑移为主要形式。</w:t>
      </w:r>
    </w:p>
    <w:p>
      <w:pPr>
        <w:numPr>
          <w:numId w:val="27"/>
        </w:numPr>
        <w:spacing w:before="120" w:after="120" w:line="288" w:lineRule="auto"/>
        <w:ind w:left="907"/>
        <w:jc w:val="left"/>
      </w:pPr>
      <w:r>
        <w:rPr>
          <w:rFonts w:eastAsia="等线" w:ascii="Arial" w:cs="Arial" w:hAnsi="Arial"/>
          <w:sz w:val="22"/>
        </w:rPr>
        <w:t>冷变形组织变化：常温下塑性变形后，金属晶粒会沿变形方向伸长，晶界与晶粒内部发生扭曲，产生碎晶与残余内应力。</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4554"/>
        <w:gridCol w:w="3726"/>
      </w:tblGrid>
      <w:tr>
        <w:tc>
          <w:tcPr>
            <w:tcW w:w="4554" w:type="dxa"/>
            <w:tcMar>
              <w:top w:type="dxa" w:w="60"/>
              <w:left w:type="dxa" w:w="120"/>
              <w:bottom w:type="dxa" w:w="30"/>
              <w:right w:type="dxa" w:w="120"/>
            </w:tcMar>
          </w:tcPr>
          <w:p>
            <w:pPr>
              <w:numPr>
                <w:numId w:val="28"/>
              </w:numPr>
              <w:spacing w:before="120" w:after="120" w:line="288" w:lineRule="auto"/>
              <w:ind w:left="0"/>
              <w:jc w:val="left"/>
            </w:pPr>
            <w:r>
              <w:rPr>
                <w:rFonts w:eastAsia="等线" w:ascii="Arial" w:cs="Arial" w:hAnsi="Arial"/>
                <w:sz w:val="22"/>
              </w:rPr>
              <w:t>加工硬化知识点：需掌握加工硬化（冷变形强化）的定义，以及该现象带来的优缺点，相关内容教材与PPT均有完整说明。</w:t>
            </w:r>
          </w:p>
          <w:p>
            <w:pPr>
              <w:numPr>
                <w:numId w:val="29"/>
              </w:numPr>
              <w:spacing w:before="120" w:after="120" w:line="288" w:lineRule="auto"/>
              <w:ind w:left="0"/>
              <w:jc w:val="left"/>
            </w:pPr>
            <w:r>
              <w:rPr>
                <w:rFonts w:eastAsia="等线" w:ascii="Arial" w:cs="Arial" w:hAnsi="Arial"/>
                <w:sz w:val="22"/>
              </w:rPr>
              <w:t>冷热变形区分：冷变形是在再结晶温度以下发生的变形，无再结晶过程；热变形是在再结晶温度以上发生的变形，无冷变形强化痕迹。</w:t>
            </w:r>
          </w:p>
          <w:p>
            <w:pPr>
              <w:numPr>
                <w:numId w:val="30"/>
              </w:numPr>
              <w:spacing w:before="120" w:after="120" w:line="288" w:lineRule="auto"/>
              <w:ind w:left="0"/>
              <w:jc w:val="left"/>
            </w:pPr>
            <w:r>
              <w:rPr>
                <w:rFonts w:eastAsia="等线" w:ascii="Arial" w:cs="Arial" w:hAnsi="Arial"/>
                <w:sz w:val="22"/>
              </w:rPr>
              <w:t>热变形优势：热变形过程中可获得性能更优的细晶粒再结晶组织，大幅提升金属的综合力学性能。</w:t>
            </w:r>
          </w:p>
        </w:tc>
        <w:tc>
          <w:tcPr>
            <w:tcW w:w="3726" w:type="dxa"/>
            <w:tcMar>
              <w:top w:type="dxa" w:w="60"/>
              <w:left w:type="dxa" w:w="120"/>
              <w:bottom w:type="dxa" w:w="30"/>
              <w:right w:type="dxa" w:w="120"/>
            </w:tcMar>
          </w:tcPr>
          <w:p>
            <w:pPr>
              <w:spacing w:before="120" w:after="120" w:line="288" w:lineRule="auto"/>
              <w:ind w:left="0"/>
              <w:jc w:val="center"/>
            </w:pPr>
            <w:r>
              <w:drawing>
                <wp:inline distT="0" distR="0" distB="0" distL="0">
                  <wp:extent cx="2209800" cy="1209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2209800" cy="1209675"/>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冷变形与热变形核心特性对比</w:t>
              <w:br/>
            </w:r>
          </w:p>
        </w:tc>
      </w:tr>
    </w:tbl>
    <w:p>
      <w:pPr>
        <w:numPr>
          <w:numId w:val="31"/>
        </w:numPr>
        <w:spacing w:before="120" w:after="120" w:line="288" w:lineRule="auto"/>
        <w:ind w:left="907"/>
        <w:jc w:val="left"/>
      </w:pPr>
      <w:r>
        <w:rPr>
          <w:rFonts w:eastAsia="等线" w:ascii="Arial" w:cs="Arial" w:hAnsi="Arial"/>
          <w:sz w:val="22"/>
        </w:rPr>
        <w:t>纤维组织知识点：需掌握纤维组织的形成原因，其对金属力学性能的影响规律，相关内容可参考教材图3-6旁的两段文字。</w:t>
      </w:r>
    </w:p>
    <w:p>
      <w:pPr>
        <w:numPr>
          <w:numId w:val="32"/>
        </w:numPr>
        <w:spacing w:before="120" w:after="120" w:line="288" w:lineRule="auto"/>
        <w:ind w:left="907"/>
        <w:jc w:val="left"/>
      </w:pPr>
      <w:r>
        <w:rPr>
          <w:rFonts w:eastAsia="等线" w:ascii="Arial" w:cs="Arial" w:hAnsi="Arial"/>
          <w:sz w:val="22"/>
        </w:rPr>
        <w:t>趁热打铁原理：高温下铁形成面心立方的奥氏体组织，塑性、韧性好，变形抗力低，可锻性大幅提升，更易完成锻造加工。</w:t>
      </w:r>
    </w:p>
    <w:p>
      <w:pPr>
        <w:numPr>
          <w:numId w:val="33"/>
        </w:numPr>
        <w:spacing w:before="120" w:after="120" w:line="288" w:lineRule="auto"/>
        <w:ind w:left="453"/>
        <w:jc w:val="left"/>
      </w:pPr>
      <w:r>
        <w:rPr>
          <w:rFonts w:eastAsia="等线" w:ascii="Arial" w:cs="Arial" w:hAnsi="Arial"/>
          <w:b w:val="true"/>
          <w:sz w:val="22"/>
        </w:rPr>
        <w:t>金属可锻性考点</w:t>
      </w:r>
      <w:r>
        <w:rPr>
          <w:rFonts w:eastAsia="等线" w:ascii="Arial" w:cs="Arial" w:hAnsi="Arial"/>
          <w:sz w:val="22"/>
        </w:rPr>
        <w:t>：金属的可锻性由金属自身本质、外部加工条件两大维度共同决定，需分别掌握两个维度下的具体影响要素。</w:t>
      </w:r>
    </w:p>
    <w:p>
      <w:pPr>
        <w:numPr>
          <w:numId w:val="34"/>
        </w:numPr>
        <w:spacing w:before="120" w:after="120" w:line="288" w:lineRule="auto"/>
        <w:ind w:left="453"/>
        <w:jc w:val="left"/>
      </w:pPr>
      <w:r>
        <w:rPr>
          <w:rFonts w:eastAsia="等线" w:ascii="Arial" w:cs="Arial" w:hAnsi="Arial"/>
          <w:b w:val="true"/>
          <w:sz w:val="22"/>
        </w:rPr>
        <w:t>锻造工艺考点</w:t>
      </w:r>
    </w:p>
    <w:p>
      <w:pPr>
        <w:numPr>
          <w:numId w:val="35"/>
        </w:numPr>
        <w:spacing w:before="120" w:after="120" w:line="288" w:lineRule="auto"/>
        <w:ind w:left="907"/>
        <w:jc w:val="left"/>
      </w:pPr>
      <w:r>
        <w:rPr>
          <w:rFonts w:eastAsia="等线" w:ascii="Arial" w:cs="Arial" w:hAnsi="Arial"/>
          <w:sz w:val="22"/>
        </w:rPr>
        <w:t>自由锻适用场景：自由锻工具简单通用性强，是生产大型、特大型锻件的唯一成型方法，锤锻仅可生产中小型锻件。</w:t>
      </w:r>
    </w:p>
    <w:p>
      <w:pPr>
        <w:numPr>
          <w:numId w:val="36"/>
        </w:numPr>
        <w:spacing w:before="120" w:after="120" w:line="288" w:lineRule="auto"/>
        <w:ind w:left="907"/>
        <w:jc w:val="left"/>
      </w:pPr>
      <w:r>
        <w:rPr>
          <w:rFonts w:eastAsia="等线" w:ascii="Arial" w:cs="Arial" w:hAnsi="Arial"/>
          <w:sz w:val="22"/>
        </w:rPr>
        <w:t>模锻飞边知识点：需掌握模锻中飞边的作用，飞边并非完全是加工废料，其对模锻成型过程有特定辅助作用。</w:t>
      </w:r>
    </w:p>
    <w:p>
      <w:pPr>
        <w:numPr>
          <w:numId w:val="37"/>
        </w:numPr>
        <w:spacing w:before="120" w:after="120" w:line="288" w:lineRule="auto"/>
        <w:ind w:left="907"/>
        <w:jc w:val="left"/>
      </w:pPr>
      <w:r>
        <w:rPr>
          <w:rFonts w:eastAsia="等线" w:ascii="Arial" w:cs="Arial" w:hAnsi="Arial"/>
          <w:sz w:val="22"/>
        </w:rPr>
        <w:t>自由锻结构工艺性：教材127、128页的自由锻结构工艺性相关图题为必考题，答题同样遵循“指出不合理-说明原因-绘图改正”的逻辑。</w:t>
      </w:r>
    </w:p>
    <w:p>
      <w:pPr>
        <w:numPr>
          <w:numId w:val="38"/>
        </w:numPr>
        <w:spacing w:before="120" w:after="120" w:line="288" w:lineRule="auto"/>
        <w:ind w:left="907"/>
        <w:jc w:val="left"/>
      </w:pPr>
      <w:r>
        <w:rPr>
          <w:rFonts w:eastAsia="等线" w:ascii="Arial" w:cs="Arial" w:hAnsi="Arial"/>
          <w:sz w:val="22"/>
        </w:rPr>
        <w:t>终锻工序作用：重要轴类零件设置终锻工序，可细化晶粒、改善纤维组织方向、降低材料各向异性，提升整体力学性能。</w:t>
      </w:r>
    </w:p>
    <w:p>
      <w:pPr>
        <w:numPr>
          <w:numId w:val="39"/>
        </w:numPr>
        <w:spacing w:before="120" w:after="120" w:line="288" w:lineRule="auto"/>
        <w:ind w:left="453"/>
        <w:jc w:val="left"/>
      </w:pPr>
      <w:r>
        <w:rPr>
          <w:rFonts w:eastAsia="等线" w:ascii="Arial" w:cs="Arial" w:hAnsi="Arial"/>
          <w:b w:val="true"/>
          <w:sz w:val="22"/>
        </w:rPr>
        <w:t>冲压工艺考点</w:t>
      </w:r>
    </w:p>
    <w:p>
      <w:pPr>
        <w:numPr>
          <w:numId w:val="40"/>
        </w:numPr>
        <w:spacing w:before="120" w:after="120" w:line="288" w:lineRule="auto"/>
        <w:ind w:left="907"/>
        <w:jc w:val="left"/>
      </w:pPr>
      <w:r>
        <w:rPr>
          <w:rFonts w:eastAsia="等线" w:ascii="Arial" w:cs="Arial" w:hAnsi="Arial"/>
          <w:sz w:val="22"/>
        </w:rPr>
        <w:t>冲裁间隙知识点：冲裁间隙是核心考点，需分别掌握间隙过大、间隙过小对断面质量、模具寿命、卸料力等参数的不同影响。</w:t>
      </w:r>
    </w:p>
    <w:p>
      <w:pPr>
        <w:numPr>
          <w:numId w:val="41"/>
        </w:numPr>
        <w:spacing w:before="120" w:after="120" w:line="288" w:lineRule="auto"/>
        <w:ind w:left="907"/>
        <w:jc w:val="left"/>
      </w:pPr>
      <w:r>
        <w:rPr>
          <w:rFonts w:eastAsia="等线" w:ascii="Arial" w:cs="Arial" w:hAnsi="Arial"/>
          <w:sz w:val="22"/>
        </w:rPr>
        <w:t>凸凹模尺寸确定规则：落料模、冲孔模的基准选取规则不同，需分别掌握以其中一个模具为基准、确定另一个模具尺寸的方法。</w:t>
      </w:r>
    </w:p>
    <w:p>
      <w:pPr>
        <w:numPr>
          <w:numId w:val="42"/>
        </w:numPr>
        <w:spacing w:before="120" w:after="120" w:line="288" w:lineRule="auto"/>
        <w:ind w:left="907"/>
        <w:jc w:val="left"/>
      </w:pPr>
      <w:r>
        <w:rPr>
          <w:rFonts w:eastAsia="等线" w:ascii="Arial" w:cs="Arial" w:hAnsi="Arial"/>
          <w:sz w:val="22"/>
        </w:rPr>
        <w:t>拉穿现象知识点：需全面掌握拉深工艺中拉穿现象的形成原因，以及所有和拉穿现象相关的影响因素。</w:t>
      </w:r>
    </w:p>
    <w:p>
      <w:pPr>
        <w:numPr>
          <w:numId w:val="43"/>
        </w:numPr>
        <w:spacing w:before="120" w:after="120" w:line="288" w:lineRule="auto"/>
        <w:ind w:left="907"/>
        <w:jc w:val="left"/>
      </w:pPr>
      <w:r>
        <w:rPr>
          <w:rFonts w:eastAsia="等线" w:ascii="Arial" w:cs="Arial" w:hAnsi="Arial"/>
          <w:sz w:val="22"/>
        </w:rPr>
        <w:t>弯曲回弹知识点：需掌握弯曲加工中回弹现象的定义，以及回弹发生后的具体表现规律，相关内容为高频考点。</w:t>
      </w:r>
    </w:p>
    <w:p>
      <w:pPr>
        <w:numPr>
          <w:numId w:val="44"/>
        </w:numPr>
        <w:spacing w:before="120" w:after="120" w:line="288" w:lineRule="auto"/>
        <w:ind w:left="907"/>
        <w:jc w:val="left"/>
      </w:pPr>
      <w:r>
        <w:rPr>
          <w:rFonts w:eastAsia="等线" w:ascii="Arial" w:cs="Arial" w:hAnsi="Arial"/>
          <w:sz w:val="22"/>
        </w:rPr>
        <w:t>多次拉深规则：当单次拉深的变形程度过大时，需采用多次拉深工艺，每次拉深后安排退火处理，可搭配压边圈降低废品率。</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248"/>
        <w:gridCol w:w="7700"/>
        <w:gridCol w:w="331"/>
      </w:tblGrid>
      <w:tr>
        <w:tc>
          <w:tcPr>
            <w:tcW w:w="248" w:type="dxa"/>
            <w:tcMar>
              <w:top w:type="dxa" w:w="60"/>
              <w:left w:type="dxa" w:w="120"/>
              <w:bottom w:type="dxa" w:w="30"/>
              <w:right w:type="dxa" w:w="120"/>
            </w:tcMar>
          </w:tcPr>
          <w:p>
            <w:pPr>
              <w:spacing w:before="120" w:after="120" w:line="288" w:lineRule="auto"/>
              <w:ind w:left="0"/>
              <w:jc w:val="left"/>
            </w:pPr>
          </w:p>
        </w:tc>
        <w:tc>
          <w:tcPr>
            <w:tcW w:w="7700" w:type="dxa"/>
            <w:tcMar>
              <w:top w:type="dxa" w:w="60"/>
              <w:left w:type="dxa" w:w="120"/>
              <w:bottom w:type="dxa" w:w="30"/>
              <w:right w:type="dxa" w:w="120"/>
            </w:tcMar>
          </w:tcPr>
          <w:p>
            <w:pPr>
              <w:spacing w:before="120" w:after="120" w:line="288" w:lineRule="auto"/>
              <w:ind w:left="0"/>
              <w:jc w:val="center"/>
            </w:pPr>
            <w:r>
              <w:drawing>
                <wp:inline distT="0" distR="0" distB="0" distL="0">
                  <wp:extent cx="4733925" cy="12954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4733925" cy="129540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冲裁间隙偏差的不同影响对比</w:t>
              <w:br/>
            </w:r>
          </w:p>
        </w:tc>
        <w:tc>
          <w:tcPr>
            <w:tcW w:w="331" w:type="dxa"/>
            <w:tcMar>
              <w:top w:type="dxa" w:w="60"/>
              <w:left w:type="dxa" w:w="120"/>
              <w:bottom w:type="dxa" w:w="30"/>
              <w:right w:type="dxa" w:w="120"/>
            </w:tcMar>
          </w:tcPr>
          <w:p>
            <w:pPr>
              <w:spacing w:before="120" w:after="120" w:line="288" w:lineRule="auto"/>
              <w:ind w:left="0"/>
              <w:jc w:val="left"/>
            </w:pPr>
          </w:p>
        </w:tc>
      </w:tr>
    </w:tbl>
    <w:p>
      <w:pPr>
        <w:numPr>
          <w:numId w:val="45"/>
        </w:numPr>
        <w:spacing w:before="120" w:after="120" w:line="288" w:lineRule="auto"/>
        <w:ind w:left="0"/>
        <w:jc w:val="left"/>
      </w:pPr>
      <w:r>
        <w:rPr>
          <w:rFonts w:eastAsia="等线" w:ascii="Arial" w:cs="Arial" w:hAnsi="Arial"/>
          <w:b w:val="true"/>
          <w:sz w:val="22"/>
        </w:rPr>
        <w:t>焊接模块考点</w:t>
      </w:r>
    </w:p>
    <w:p>
      <w:pPr>
        <w:numPr>
          <w:numId w:val="46"/>
        </w:numPr>
        <w:spacing w:before="120" w:after="120" w:line="288" w:lineRule="auto"/>
        <w:ind w:left="453"/>
        <w:jc w:val="left"/>
      </w:pPr>
      <w:r>
        <w:rPr>
          <w:rFonts w:eastAsia="等线" w:ascii="Arial" w:cs="Arial" w:hAnsi="Arial"/>
          <w:b w:val="true"/>
          <w:sz w:val="22"/>
        </w:rPr>
        <w:t>焊接接头核心考点</w:t>
      </w:r>
    </w:p>
    <w:p>
      <w:pPr>
        <w:numPr>
          <w:numId w:val="47"/>
        </w:numPr>
        <w:spacing w:before="120" w:after="120" w:line="288" w:lineRule="auto"/>
        <w:ind w:left="907"/>
        <w:jc w:val="left"/>
      </w:pPr>
      <w:r>
        <w:rPr>
          <w:rFonts w:eastAsia="等线" w:ascii="Arial" w:cs="Arial" w:hAnsi="Arial"/>
          <w:sz w:val="22"/>
        </w:rPr>
        <w:t>热影响区知识点：需完整背记焊接热影响区的四个分区，即熔合区、过热区、正火区、部分相变区，结合PPT与教材内容掌握各区域特性。</w:t>
      </w:r>
    </w:p>
    <w:p>
      <w:pPr>
        <w:numPr>
          <w:numId w:val="48"/>
        </w:numPr>
        <w:spacing w:before="120" w:after="120" w:line="288" w:lineRule="auto"/>
        <w:ind w:left="907"/>
        <w:jc w:val="left"/>
      </w:pPr>
      <w:r>
        <w:rPr>
          <w:rFonts w:eastAsia="等线" w:ascii="Arial" w:cs="Arial" w:hAnsi="Arial"/>
          <w:sz w:val="22"/>
        </w:rPr>
        <w:t>熔合区特性：熔合区的组织性能在很大程度上直接决定了整个焊接接头的最终使用性能，是焊接接头的最薄弱区域。</w:t>
      </w:r>
    </w:p>
    <w:p>
      <w:pPr>
        <w:numPr>
          <w:numId w:val="49"/>
        </w:numPr>
        <w:spacing w:before="120" w:after="120" w:line="288" w:lineRule="auto"/>
        <w:ind w:left="907"/>
        <w:jc w:val="left"/>
      </w:pPr>
      <w:r>
        <w:rPr>
          <w:rFonts w:eastAsia="等线" w:ascii="Arial" w:cs="Arial" w:hAnsi="Arial"/>
          <w:sz w:val="22"/>
        </w:rPr>
        <w:t>残余应力分布：需掌握焊接残余拉应力的分布规律，以及该分布状态的形成原因，相关内容可参考教材图4-5与配套PPT。</w:t>
      </w:r>
    </w:p>
    <w:p>
      <w:pPr>
        <w:numPr>
          <w:numId w:val="50"/>
        </w:numPr>
        <w:spacing w:before="120" w:after="120" w:line="288" w:lineRule="auto"/>
        <w:ind w:left="453"/>
        <w:jc w:val="left"/>
      </w:pPr>
      <w:r>
        <w:rPr>
          <w:rFonts w:eastAsia="等线" w:ascii="Arial" w:cs="Arial" w:hAnsi="Arial"/>
          <w:b w:val="true"/>
          <w:sz w:val="22"/>
        </w:rPr>
        <w:t>焊接工艺与材料考点</w:t>
      </w:r>
    </w:p>
    <w:p>
      <w:pPr>
        <w:numPr>
          <w:numId w:val="51"/>
        </w:numPr>
        <w:spacing w:before="120" w:after="120" w:line="288" w:lineRule="auto"/>
        <w:ind w:left="907"/>
        <w:jc w:val="left"/>
      </w:pPr>
      <w:r>
        <w:rPr>
          <w:rFonts w:eastAsia="等线" w:ascii="Arial" w:cs="Arial" w:hAnsi="Arial"/>
          <w:sz w:val="22"/>
        </w:rPr>
        <w:t>焊条药皮作用：需掌握焊条电弧焊中药皮的各项功能，了解其在焊接过程中起到的冶金保护、细化晶粒等作用。</w:t>
      </w:r>
    </w:p>
    <w:p>
      <w:pPr>
        <w:numPr>
          <w:numId w:val="52"/>
        </w:numPr>
        <w:spacing w:before="120" w:after="120" w:line="288" w:lineRule="auto"/>
        <w:ind w:left="907"/>
        <w:jc w:val="left"/>
      </w:pPr>
      <w:r>
        <w:rPr>
          <w:rFonts w:eastAsia="等线" w:ascii="Arial" w:cs="Arial" w:hAnsi="Arial"/>
          <w:sz w:val="22"/>
        </w:rPr>
        <w:t>钎焊工艺特性：钎焊依靠低熔点钎料实现连接，可焊接常规熔焊难以加工的异种材料，分为硬钎焊与软钎焊两类。</w:t>
      </w:r>
    </w:p>
    <w:p>
      <w:pPr>
        <w:numPr>
          <w:numId w:val="53"/>
        </w:numPr>
        <w:spacing w:before="120" w:after="120" w:line="288" w:lineRule="auto"/>
        <w:ind w:left="907"/>
        <w:jc w:val="left"/>
      </w:pPr>
      <w:r>
        <w:rPr>
          <w:rFonts w:eastAsia="等线" w:ascii="Arial" w:cs="Arial" w:hAnsi="Arial"/>
          <w:sz w:val="22"/>
        </w:rPr>
        <w:t>焊接性定义：金属材料的焊接性包含工艺焊接性、使用焊接性两大维度，需分别理解两个维度的具体评价标准。</w:t>
      </w:r>
    </w:p>
    <w:p>
      <w:pPr>
        <w:numPr>
          <w:numId w:val="54"/>
        </w:numPr>
        <w:spacing w:before="120" w:after="120" w:line="288" w:lineRule="auto"/>
        <w:ind w:left="453"/>
        <w:jc w:val="left"/>
      </w:pPr>
      <w:r>
        <w:rPr>
          <w:rFonts w:eastAsia="等线" w:ascii="Arial" w:cs="Arial" w:hAnsi="Arial"/>
          <w:b w:val="true"/>
          <w:sz w:val="22"/>
        </w:rPr>
        <w:t>焊接结构设计考点</w:t>
      </w:r>
    </w:p>
    <w:p>
      <w:pPr>
        <w:numPr>
          <w:numId w:val="55"/>
        </w:numPr>
        <w:spacing w:before="120" w:after="120" w:line="288" w:lineRule="auto"/>
        <w:ind w:left="907"/>
        <w:jc w:val="left"/>
      </w:pPr>
      <w:r>
        <w:rPr>
          <w:rFonts w:eastAsia="等线" w:ascii="Arial" w:cs="Arial" w:hAnsi="Arial"/>
          <w:sz w:val="22"/>
        </w:rPr>
        <w:t>焊缝布置规则：焊缝需尽量分散布置，避免交叉集中，同时要避开应力集中区域，降低结构开裂风险。</w:t>
      </w:r>
    </w:p>
    <w:p>
      <w:pPr>
        <w:numPr>
          <w:numId w:val="56"/>
        </w:numPr>
        <w:spacing w:before="120" w:after="120" w:line="288" w:lineRule="auto"/>
        <w:ind w:left="907"/>
        <w:jc w:val="left"/>
      </w:pPr>
      <w:r>
        <w:rPr>
          <w:rFonts w:eastAsia="等线" w:ascii="Arial" w:cs="Arial" w:hAnsi="Arial"/>
          <w:sz w:val="22"/>
        </w:rPr>
        <w:t>结构改错考点：教材184到185页的焊缝布置不合理案例为考试类似题型，需掌握各类不合理焊缝的优化方法。</w:t>
      </w:r>
    </w:p>
    <w:p>
      <w:pPr>
        <w:numPr>
          <w:numId w:val="57"/>
        </w:numPr>
        <w:spacing w:before="120" w:after="120" w:line="288" w:lineRule="auto"/>
        <w:ind w:left="0"/>
        <w:jc w:val="left"/>
      </w:pPr>
      <w:r>
        <w:rPr>
          <w:rFonts w:eastAsia="等线" w:ascii="Arial" w:cs="Arial" w:hAnsi="Arial"/>
          <w:b w:val="true"/>
          <w:sz w:val="22"/>
        </w:rPr>
        <w:t>金属切削加工模块考点</w:t>
      </w:r>
    </w:p>
    <w:p>
      <w:pPr>
        <w:numPr>
          <w:numId w:val="58"/>
        </w:numPr>
        <w:spacing w:before="120" w:after="120" w:line="288" w:lineRule="auto"/>
        <w:ind w:left="453"/>
        <w:jc w:val="left"/>
      </w:pPr>
      <w:r>
        <w:rPr>
          <w:rFonts w:eastAsia="等线" w:ascii="Arial" w:cs="Arial" w:hAnsi="Arial"/>
          <w:b w:val="true"/>
          <w:sz w:val="22"/>
        </w:rPr>
        <w:t>车刀相关考点</w:t>
      </w:r>
    </w:p>
    <w:p>
      <w:pPr>
        <w:numPr>
          <w:numId w:val="59"/>
        </w:numPr>
        <w:spacing w:before="120" w:after="120" w:line="288" w:lineRule="auto"/>
        <w:ind w:left="907"/>
        <w:jc w:val="left"/>
      </w:pPr>
      <w:r>
        <w:rPr>
          <w:rFonts w:eastAsia="等线" w:ascii="Arial" w:cs="Arial" w:hAnsi="Arial"/>
          <w:sz w:val="22"/>
        </w:rPr>
        <w:t>车刀结构定义：需掌握车刀的前刀面、主后刀面、副后刀面等各个表面的定义，以及车刀各角度的投影绘制规则。</w:t>
      </w:r>
    </w:p>
    <w:p>
      <w:pPr>
        <w:numPr>
          <w:numId w:val="60"/>
        </w:numPr>
        <w:spacing w:before="120" w:after="120" w:line="288" w:lineRule="auto"/>
        <w:ind w:left="907"/>
        <w:jc w:val="left"/>
      </w:pPr>
      <w:r>
        <w:rPr>
          <w:rFonts w:eastAsia="等线" w:ascii="Arial" w:cs="Arial" w:hAnsi="Arial"/>
          <w:sz w:val="22"/>
        </w:rPr>
        <w:t>车刀角度特性：需掌握正前角、负前角各自的优缺点，以及不同角度适配的加工场景，相关内容课堂已详细讲解。</w:t>
      </w:r>
    </w:p>
    <w:p>
      <w:pPr>
        <w:numPr>
          <w:numId w:val="61"/>
        </w:numPr>
        <w:spacing w:before="120" w:after="120" w:line="288" w:lineRule="auto"/>
        <w:ind w:left="907"/>
        <w:jc w:val="left"/>
      </w:pPr>
      <w:r>
        <w:rPr>
          <w:rFonts w:eastAsia="等线" w:ascii="Arial" w:cs="Arial" w:hAnsi="Arial"/>
          <w:sz w:val="22"/>
        </w:rPr>
        <w:t>车刀安装影响：车刀安装高度偏差、安装偏斜都会导致标注的前角、后角发生变化，需掌握具体的角度变化规律。</w:t>
      </w:r>
    </w:p>
    <w:p>
      <w:pPr>
        <w:numPr>
          <w:numId w:val="62"/>
        </w:numPr>
        <w:spacing w:before="120" w:after="120" w:line="288" w:lineRule="auto"/>
        <w:ind w:left="453"/>
        <w:jc w:val="left"/>
      </w:pPr>
      <w:r>
        <w:rPr>
          <w:rFonts w:eastAsia="等线" w:ascii="Arial" w:cs="Arial" w:hAnsi="Arial"/>
          <w:b w:val="true"/>
          <w:sz w:val="22"/>
        </w:rPr>
        <w:t>切屑相关考点</w:t>
      </w:r>
      <w:r>
        <w:rPr>
          <w:rFonts w:eastAsia="等线" w:ascii="Arial" w:cs="Arial" w:hAnsi="Arial"/>
          <w:sz w:val="22"/>
        </w:rPr>
        <w:t>：切屑相关内容为必考重点，需理解记忆切屑的形成原因、其对机械加工过程的负面影响，以及对应的控制方法。</w:t>
      </w:r>
    </w:p>
    <w:p>
      <w:pPr>
        <w:numPr>
          <w:numId w:val="63"/>
        </w:numPr>
        <w:spacing w:before="120" w:after="120" w:line="288" w:lineRule="auto"/>
        <w:ind w:left="453"/>
        <w:jc w:val="left"/>
      </w:pPr>
      <w:r>
        <w:rPr>
          <w:rFonts w:eastAsia="等线" w:ascii="Arial" w:cs="Arial" w:hAnsi="Arial"/>
          <w:b w:val="true"/>
          <w:sz w:val="22"/>
        </w:rPr>
        <w:t>刀具耐用度考点</w:t>
      </w:r>
      <w:r>
        <w:rPr>
          <w:rFonts w:eastAsia="等线" w:ascii="Arial" w:cs="Arial" w:hAnsi="Arial"/>
          <w:sz w:val="22"/>
        </w:rPr>
        <w:t>：需掌握刀具耐用度的标准定义，以及粗加工、精加工场景下刀具耐用度的差异化选取规则。</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r>
        <w:rPr>
          <w:rFonts w:eastAsia="等线" w:ascii="Arial" w:cs="Arial" w:hAnsi="Arial"/>
          <w:sz w:val="22"/>
        </w:rPr>
        <w:t>00:00</w:t>
      </w:r>
      <w:r>
        <w:rPr>
          <w:rFonts w:eastAsia="等线" w:ascii="Arial" w:cs="Arial" w:hAnsi="Arial"/>
          <w:b w:val="true"/>
          <w:sz w:val="22"/>
        </w:rPr>
        <w:t xml:space="preserve">  强调考试带齐作业及梳理学期复习重点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为任课老师的考前提醒与后续安排说明，老师首先提示大家复习要有侧重点，避免内容过多浪费时间，同时明确要求大家下周参加考试时，必须将所有完成过的、包含上次批改在内的全部作业都带来上交，否则无法录入平时分，后续老师将抓紧带领大家梳理整个学期的课程重点内容。</w:t>
            </w:r>
          </w:p>
        </w:tc>
      </w:tr>
    </w:tbl>
    <w:p>
      <w:pPr>
        <w:spacing w:before="120" w:after="120" w:line="288" w:lineRule="auto"/>
        <w:ind w:left="0"/>
        <w:jc w:val="left"/>
      </w:pPr>
      <w:r>
        <w:rPr>
          <w:rFonts w:eastAsia="等线" w:ascii="Arial" w:cs="Arial" w:hAnsi="Arial"/>
          <w:sz w:val="22"/>
        </w:rPr>
        <w:t>00:38</w:t>
      </w:r>
      <w:r>
        <w:rPr>
          <w:rFonts w:eastAsia="等线" w:ascii="Arial" w:cs="Arial" w:hAnsi="Arial"/>
          <w:b w:val="true"/>
          <w:sz w:val="22"/>
        </w:rPr>
        <w:t xml:space="preserve">  铸造液态合金充型能力相关知识点梳理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铸造相关知识点展开，引导大家关注教材51页起液态合金充型内容，梳理影响充型能力的核心因素为合金流动性、浇注条件、铸型填充条件，点明合金流动性受化学成分影响最显著，近共晶点流动性好，浇注温度升高会提升充型能力，提示大家自行体会知识点的考察方式。</w:t>
            </w:r>
          </w:p>
        </w:tc>
      </w:tr>
    </w:tbl>
    <w:p>
      <w:pPr>
        <w:spacing w:before="120" w:after="120" w:line="288" w:lineRule="auto"/>
        <w:ind w:left="0"/>
        <w:jc w:val="left"/>
      </w:pPr>
      <w:r>
        <w:rPr>
          <w:rFonts w:eastAsia="等线" w:ascii="Arial" w:cs="Arial" w:hAnsi="Arial"/>
          <w:sz w:val="22"/>
        </w:rPr>
        <w:t>01:59</w:t>
      </w:r>
      <w:r>
        <w:rPr>
          <w:rFonts w:eastAsia="等线" w:ascii="Arial" w:cs="Arial" w:hAnsi="Arial"/>
          <w:b w:val="true"/>
          <w:sz w:val="22"/>
        </w:rPr>
        <w:t xml:space="preserve">  讲解凝固收缩中缩孔缩松相关知识点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凝固与收缩板块的核心知识点展开，重点强调需掌握缩孔与缩松的定义、二者从形状到形成过程的区别，以及各自的危害性，尤其明确等容积条件下缩松分布面积远大于缩孔，对铸件质量的影响相关内容可结合PPT和教材巩固学习。</w:t>
            </w:r>
          </w:p>
        </w:tc>
      </w:tr>
    </w:tbl>
    <w:p>
      <w:pPr>
        <w:spacing w:before="120" w:after="120" w:line="288" w:lineRule="auto"/>
        <w:ind w:left="0"/>
        <w:jc w:val="left"/>
      </w:pPr>
      <w:r>
        <w:rPr>
          <w:rFonts w:eastAsia="等线" w:ascii="Arial" w:cs="Arial" w:hAnsi="Arial"/>
          <w:sz w:val="22"/>
        </w:rPr>
        <w:t>03:16</w:t>
      </w:r>
      <w:r>
        <w:rPr>
          <w:rFonts w:eastAsia="等线" w:ascii="Arial" w:cs="Arial" w:hAnsi="Arial"/>
          <w:b w:val="true"/>
          <w:sz w:val="22"/>
        </w:rPr>
        <w:t xml:space="preserve">  讲解铸造内应力变形裂纹相关核心知识点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聚焦铸造的内应力变形裂纹相关内容，明确铸造内应力产生于凝固后继续冷却的固态收缩受阻阶段，内应力分为热应力与机械应力，要求重点掌握热应力的产生根本原因，可结合教材56页下方相关原则，学会分析57页示例结构的热应力拉压分布情况。</w:t>
            </w:r>
          </w:p>
        </w:tc>
      </w:tr>
    </w:tbl>
    <w:p>
      <w:pPr>
        <w:spacing w:before="120" w:after="120" w:line="288" w:lineRule="auto"/>
        <w:ind w:left="0"/>
        <w:jc w:val="left"/>
      </w:pPr>
      <w:r>
        <w:rPr>
          <w:rFonts w:eastAsia="等线" w:ascii="Arial" w:cs="Arial" w:hAnsi="Arial"/>
          <w:sz w:val="22"/>
        </w:rPr>
        <w:t>04:34</w:t>
      </w:r>
      <w:r>
        <w:rPr>
          <w:rFonts w:eastAsia="等线" w:ascii="Arial" w:cs="Arial" w:hAnsi="Arial"/>
          <w:b w:val="true"/>
          <w:sz w:val="22"/>
        </w:rPr>
        <w:t xml:space="preserve">  铸造相关课后习题及考试重点内容梳理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梳理铸造相关课后习题要点，明确液态合金充型能力、顺序与同时凝固原则等考点对应教材页码，说明热应力相关考题为类似题型，点明80-81页综合分析题为15分必考题，讲解分型面选择、铸件结构正误判断改错题的答题要求与核心考点。</w:t>
            </w:r>
          </w:p>
        </w:tc>
      </w:tr>
    </w:tbl>
    <w:p>
      <w:pPr>
        <w:spacing w:before="120" w:after="120" w:line="288" w:lineRule="auto"/>
        <w:ind w:left="0"/>
        <w:jc w:val="left"/>
      </w:pPr>
      <w:r>
        <w:rPr>
          <w:rFonts w:eastAsia="等线" w:ascii="Arial" w:cs="Arial" w:hAnsi="Arial"/>
          <w:sz w:val="22"/>
        </w:rPr>
        <w:t>11:24</w:t>
      </w:r>
      <w:r>
        <w:rPr>
          <w:rFonts w:eastAsia="等线" w:ascii="Arial" w:cs="Arial" w:hAnsi="Arial"/>
          <w:b w:val="true"/>
          <w:sz w:val="22"/>
        </w:rPr>
        <w:t xml:space="preserve">  讲解金属塑形变形核心基础知识点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聚焦金属塑形加工的核心知识点梳理，首先点明塑形变形的相关内容对应教材111页，随后明确塑形变形的实质核心为变形过程中的滑移，同时补充说明一般情况下塑形变形的实现形式主要包含滑移与孪生两类，其中本部分重点讲解的核心内容为滑移。</w:t>
            </w:r>
          </w:p>
        </w:tc>
      </w:tr>
    </w:tbl>
    <w:p>
      <w:pPr>
        <w:spacing w:before="120" w:after="120" w:line="288" w:lineRule="auto"/>
        <w:ind w:left="0"/>
        <w:jc w:val="left"/>
      </w:pPr>
      <w:r>
        <w:rPr>
          <w:rFonts w:eastAsia="等线" w:ascii="Arial" w:cs="Arial" w:hAnsi="Arial"/>
          <w:sz w:val="22"/>
        </w:rPr>
        <w:t>11:57</w:t>
      </w:r>
      <w:r>
        <w:rPr>
          <w:rFonts w:eastAsia="等线" w:ascii="Arial" w:cs="Arial" w:hAnsi="Arial"/>
          <w:b w:val="true"/>
          <w:sz w:val="22"/>
        </w:rPr>
        <w:t xml:space="preserve">  金属塑性变形相关知识点梳理与学习要求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梳理数据变形对肌肉组织性能的影响相关知识点，点明冷变形后内部晶粒、晶界会扭曲、产生内应力等变化，讲解加工硬化的定义与优缺点，强调冷、热变形的核心知识点，明确纤维组织相关内容需重点记忆，同时提及金属可锻性由金属本质和加工条件决定。</w:t>
            </w:r>
          </w:p>
        </w:tc>
      </w:tr>
    </w:tbl>
    <w:p>
      <w:pPr>
        <w:spacing w:before="120" w:after="120" w:line="288" w:lineRule="auto"/>
        <w:ind w:left="0"/>
        <w:jc w:val="left"/>
      </w:pPr>
      <w:r>
        <w:rPr>
          <w:rFonts w:eastAsia="等线" w:ascii="Arial" w:cs="Arial" w:hAnsi="Arial"/>
          <w:sz w:val="22"/>
        </w:rPr>
        <w:t>14:08</w:t>
      </w:r>
      <w:r>
        <w:rPr>
          <w:rFonts w:eastAsia="等线" w:ascii="Arial" w:cs="Arial" w:hAnsi="Arial"/>
          <w:b w:val="true"/>
          <w:sz w:val="22"/>
        </w:rPr>
        <w:t xml:space="preserve">  材料塑性变形相关知识点讲解梳理</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教材116页相关教学内容梳理要点，提及塑性变形的定义与实质、碳钢冷变形强化成因、锻造过程冷变形强化判断逻辑，说明再结晶相关特性，梳理纤维组织的形成与利弊，解释趁热打铁的原理是高温下铁形成塑性韧性佳、变形抗力低的奥氏体组织，可锻性更强。</w:t>
            </w:r>
          </w:p>
        </w:tc>
      </w:tr>
    </w:tbl>
    <w:p>
      <w:pPr>
        <w:spacing w:before="120" w:after="120" w:line="288" w:lineRule="auto"/>
        <w:ind w:left="0"/>
        <w:jc w:val="left"/>
      </w:pPr>
      <w:r>
        <w:rPr>
          <w:rFonts w:eastAsia="等线" w:ascii="Arial" w:cs="Arial" w:hAnsi="Arial"/>
          <w:sz w:val="22"/>
        </w:rPr>
        <w:t>15:20</w:t>
      </w:r>
      <w:r>
        <w:rPr>
          <w:rFonts w:eastAsia="等线" w:ascii="Arial" w:cs="Arial" w:hAnsi="Arial"/>
          <w:b w:val="true"/>
          <w:sz w:val="22"/>
        </w:rPr>
        <w:t xml:space="preserve">  锻造相关知识点梳理及考试重点提示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讲解锻造相关内容，先介绍自由锻特点为工具简单通用性强，是生产重型机械大/特大型锻件的唯一成型方法，分锤锻（仅造中小型件）和液压机两类，随后提及模锻飞边需理清相关作用知识点，强调127-130页工艺结构合理性内容必考，需理解配图按“说原因+改方案”作答，还明确轴类终锻作用是细化晶粒、提力学性能、改善纤维组织降低各向异性，剩余习题自行完成。</w:t>
            </w:r>
          </w:p>
        </w:tc>
      </w:tr>
    </w:tbl>
    <w:p>
      <w:pPr>
        <w:spacing w:before="120" w:after="120" w:line="288" w:lineRule="auto"/>
        <w:ind w:left="0"/>
        <w:jc w:val="left"/>
      </w:pPr>
      <w:r>
        <w:rPr>
          <w:rFonts w:eastAsia="等线" w:ascii="Arial" w:cs="Arial" w:hAnsi="Arial"/>
          <w:sz w:val="22"/>
        </w:rPr>
        <w:t>17:53</w:t>
      </w:r>
      <w:r>
        <w:rPr>
          <w:rFonts w:eastAsia="等线" w:ascii="Arial" w:cs="Arial" w:hAnsi="Arial"/>
          <w:b w:val="true"/>
          <w:sz w:val="22"/>
        </w:rPr>
        <w:t xml:space="preserve">  冲压成型相关知识点复习划重点说明</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了打料出单成型相关重点，含脱模间隙对断面质量、模具寿命等的影响及间隙大小对应的问题，光模尺寸的基准确定规则，还要求掌握拉伸件拉穿的相关影响因素、弯曲回弹的定义与现象，了解翻边概念，同时提及冲裁模件尺寸差异、小拉伸系数工件需多次拉深配退火等相关考点。</w:t>
            </w:r>
          </w:p>
        </w:tc>
      </w:tr>
    </w:tbl>
    <w:p>
      <w:pPr>
        <w:spacing w:before="120" w:after="120" w:line="288" w:lineRule="auto"/>
        <w:ind w:left="0"/>
        <w:jc w:val="left"/>
      </w:pPr>
      <w:r>
        <w:rPr>
          <w:rFonts w:eastAsia="等线" w:ascii="Arial" w:cs="Arial" w:hAnsi="Arial"/>
          <w:sz w:val="22"/>
        </w:rPr>
        <w:t>20:38</w:t>
      </w:r>
      <w:r>
        <w:rPr>
          <w:rFonts w:eastAsia="等线" w:ascii="Arial" w:cs="Arial" w:hAnsi="Arial"/>
          <w:b w:val="true"/>
          <w:sz w:val="22"/>
        </w:rPr>
        <w:t xml:space="preserve">  讲解焊接热影响区相关学习重点要求</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焊接相关内容展开讲解，明确核心重点为焊缝热影响区，要求学员自行结合PPT与教材，熟记融合区、过热区、正火区、部分相变区共四个热影响区的详细内容，特别强调融合区在很大程度上决定了焊接接头的性能，相关内容均为需要掌握的重点。</w:t>
            </w:r>
          </w:p>
        </w:tc>
      </w:tr>
    </w:tbl>
    <w:p>
      <w:pPr>
        <w:spacing w:before="120" w:after="120" w:line="288" w:lineRule="auto"/>
        <w:ind w:left="0"/>
        <w:jc w:val="left"/>
      </w:pPr>
      <w:r>
        <w:rPr>
          <w:rFonts w:eastAsia="等线" w:ascii="Arial" w:cs="Arial" w:hAnsi="Arial"/>
          <w:sz w:val="22"/>
        </w:rPr>
        <w:t>21:18</w:t>
      </w:r>
      <w:r>
        <w:rPr>
          <w:rFonts w:eastAsia="等线" w:ascii="Arial" w:cs="Arial" w:hAnsi="Arial"/>
          <w:b w:val="true"/>
          <w:sz w:val="22"/>
        </w:rPr>
        <w:t xml:space="preserve">  板件焊接应力和变形相关内容安排自学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板件的焊接应力和变形相关内容展开，点明需重点掌握焊接残余拉应力的相关知识，明确要求学习者结合教材图4-5以及配套PPT，自主学习掌握图中展示的残余拉应力分布规律，以及该分布特征的形成原因，该部分内容教师不再额外展开讲授。</w:t>
            </w:r>
          </w:p>
        </w:tc>
      </w:tr>
    </w:tbl>
    <w:p>
      <w:pPr>
        <w:spacing w:before="120" w:after="120" w:line="288" w:lineRule="auto"/>
        <w:ind w:left="0"/>
        <w:jc w:val="left"/>
      </w:pPr>
      <w:r>
        <w:rPr>
          <w:rFonts w:eastAsia="等线" w:ascii="Arial" w:cs="Arial" w:hAnsi="Arial"/>
          <w:sz w:val="22"/>
        </w:rPr>
        <w:t>21:50</w:t>
      </w:r>
      <w:r>
        <w:rPr>
          <w:rFonts w:eastAsia="等线" w:ascii="Arial" w:cs="Arial" w:hAnsi="Arial"/>
          <w:b w:val="true"/>
          <w:sz w:val="22"/>
        </w:rPr>
        <w:t xml:space="preserve">  讲解部分焊接相关知识点安排学生自学</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了几处需学生自主学习的内容，包括159页焊条电弧焊中焊条药皮的作用，172页硬铅焊、软铅焊这类铅焊相较一般熔焊的特点，以及177页第三章里金属材料焊接性包含的工艺焊接性、使用焊接性等相关内容，仅对少量重要知识点做简要带过。</w:t>
            </w:r>
          </w:p>
        </w:tc>
      </w:tr>
    </w:tbl>
    <w:p>
      <w:pPr>
        <w:spacing w:before="120" w:after="120" w:line="288" w:lineRule="auto"/>
        <w:ind w:left="0"/>
        <w:jc w:val="left"/>
      </w:pPr>
      <w:r>
        <w:rPr>
          <w:rFonts w:eastAsia="等线" w:ascii="Arial" w:cs="Arial" w:hAnsi="Arial"/>
          <w:sz w:val="22"/>
        </w:rPr>
        <w:t>22:55</w:t>
      </w:r>
      <w:r>
        <w:rPr>
          <w:rFonts w:eastAsia="等线" w:ascii="Arial" w:cs="Arial" w:hAnsi="Arial"/>
          <w:b w:val="true"/>
          <w:sz w:val="22"/>
        </w:rPr>
        <w:t xml:space="preserve">  安排焊接结构设计相关内容的自主学习</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要求学员自主学习教材184至185页的焊接结构设计相关内容，重点梳理焊缝布置的设计要求，包括焊缝尽量分散、避免应力集中等要点，留意其中4-41、4-42等相关示例，该部分内容有类似考试的考察侧重点，学员需自行把握重点学习，后续相关内容将放在下节课讲解。</w:t>
            </w:r>
          </w:p>
        </w:tc>
      </w:tr>
    </w:tbl>
    <w:p>
      <w:pPr>
        <w:spacing w:before="120" w:after="120" w:line="288" w:lineRule="auto"/>
        <w:ind w:left="0"/>
        <w:jc w:val="left"/>
      </w:pPr>
      <w:r>
        <w:rPr>
          <w:rFonts w:eastAsia="等线" w:ascii="Arial" w:cs="Arial" w:hAnsi="Arial"/>
          <w:sz w:val="22"/>
        </w:rPr>
        <w:t>24:02</w:t>
      </w:r>
      <w:r>
        <w:rPr>
          <w:rFonts w:eastAsia="等线" w:ascii="Arial" w:cs="Arial" w:hAnsi="Arial"/>
          <w:b w:val="true"/>
          <w:sz w:val="22"/>
        </w:rPr>
        <w:t xml:space="preserve">  刀具相关考试重点内容复习提示</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课程核心重点为刀具相关知识，要求掌握车刀的前刀面、主后刀面等各面的构成，严格按照教材投影规范画出对应刀具角度，厘清正、负前角的各自利弊，同时需掌握车刀安装高度变化、安装偏斜时前角等角度的变化规律，这些内容均为考试重点，可结合PPT与教材14页内容复习。</w:t>
            </w:r>
          </w:p>
        </w:tc>
      </w:tr>
    </w:tbl>
    <w:p>
      <w:pPr>
        <w:spacing w:before="120" w:after="120" w:line="288" w:lineRule="auto"/>
        <w:ind w:left="0"/>
        <w:jc w:val="left"/>
      </w:pPr>
      <w:r>
        <w:rPr>
          <w:rFonts w:eastAsia="等线" w:ascii="Arial" w:cs="Arial" w:hAnsi="Arial"/>
          <w:sz w:val="22"/>
        </w:rPr>
        <w:t>25:37</w:t>
      </w:r>
      <w:r>
        <w:rPr>
          <w:rFonts w:eastAsia="等线" w:ascii="Arial" w:cs="Arial" w:hAnsi="Arial"/>
          <w:b w:val="true"/>
          <w:sz w:val="22"/>
        </w:rPr>
        <w:t xml:space="preserve">  强调机械流与刀具耐用度相关考试重点内容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明确划了两处考试重点，第一处是机械流相关内容，要求按条目理解记忆，覆盖机械流的形成原因、对机械加工的影响、控制方法等全部知识点；第二处是教材21页的刀具耐用度相关内容，涵盖刀具耐用度的定义，以及粗加工、精加工场景下刀具的相关对应要求，两处均为核心必掌握考点。</w:t>
            </w:r>
          </w:p>
        </w:tc>
      </w:tr>
    </w:tbl>
    <w:p>
      <w:pPr>
        <w:spacing w:before="120" w:after="120" w:line="288" w:lineRule="auto"/>
        <w:ind w:left="0"/>
        <w:jc w:val="left"/>
      </w:pPr>
      <w:r>
        <w:rPr>
          <w:rFonts w:eastAsia="等线" w:ascii="Arial" w:cs="Arial" w:hAnsi="Arial"/>
          <w:sz w:val="22"/>
        </w:rPr>
        <w:t>26:33</w:t>
      </w:r>
      <w:r>
        <w:rPr>
          <w:rFonts w:eastAsia="等线" w:ascii="Arial" w:cs="Arial" w:hAnsi="Arial"/>
          <w:b w:val="true"/>
          <w:sz w:val="22"/>
        </w:rPr>
        <w:t xml:space="preserve">  期末考前划重点及考试注意事项提醒</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是授课老师的考前复习叮嘱，老师表示已梳理完所有考试重点，按重点认真复习即可从容应对考试，提醒同学考试需携带铅笔、尺，有需要可带圆规以备画图改结构，说明本次划定重点和平时上课强调的重点高度吻合，明确表示不再回应考不考、考哪类这类问题，要求学生抓紧时间复习。</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64"/>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：要求学生在下周考试时携带所有已完成及批改过的作业上交，同时按指定的课程重点范围复习备考。</w:t>
      </w:r>
    </w:p>
    <w:p>
      <w:pPr>
        <w:numPr>
          <w:numId w:val="65"/>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：临近期末考试，需明确学生备考的复习范围及考试相关的必备材料要求，避免学生遗漏材料、无重点复习影响考试成绩。</w:t>
      </w:r>
    </w:p>
    <w:p>
      <w:pPr>
        <w:numPr>
          <w:numId w:val="66"/>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67"/>
        </w:numPr>
        <w:spacing w:before="120" w:after="120" w:line="288" w:lineRule="auto"/>
        <w:ind w:left="907"/>
        <w:jc w:val="left"/>
      </w:pPr>
      <w:r>
        <w:rPr>
          <w:rFonts w:eastAsia="等线" w:ascii="Arial" w:cs="Arial" w:hAnsi="Arial"/>
          <w:sz w:val="22"/>
        </w:rPr>
        <w:t>说话人1提出学生需在下周考试时将所有过往完成、批改过的作业全部带来上交，否则无法登记平时分。</w:t>
      </w:r>
    </w:p>
    <w:p>
      <w:pPr>
        <w:numPr>
          <w:numId w:val="68"/>
        </w:numPr>
        <w:spacing w:before="120" w:after="120" w:line="288" w:lineRule="auto"/>
        <w:ind w:left="907"/>
        <w:jc w:val="left"/>
      </w:pPr>
      <w:r>
        <w:rPr>
          <w:rFonts w:eastAsia="等线" w:ascii="Arial" w:cs="Arial" w:hAnsi="Arial"/>
          <w:sz w:val="22"/>
        </w:rPr>
        <w:t>说话人1表示将梳理本学期各章节的核心考点，明确标注教材对应页码、重点题型及高频考察内容供学生复习。</w:t>
      </w:r>
    </w:p>
    <w:p>
      <w:pPr>
        <w:numPr>
          <w:numId w:val="69"/>
        </w:numPr>
        <w:spacing w:before="120" w:after="120" w:line="288" w:lineRule="auto"/>
        <w:ind w:left="907"/>
        <w:jc w:val="left"/>
      </w:pPr>
      <w:r>
        <w:rPr>
          <w:rFonts w:eastAsia="等线" w:ascii="Arial" w:cs="Arial" w:hAnsi="Arial"/>
          <w:sz w:val="22"/>
        </w:rPr>
        <w:t>说话人1提醒学生考试需携带铅笔、尺子等绘图工具，应对结构修改类的分析大题。</w:t>
      </w:r>
    </w:p>
    <w:p>
      <w:pPr>
        <w:numPr>
          <w:numId w:val="70"/>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：可避免学生因遗漏作业无法获得平时分，同时帮助学生在有限的复习时间内聚焦核心考点，提升备考效率。</w:t>
      </w:r>
    </w:p>
    <w:p>
      <w:pPr>
        <w:pBdr>
          <w:bottom w:val="single" w:color="dee0e3"/>
          <w:between w:val="single" w:color="dee0e3"/>
        </w:pBdr>
        <w:spacing w:before="120" w:after="120" w:line="288" w:lineRule="auto"/>
        <w:ind w:left="0"/>
      </w:pPr>
    </w:p>
    <w:p>
      <w:pPr>
        <w:numPr>
          <w:numId w:val="71"/>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w:t>
      </w:r>
    </w:p>
    <w:p>
      <w:pPr>
        <w:numPr>
          <w:numId w:val="72"/>
        </w:numPr>
        <w:spacing w:before="120" w:after="120" w:line="288" w:lineRule="auto"/>
        <w:ind w:left="453"/>
        <w:jc w:val="left"/>
      </w:pPr>
      <w:r>
        <w:rPr>
          <w:rFonts w:eastAsia="等线" w:ascii="Arial" w:cs="Arial" w:hAnsi="Arial"/>
          <w:sz w:val="22"/>
        </w:rPr>
        <w:t>明确铸造、金属塑形加工、焊接、刀具等模块的核心考察知识点范围。</w:t>
      </w:r>
    </w:p>
    <w:p>
      <w:pPr>
        <w:numPr>
          <w:numId w:val="73"/>
        </w:numPr>
        <w:spacing w:before="120" w:after="120" w:line="288" w:lineRule="auto"/>
        <w:ind w:left="453"/>
        <w:jc w:val="left"/>
      </w:pPr>
      <w:r>
        <w:rPr>
          <w:rFonts w:eastAsia="等线" w:ascii="Arial" w:cs="Arial" w:hAnsi="Arial"/>
          <w:sz w:val="22"/>
        </w:rPr>
        <w:t>告知学生考试不会出现超纲偏题，按划定重点复习即可。</w:t>
      </w:r>
    </w:p>
    <w:p>
      <w:pPr>
        <w:numPr>
          <w:numId w:val="74"/>
        </w:numPr>
        <w:spacing w:before="120" w:after="120" w:line="288" w:lineRule="auto"/>
        <w:ind w:left="453"/>
        <w:jc w:val="left"/>
      </w:pPr>
      <w:r>
        <w:rPr>
          <w:rFonts w:eastAsia="等线" w:ascii="Arial" w:cs="Arial" w:hAnsi="Arial"/>
          <w:sz w:val="22"/>
        </w:rPr>
        <w:t>明确不回应学生关于具体考题范围的询问。</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「重型机械里面，自由锻是生产大型和特大型锻件的唯一成型方法。」</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精准点明自由锻工艺的核心不可替代性，是专业知识点的关键总结。</w:t>
      </w:r>
    </w:p>
    <w:p>
      <w:pPr>
        <w:spacing w:before="120" w:after="120" w:line="288" w:lineRule="auto"/>
        <w:ind w:left="0"/>
        <w:jc w:val="left"/>
      </w:pPr>
    </w:p>
    <w:p>
      <w:pPr>
        <w:spacing w:before="120" w:after="120" w:line="288" w:lineRule="auto"/>
        <w:ind w:left="0"/>
        <w:jc w:val="left"/>
      </w:pPr>
      <w:r>
        <w:rPr>
          <w:rFonts w:eastAsia="等线" w:ascii="Arial" w:cs="Arial" w:hAnsi="Arial"/>
          <w:sz w:val="22"/>
        </w:rPr>
        <w:t>「脱模间隙不仅严重影响断面质量，也会影响模具寿命、卸力、冲击力等指标。」</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清晰点明冲压工艺中脱模间隙的核心影响，是高频考点的核心表述。</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「我今天复习的和平时上课讲的重点基本吻合，上课不来不听，就只能吃亏。」</w:t>
      </w:r>
    </w:p>
    <w:p>
      <w:pPr>
        <w:spacing w:before="120" w:after="120" w:line="288" w:lineRule="auto"/>
        <w:ind w:left="0"/>
        <w:jc w:val="left"/>
      </w:pPr>
      <w:r>
        <w:rPr>
          <w:rFonts w:eastAsia="等线" w:ascii="Arial" w:cs="Arial" w:hAnsi="Arial"/>
          <w:sz w:val="22"/>
        </w:rPr>
        <w:t xml:space="preserve">—— </w:t>
      </w:r>
      <w:r>
        <w:rPr>
          <w:rFonts w:eastAsia="等线" w:ascii="Arial" w:cs="Arial" w:hAnsi="Arial"/>
          <w:sz w:val="22"/>
        </w:rPr>
        <w:t>直白点明课程学习的核心逻辑，对学生备考有明确的警示作用。</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8"/>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472296">
    <w:lvl>
      <w:numFmt w:val="bullet"/>
      <w:suff w:val="tab"/>
      <w:lvlText w:val="•"/>
      <w:rPr>
        <w:color w:val="3370ff"/>
      </w:rPr>
    </w:lvl>
  </w:abstractNum>
  <w:abstractNum w:abstractNumId="472297">
    <w:lvl>
      <w:numFmt w:val="bullet"/>
      <w:suff w:val="tab"/>
      <w:lvlText w:val="￮"/>
      <w:rPr>
        <w:color w:val="3370ff"/>
      </w:rPr>
    </w:lvl>
  </w:abstractNum>
  <w:abstractNum w:abstractNumId="472298">
    <w:lvl>
      <w:numFmt w:val="bullet"/>
      <w:suff w:val="tab"/>
      <w:lvlText w:val="￮"/>
      <w:rPr>
        <w:color w:val="3370ff"/>
      </w:rPr>
    </w:lvl>
  </w:abstractNum>
  <w:abstractNum w:abstractNumId="472299">
    <w:lvl>
      <w:numFmt w:val="bullet"/>
      <w:suff w:val="tab"/>
      <w:lvlText w:val="￮"/>
      <w:rPr>
        <w:color w:val="3370ff"/>
      </w:rPr>
    </w:lvl>
  </w:abstractNum>
  <w:abstractNum w:abstractNumId="472300">
    <w:lvl>
      <w:numFmt w:val="bullet"/>
      <w:suff w:val="tab"/>
      <w:lvlText w:val="•"/>
      <w:rPr>
        <w:color w:val="3370ff"/>
      </w:rPr>
    </w:lvl>
  </w:abstractNum>
  <w:abstractNum w:abstractNumId="472301">
    <w:lvl>
      <w:numFmt w:val="bullet"/>
      <w:suff w:val="tab"/>
      <w:lvlText w:val="￮"/>
      <w:rPr>
        <w:color w:val="3370ff"/>
      </w:rPr>
    </w:lvl>
  </w:abstractNum>
  <w:abstractNum w:abstractNumId="472302">
    <w:lvl>
      <w:numFmt w:val="bullet"/>
      <w:suff w:val="tab"/>
      <w:lvlText w:val="▪"/>
      <w:rPr>
        <w:color w:val="3370ff"/>
        <w:sz w:val="11"/>
      </w:rPr>
    </w:lvl>
  </w:abstractNum>
  <w:abstractNum w:abstractNumId="472303">
    <w:lvl>
      <w:numFmt w:val="bullet"/>
      <w:suff w:val="tab"/>
      <w:lvlText w:val="▪"/>
      <w:rPr>
        <w:color w:val="3370ff"/>
        <w:sz w:val="11"/>
      </w:rPr>
    </w:lvl>
  </w:abstractNum>
  <w:abstractNum w:abstractNumId="472304">
    <w:lvl>
      <w:numFmt w:val="bullet"/>
      <w:suff w:val="tab"/>
      <w:lvlText w:val="￮"/>
      <w:rPr>
        <w:color w:val="3370ff"/>
      </w:rPr>
    </w:lvl>
  </w:abstractNum>
  <w:abstractNum w:abstractNumId="472305">
    <w:lvl>
      <w:numFmt w:val="bullet"/>
      <w:suff w:val="tab"/>
      <w:lvlText w:val="▪"/>
      <w:rPr>
        <w:color w:val="3370ff"/>
        <w:sz w:val="11"/>
      </w:rPr>
    </w:lvl>
  </w:abstractNum>
  <w:abstractNum w:abstractNumId="472306">
    <w:lvl>
      <w:numFmt w:val="bullet"/>
      <w:suff w:val="tab"/>
      <w:lvlText w:val="▪"/>
      <w:rPr>
        <w:color w:val="3370ff"/>
        <w:sz w:val="11"/>
      </w:rPr>
    </w:lvl>
  </w:abstractNum>
  <w:abstractNum w:abstractNumId="472307">
    <w:lvl>
      <w:numFmt w:val="bullet"/>
      <w:suff w:val="tab"/>
      <w:lvlText w:val="￮"/>
      <w:rPr>
        <w:color w:val="3370ff"/>
      </w:rPr>
    </w:lvl>
  </w:abstractNum>
  <w:abstractNum w:abstractNumId="472308">
    <w:lvl>
      <w:numFmt w:val="bullet"/>
      <w:suff w:val="tab"/>
      <w:lvlText w:val="▪"/>
      <w:rPr>
        <w:color w:val="3370ff"/>
        <w:sz w:val="11"/>
      </w:rPr>
    </w:lvl>
  </w:abstractNum>
  <w:abstractNum w:abstractNumId="472309">
    <w:lvl>
      <w:numFmt w:val="bullet"/>
      <w:suff w:val="tab"/>
      <w:lvlText w:val="▪"/>
      <w:rPr>
        <w:color w:val="3370ff"/>
        <w:sz w:val="11"/>
      </w:rPr>
    </w:lvl>
  </w:abstractNum>
  <w:abstractNum w:abstractNumId="472310">
    <w:lvl>
      <w:numFmt w:val="bullet"/>
      <w:suff w:val="tab"/>
      <w:lvlText w:val="▪"/>
      <w:rPr>
        <w:color w:val="3370ff"/>
        <w:sz w:val="11"/>
      </w:rPr>
    </w:lvl>
  </w:abstractNum>
  <w:abstractNum w:abstractNumId="472311">
    <w:lvl>
      <w:numFmt w:val="bullet"/>
      <w:suff w:val="tab"/>
      <w:lvlText w:val="￮"/>
      <w:rPr>
        <w:color w:val="3370ff"/>
      </w:rPr>
    </w:lvl>
  </w:abstractNum>
  <w:abstractNum w:abstractNumId="472312">
    <w:lvl>
      <w:numFmt w:val="bullet"/>
      <w:suff w:val="tab"/>
      <w:lvlText w:val="￮"/>
      <w:rPr>
        <w:color w:val="3370ff"/>
      </w:rPr>
    </w:lvl>
  </w:abstractNum>
  <w:abstractNum w:abstractNumId="472313">
    <w:lvl>
      <w:numFmt w:val="bullet"/>
      <w:suff w:val="tab"/>
      <w:lvlText w:val="▪"/>
      <w:rPr>
        <w:color w:val="3370ff"/>
        <w:sz w:val="11"/>
      </w:rPr>
    </w:lvl>
  </w:abstractNum>
  <w:abstractNum w:abstractNumId="472314">
    <w:lvl>
      <w:numFmt w:val="bullet"/>
      <w:suff w:val="tab"/>
      <w:lvlText w:val="▪"/>
      <w:rPr>
        <w:color w:val="3370ff"/>
        <w:sz w:val="11"/>
      </w:rPr>
    </w:lvl>
  </w:abstractNum>
  <w:abstractNum w:abstractNumId="472315">
    <w:lvl>
      <w:numFmt w:val="bullet"/>
      <w:suff w:val="tab"/>
      <w:lvlText w:val="￮"/>
      <w:rPr>
        <w:color w:val="3370ff"/>
      </w:rPr>
    </w:lvl>
  </w:abstractNum>
  <w:abstractNum w:abstractNumId="472316">
    <w:lvl>
      <w:numFmt w:val="bullet"/>
      <w:suff w:val="tab"/>
      <w:lvlText w:val="▪"/>
      <w:rPr>
        <w:color w:val="3370ff"/>
        <w:sz w:val="11"/>
      </w:rPr>
    </w:lvl>
  </w:abstractNum>
  <w:abstractNum w:abstractNumId="472317">
    <w:lvl>
      <w:numFmt w:val="bullet"/>
      <w:suff w:val="tab"/>
      <w:lvlText w:val="▪"/>
      <w:rPr>
        <w:color w:val="3370ff"/>
        <w:sz w:val="11"/>
      </w:rPr>
    </w:lvl>
  </w:abstractNum>
  <w:abstractNum w:abstractNumId="472318">
    <w:lvl>
      <w:numFmt w:val="bullet"/>
      <w:suff w:val="tab"/>
      <w:lvlText w:val="▪"/>
      <w:rPr>
        <w:color w:val="3370ff"/>
        <w:sz w:val="11"/>
      </w:rPr>
    </w:lvl>
  </w:abstractNum>
  <w:abstractNum w:abstractNumId="472319">
    <w:lvl>
      <w:numFmt w:val="bullet"/>
      <w:suff w:val="tab"/>
      <w:lvlText w:val="•"/>
      <w:rPr>
        <w:color w:val="3370ff"/>
      </w:rPr>
    </w:lvl>
  </w:abstractNum>
  <w:abstractNum w:abstractNumId="472320">
    <w:lvl>
      <w:numFmt w:val="bullet"/>
      <w:suff w:val="tab"/>
      <w:lvlText w:val="￮"/>
      <w:rPr>
        <w:color w:val="3370ff"/>
      </w:rPr>
    </w:lvl>
  </w:abstractNum>
  <w:abstractNum w:abstractNumId="472321">
    <w:lvl>
      <w:numFmt w:val="bullet"/>
      <w:suff w:val="tab"/>
      <w:lvlText w:val="▪"/>
      <w:rPr>
        <w:color w:val="3370ff"/>
        <w:sz w:val="11"/>
      </w:rPr>
    </w:lvl>
  </w:abstractNum>
  <w:abstractNum w:abstractNumId="472322">
    <w:lvl>
      <w:numFmt w:val="bullet"/>
      <w:suff w:val="tab"/>
      <w:lvlText w:val="▪"/>
      <w:rPr>
        <w:color w:val="3370ff"/>
        <w:sz w:val="11"/>
      </w:rPr>
    </w:lvl>
  </w:abstractNum>
  <w:abstractNum w:abstractNumId="472323">
    <w:lvl>
      <w:numFmt w:val="bullet"/>
      <w:suff w:val="tab"/>
      <w:lvlText w:val="•"/>
      <w:rPr>
        <w:color w:val="3370ff"/>
      </w:rPr>
    </w:lvl>
  </w:abstractNum>
  <w:abstractNum w:abstractNumId="472324">
    <w:lvl>
      <w:numFmt w:val="bullet"/>
      <w:suff w:val="tab"/>
      <w:lvlText w:val="•"/>
      <w:rPr>
        <w:color w:val="3370ff"/>
      </w:rPr>
    </w:lvl>
  </w:abstractNum>
  <w:abstractNum w:abstractNumId="472325">
    <w:lvl>
      <w:numFmt w:val="bullet"/>
      <w:suff w:val="tab"/>
      <w:lvlText w:val="•"/>
      <w:rPr>
        <w:color w:val="3370ff"/>
      </w:rPr>
    </w:lvl>
  </w:abstractNum>
  <w:abstractNum w:abstractNumId="472326">
    <w:lvl>
      <w:numFmt w:val="bullet"/>
      <w:suff w:val="tab"/>
      <w:lvlText w:val="▪"/>
      <w:rPr>
        <w:color w:val="3370ff"/>
        <w:sz w:val="11"/>
      </w:rPr>
    </w:lvl>
  </w:abstractNum>
  <w:abstractNum w:abstractNumId="472327">
    <w:lvl>
      <w:numFmt w:val="bullet"/>
      <w:suff w:val="tab"/>
      <w:lvlText w:val="▪"/>
      <w:rPr>
        <w:color w:val="3370ff"/>
        <w:sz w:val="11"/>
      </w:rPr>
    </w:lvl>
  </w:abstractNum>
  <w:abstractNum w:abstractNumId="472328">
    <w:lvl>
      <w:numFmt w:val="bullet"/>
      <w:suff w:val="tab"/>
      <w:lvlText w:val="￮"/>
      <w:rPr>
        <w:color w:val="3370ff"/>
      </w:rPr>
    </w:lvl>
  </w:abstractNum>
  <w:abstractNum w:abstractNumId="472329">
    <w:lvl>
      <w:numFmt w:val="bullet"/>
      <w:suff w:val="tab"/>
      <w:lvlText w:val="￮"/>
      <w:rPr>
        <w:color w:val="3370ff"/>
      </w:rPr>
    </w:lvl>
  </w:abstractNum>
  <w:abstractNum w:abstractNumId="472330">
    <w:lvl>
      <w:numFmt w:val="bullet"/>
      <w:suff w:val="tab"/>
      <w:lvlText w:val="▪"/>
      <w:rPr>
        <w:color w:val="3370ff"/>
        <w:sz w:val="11"/>
      </w:rPr>
    </w:lvl>
  </w:abstractNum>
  <w:abstractNum w:abstractNumId="472331">
    <w:lvl>
      <w:numFmt w:val="bullet"/>
      <w:suff w:val="tab"/>
      <w:lvlText w:val="▪"/>
      <w:rPr>
        <w:color w:val="3370ff"/>
        <w:sz w:val="11"/>
      </w:rPr>
    </w:lvl>
  </w:abstractNum>
  <w:abstractNum w:abstractNumId="472332">
    <w:lvl>
      <w:numFmt w:val="bullet"/>
      <w:suff w:val="tab"/>
      <w:lvlText w:val="▪"/>
      <w:rPr>
        <w:color w:val="3370ff"/>
        <w:sz w:val="11"/>
      </w:rPr>
    </w:lvl>
  </w:abstractNum>
  <w:abstractNum w:abstractNumId="472333">
    <w:lvl>
      <w:numFmt w:val="bullet"/>
      <w:suff w:val="tab"/>
      <w:lvlText w:val="▪"/>
      <w:rPr>
        <w:color w:val="3370ff"/>
        <w:sz w:val="11"/>
      </w:rPr>
    </w:lvl>
  </w:abstractNum>
  <w:abstractNum w:abstractNumId="472334">
    <w:lvl>
      <w:numFmt w:val="bullet"/>
      <w:suff w:val="tab"/>
      <w:lvlText w:val="￮"/>
      <w:rPr>
        <w:color w:val="3370ff"/>
      </w:rPr>
    </w:lvl>
  </w:abstractNum>
  <w:abstractNum w:abstractNumId="472335">
    <w:lvl>
      <w:numFmt w:val="bullet"/>
      <w:suff w:val="tab"/>
      <w:lvlText w:val="▪"/>
      <w:rPr>
        <w:color w:val="3370ff"/>
        <w:sz w:val="11"/>
      </w:rPr>
    </w:lvl>
  </w:abstractNum>
  <w:abstractNum w:abstractNumId="472336">
    <w:lvl>
      <w:numFmt w:val="bullet"/>
      <w:suff w:val="tab"/>
      <w:lvlText w:val="▪"/>
      <w:rPr>
        <w:color w:val="3370ff"/>
        <w:sz w:val="11"/>
      </w:rPr>
    </w:lvl>
  </w:abstractNum>
  <w:abstractNum w:abstractNumId="472337">
    <w:lvl>
      <w:numFmt w:val="bullet"/>
      <w:suff w:val="tab"/>
      <w:lvlText w:val="▪"/>
      <w:rPr>
        <w:color w:val="3370ff"/>
        <w:sz w:val="11"/>
      </w:rPr>
    </w:lvl>
  </w:abstractNum>
  <w:abstractNum w:abstractNumId="472338">
    <w:lvl>
      <w:numFmt w:val="bullet"/>
      <w:suff w:val="tab"/>
      <w:lvlText w:val="▪"/>
      <w:rPr>
        <w:color w:val="3370ff"/>
        <w:sz w:val="11"/>
      </w:rPr>
    </w:lvl>
  </w:abstractNum>
  <w:abstractNum w:abstractNumId="472339">
    <w:lvl>
      <w:numFmt w:val="bullet"/>
      <w:suff w:val="tab"/>
      <w:lvlText w:val="▪"/>
      <w:rPr>
        <w:color w:val="3370ff"/>
        <w:sz w:val="11"/>
      </w:rPr>
    </w:lvl>
  </w:abstractNum>
  <w:abstractNum w:abstractNumId="472340">
    <w:lvl>
      <w:numFmt w:val="bullet"/>
      <w:suff w:val="tab"/>
      <w:lvlText w:val="•"/>
      <w:rPr>
        <w:color w:val="3370ff"/>
      </w:rPr>
    </w:lvl>
  </w:abstractNum>
  <w:abstractNum w:abstractNumId="472341">
    <w:lvl>
      <w:numFmt w:val="bullet"/>
      <w:suff w:val="tab"/>
      <w:lvlText w:val="￮"/>
      <w:rPr>
        <w:color w:val="3370ff"/>
      </w:rPr>
    </w:lvl>
  </w:abstractNum>
  <w:abstractNum w:abstractNumId="472342">
    <w:lvl>
      <w:numFmt w:val="bullet"/>
      <w:suff w:val="tab"/>
      <w:lvlText w:val="▪"/>
      <w:rPr>
        <w:color w:val="3370ff"/>
        <w:sz w:val="11"/>
      </w:rPr>
    </w:lvl>
  </w:abstractNum>
  <w:abstractNum w:abstractNumId="472343">
    <w:lvl>
      <w:numFmt w:val="bullet"/>
      <w:suff w:val="tab"/>
      <w:lvlText w:val="▪"/>
      <w:rPr>
        <w:color w:val="3370ff"/>
        <w:sz w:val="11"/>
      </w:rPr>
    </w:lvl>
  </w:abstractNum>
  <w:abstractNum w:abstractNumId="472344">
    <w:lvl>
      <w:numFmt w:val="bullet"/>
      <w:suff w:val="tab"/>
      <w:lvlText w:val="▪"/>
      <w:rPr>
        <w:color w:val="3370ff"/>
        <w:sz w:val="11"/>
      </w:rPr>
    </w:lvl>
  </w:abstractNum>
  <w:abstractNum w:abstractNumId="472345">
    <w:lvl>
      <w:numFmt w:val="bullet"/>
      <w:suff w:val="tab"/>
      <w:lvlText w:val="￮"/>
      <w:rPr>
        <w:color w:val="3370ff"/>
      </w:rPr>
    </w:lvl>
  </w:abstractNum>
  <w:abstractNum w:abstractNumId="472346">
    <w:lvl>
      <w:numFmt w:val="bullet"/>
      <w:suff w:val="tab"/>
      <w:lvlText w:val="▪"/>
      <w:rPr>
        <w:color w:val="3370ff"/>
        <w:sz w:val="11"/>
      </w:rPr>
    </w:lvl>
  </w:abstractNum>
  <w:abstractNum w:abstractNumId="472347">
    <w:lvl>
      <w:numFmt w:val="bullet"/>
      <w:suff w:val="tab"/>
      <w:lvlText w:val="▪"/>
      <w:rPr>
        <w:color w:val="3370ff"/>
        <w:sz w:val="11"/>
      </w:rPr>
    </w:lvl>
  </w:abstractNum>
  <w:abstractNum w:abstractNumId="472348">
    <w:lvl>
      <w:numFmt w:val="bullet"/>
      <w:suff w:val="tab"/>
      <w:lvlText w:val="▪"/>
      <w:rPr>
        <w:color w:val="3370ff"/>
        <w:sz w:val="11"/>
      </w:rPr>
    </w:lvl>
  </w:abstractNum>
  <w:abstractNum w:abstractNumId="472349">
    <w:lvl>
      <w:numFmt w:val="bullet"/>
      <w:suff w:val="tab"/>
      <w:lvlText w:val="￮"/>
      <w:rPr>
        <w:color w:val="3370ff"/>
      </w:rPr>
    </w:lvl>
  </w:abstractNum>
  <w:abstractNum w:abstractNumId="472350">
    <w:lvl>
      <w:numFmt w:val="bullet"/>
      <w:suff w:val="tab"/>
      <w:lvlText w:val="▪"/>
      <w:rPr>
        <w:color w:val="3370ff"/>
        <w:sz w:val="11"/>
      </w:rPr>
    </w:lvl>
  </w:abstractNum>
  <w:abstractNum w:abstractNumId="472351">
    <w:lvl>
      <w:numFmt w:val="bullet"/>
      <w:suff w:val="tab"/>
      <w:lvlText w:val="▪"/>
      <w:rPr>
        <w:color w:val="3370ff"/>
        <w:sz w:val="11"/>
      </w:rPr>
    </w:lvl>
  </w:abstractNum>
  <w:abstractNum w:abstractNumId="472352">
    <w:lvl>
      <w:numFmt w:val="bullet"/>
      <w:suff w:val="tab"/>
      <w:lvlText w:val="•"/>
      <w:rPr>
        <w:color w:val="3370ff"/>
      </w:rPr>
    </w:lvl>
  </w:abstractNum>
  <w:abstractNum w:abstractNumId="472353">
    <w:lvl>
      <w:numFmt w:val="bullet"/>
      <w:suff w:val="tab"/>
      <w:lvlText w:val="￮"/>
      <w:rPr>
        <w:color w:val="3370ff"/>
      </w:rPr>
    </w:lvl>
  </w:abstractNum>
  <w:abstractNum w:abstractNumId="472354">
    <w:lvl>
      <w:numFmt w:val="bullet"/>
      <w:suff w:val="tab"/>
      <w:lvlText w:val="▪"/>
      <w:rPr>
        <w:color w:val="3370ff"/>
        <w:sz w:val="11"/>
      </w:rPr>
    </w:lvl>
  </w:abstractNum>
  <w:abstractNum w:abstractNumId="472355">
    <w:lvl>
      <w:numFmt w:val="bullet"/>
      <w:suff w:val="tab"/>
      <w:lvlText w:val="▪"/>
      <w:rPr>
        <w:color w:val="3370ff"/>
        <w:sz w:val="11"/>
      </w:rPr>
    </w:lvl>
  </w:abstractNum>
  <w:abstractNum w:abstractNumId="472356">
    <w:lvl>
      <w:numFmt w:val="bullet"/>
      <w:suff w:val="tab"/>
      <w:lvlText w:val="▪"/>
      <w:rPr>
        <w:color w:val="3370ff"/>
        <w:sz w:val="11"/>
      </w:rPr>
    </w:lvl>
  </w:abstractNum>
  <w:abstractNum w:abstractNumId="472357">
    <w:lvl>
      <w:numFmt w:val="bullet"/>
      <w:suff w:val="tab"/>
      <w:lvlText w:val="￮"/>
      <w:rPr>
        <w:color w:val="3370ff"/>
      </w:rPr>
    </w:lvl>
  </w:abstractNum>
  <w:abstractNum w:abstractNumId="472358">
    <w:lvl>
      <w:numFmt w:val="bullet"/>
      <w:suff w:val="tab"/>
      <w:lvlText w:val="￮"/>
      <w:rPr>
        <w:color w:val="3370ff"/>
      </w:rPr>
    </w:lvl>
  </w:abstractNum>
  <w:abstractNum w:abstractNumId="472359">
    <w:lvl>
      <w:numFmt w:val="bullet"/>
      <w:suff w:val="tab"/>
      <w:lvlText w:val="•"/>
      <w:rPr>
        <w:color w:val="3370ff"/>
      </w:rPr>
    </w:lvl>
  </w:abstractNum>
  <w:abstractNum w:abstractNumId="472360">
    <w:lvl>
      <w:numFmt w:val="bullet"/>
      <w:suff w:val="tab"/>
      <w:lvlText w:val="￮"/>
      <w:rPr>
        <w:color w:val="3370ff"/>
      </w:rPr>
    </w:lvl>
  </w:abstractNum>
  <w:abstractNum w:abstractNumId="472361">
    <w:lvl>
      <w:numFmt w:val="bullet"/>
      <w:suff w:val="tab"/>
      <w:lvlText w:val="￮"/>
      <w:rPr>
        <w:color w:val="3370ff"/>
      </w:rPr>
    </w:lvl>
  </w:abstractNum>
  <w:abstractNum w:abstractNumId="472362">
    <w:lvl>
      <w:numFmt w:val="bullet"/>
      <w:suff w:val="tab"/>
      <w:lvlText w:val="▪"/>
      <w:rPr>
        <w:color w:val="3370ff"/>
        <w:sz w:val="11"/>
      </w:rPr>
    </w:lvl>
  </w:abstractNum>
  <w:abstractNum w:abstractNumId="472363">
    <w:lvl>
      <w:numFmt w:val="bullet"/>
      <w:suff w:val="tab"/>
      <w:lvlText w:val="▪"/>
      <w:rPr>
        <w:color w:val="3370ff"/>
        <w:sz w:val="11"/>
      </w:rPr>
    </w:lvl>
  </w:abstractNum>
  <w:abstractNum w:abstractNumId="472364">
    <w:lvl>
      <w:numFmt w:val="bullet"/>
      <w:suff w:val="tab"/>
      <w:lvlText w:val="▪"/>
      <w:rPr>
        <w:color w:val="3370ff"/>
        <w:sz w:val="11"/>
      </w:rPr>
    </w:lvl>
  </w:abstractNum>
  <w:abstractNum w:abstractNumId="472365">
    <w:lvl>
      <w:numFmt w:val="bullet"/>
      <w:suff w:val="tab"/>
      <w:lvlText w:val="￮"/>
      <w:rPr>
        <w:color w:val="3370ff"/>
      </w:rPr>
    </w:lvl>
  </w:abstractNum>
  <w:abstractNum w:abstractNumId="472366">
    <w:lvl>
      <w:numFmt w:val="bullet"/>
      <w:suff w:val="tab"/>
      <w:lvlText w:val="•"/>
      <w:rPr>
        <w:color w:val="3370ff"/>
      </w:rPr>
    </w:lvl>
  </w:abstractNum>
  <w:abstractNum w:abstractNumId="472367">
    <w:lvl>
      <w:start w:val="1"/>
      <w:numFmt w:val="lowerLetter"/>
      <w:suff w:val="tab"/>
      <w:lvlText w:val="%1."/>
      <w:rPr>
        <w:color w:val="3370ff"/>
      </w:rPr>
    </w:lvl>
  </w:abstractNum>
  <w:abstractNum w:abstractNumId="472368">
    <w:lvl>
      <w:start w:val="2"/>
      <w:numFmt w:val="lowerLetter"/>
      <w:suff w:val="tab"/>
      <w:lvlText w:val="%1."/>
      <w:rPr>
        <w:color w:val="3370ff"/>
      </w:rPr>
    </w:lvl>
  </w:abstractNum>
  <w:abstractNum w:abstractNumId="472369">
    <w:lvl>
      <w:start w:val="3"/>
      <w:numFmt w:val="lowerLetter"/>
      <w:suff w:val="tab"/>
      <w:lvlText w:val="%1."/>
      <w:rPr>
        <w:color w:val="3370ff"/>
      </w:rPr>
    </w:lvl>
  </w:abstractNum>
  <w:num w:numId="1">
    <w:abstractNumId w:val="472296"/>
  </w:num>
  <w:num w:numId="2">
    <w:abstractNumId w:val="472297"/>
  </w:num>
  <w:num w:numId="3">
    <w:abstractNumId w:val="472298"/>
  </w:num>
  <w:num w:numId="4">
    <w:abstractNumId w:val="472299"/>
  </w:num>
  <w:num w:numId="5">
    <w:abstractNumId w:val="472300"/>
  </w:num>
  <w:num w:numId="6">
    <w:abstractNumId w:val="472301"/>
  </w:num>
  <w:num w:numId="7">
    <w:abstractNumId w:val="472302"/>
  </w:num>
  <w:num w:numId="8">
    <w:abstractNumId w:val="472303"/>
  </w:num>
  <w:num w:numId="9">
    <w:abstractNumId w:val="472304"/>
  </w:num>
  <w:num w:numId="10">
    <w:abstractNumId w:val="472305"/>
  </w:num>
  <w:num w:numId="11">
    <w:abstractNumId w:val="472306"/>
  </w:num>
  <w:num w:numId="12">
    <w:abstractNumId w:val="472307"/>
  </w:num>
  <w:num w:numId="13">
    <w:abstractNumId w:val="472308"/>
  </w:num>
  <w:num w:numId="14">
    <w:abstractNumId w:val="472309"/>
  </w:num>
  <w:num w:numId="15">
    <w:abstractNumId w:val="472310"/>
  </w:num>
  <w:num w:numId="16">
    <w:abstractNumId w:val="472311"/>
  </w:num>
  <w:num w:numId="17">
    <w:abstractNumId w:val="472312"/>
  </w:num>
  <w:num w:numId="18">
    <w:abstractNumId w:val="472313"/>
  </w:num>
  <w:num w:numId="19">
    <w:abstractNumId w:val="472314"/>
  </w:num>
  <w:num w:numId="20">
    <w:abstractNumId w:val="472315"/>
  </w:num>
  <w:num w:numId="21">
    <w:abstractNumId w:val="472316"/>
  </w:num>
  <w:num w:numId="22">
    <w:abstractNumId w:val="472317"/>
  </w:num>
  <w:num w:numId="23">
    <w:abstractNumId w:val="472318"/>
  </w:num>
  <w:num w:numId="24">
    <w:abstractNumId w:val="472319"/>
  </w:num>
  <w:num w:numId="25">
    <w:abstractNumId w:val="472320"/>
  </w:num>
  <w:num w:numId="26">
    <w:abstractNumId w:val="472321"/>
  </w:num>
  <w:num w:numId="27">
    <w:abstractNumId w:val="472322"/>
  </w:num>
  <w:num w:numId="28">
    <w:abstractNumId w:val="472323"/>
  </w:num>
  <w:num w:numId="29">
    <w:abstractNumId w:val="472324"/>
  </w:num>
  <w:num w:numId="30">
    <w:abstractNumId w:val="472325"/>
  </w:num>
  <w:num w:numId="31">
    <w:abstractNumId w:val="472326"/>
  </w:num>
  <w:num w:numId="32">
    <w:abstractNumId w:val="472327"/>
  </w:num>
  <w:num w:numId="33">
    <w:abstractNumId w:val="472328"/>
  </w:num>
  <w:num w:numId="34">
    <w:abstractNumId w:val="472329"/>
  </w:num>
  <w:num w:numId="35">
    <w:abstractNumId w:val="472330"/>
  </w:num>
  <w:num w:numId="36">
    <w:abstractNumId w:val="472331"/>
  </w:num>
  <w:num w:numId="37">
    <w:abstractNumId w:val="472332"/>
  </w:num>
  <w:num w:numId="38">
    <w:abstractNumId w:val="472333"/>
  </w:num>
  <w:num w:numId="39">
    <w:abstractNumId w:val="472334"/>
  </w:num>
  <w:num w:numId="40">
    <w:abstractNumId w:val="472335"/>
  </w:num>
  <w:num w:numId="41">
    <w:abstractNumId w:val="472336"/>
  </w:num>
  <w:num w:numId="42">
    <w:abstractNumId w:val="472337"/>
  </w:num>
  <w:num w:numId="43">
    <w:abstractNumId w:val="472338"/>
  </w:num>
  <w:num w:numId="44">
    <w:abstractNumId w:val="472339"/>
  </w:num>
  <w:num w:numId="45">
    <w:abstractNumId w:val="472340"/>
  </w:num>
  <w:num w:numId="46">
    <w:abstractNumId w:val="472341"/>
  </w:num>
  <w:num w:numId="47">
    <w:abstractNumId w:val="472342"/>
  </w:num>
  <w:num w:numId="48">
    <w:abstractNumId w:val="472343"/>
  </w:num>
  <w:num w:numId="49">
    <w:abstractNumId w:val="472344"/>
  </w:num>
  <w:num w:numId="50">
    <w:abstractNumId w:val="472345"/>
  </w:num>
  <w:num w:numId="51">
    <w:abstractNumId w:val="472346"/>
  </w:num>
  <w:num w:numId="52">
    <w:abstractNumId w:val="472347"/>
  </w:num>
  <w:num w:numId="53">
    <w:abstractNumId w:val="472348"/>
  </w:num>
  <w:num w:numId="54">
    <w:abstractNumId w:val="472349"/>
  </w:num>
  <w:num w:numId="55">
    <w:abstractNumId w:val="472350"/>
  </w:num>
  <w:num w:numId="56">
    <w:abstractNumId w:val="472351"/>
  </w:num>
  <w:num w:numId="57">
    <w:abstractNumId w:val="472352"/>
  </w:num>
  <w:num w:numId="58">
    <w:abstractNumId w:val="472353"/>
  </w:num>
  <w:num w:numId="59">
    <w:abstractNumId w:val="472354"/>
  </w:num>
  <w:num w:numId="60">
    <w:abstractNumId w:val="472355"/>
  </w:num>
  <w:num w:numId="61">
    <w:abstractNumId w:val="472356"/>
  </w:num>
  <w:num w:numId="62">
    <w:abstractNumId w:val="472357"/>
  </w:num>
  <w:num w:numId="63">
    <w:abstractNumId w:val="472358"/>
  </w:num>
  <w:num w:numId="64">
    <w:abstractNumId w:val="472359"/>
  </w:num>
  <w:num w:numId="65">
    <w:abstractNumId w:val="472360"/>
  </w:num>
  <w:num w:numId="66">
    <w:abstractNumId w:val="472361"/>
  </w:num>
  <w:num w:numId="67">
    <w:abstractNumId w:val="472362"/>
  </w:num>
  <w:num w:numId="68">
    <w:abstractNumId w:val="472363"/>
  </w:num>
  <w:num w:numId="69">
    <w:abstractNumId w:val="472364"/>
  </w:num>
  <w:num w:numId="70">
    <w:abstractNumId w:val="472365"/>
  </w:num>
  <w:num w:numId="71">
    <w:abstractNumId w:val="472366"/>
  </w:num>
  <w:num w:numId="72">
    <w:abstractNumId w:val="472367"/>
  </w:num>
  <w:num w:numId="73">
    <w:abstractNumId w:val="472368"/>
  </w:num>
  <w:num w:numId="74">
    <w:abstractNumId w:val="47236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media/image3.png" Type="http://schemas.openxmlformats.org/officeDocument/2006/relationships/image"/><Relationship Id="rId8"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2026-10-28T08:07:32Z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{"Label":"1","ContentProducer":"001191110102MACQD9K64010000","ProduceID":"7701627327407131678","ReservedCode1":"","ContentPropagator":"","PropagateID":"","ReservedCode2":""}</vt:lpwstr>
  </property>
</Properties>
</file>