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智能纪要：20251225_133111 2026年10月28日</w:t>
      </w:r>
    </w:p>
    <w:p>
      <w:pPr>
        <w:spacing w:before="120" w:after="120" w:line="288" w:lineRule="auto"/>
        <w:ind w:left="0"/>
        <w:jc w:val="left"/>
      </w:pPr>
      <w:r>
        <w:rPr>
          <w:rFonts w:eastAsia="等线" w:ascii="Arial" w:cs="Arial" w:hAnsi="Arial"/>
          <w:sz w:val="22"/>
        </w:rPr>
        <w:t>上传时间：2026-10-28 16:17</w:t>
      </w: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34956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3495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本次为数值分析课程的考前重点梳理宣讲，系统讲解多章节核心知识点、考核要求与易错提示，内容如下：</w:t>
      </w:r>
    </w:p>
    <w:p>
      <w:pPr>
        <w:numPr>
          <w:numId w:val="1"/>
        </w:numPr>
        <w:spacing w:before="120" w:after="120" w:line="288" w:lineRule="auto"/>
        <w:ind w:left="0"/>
        <w:jc w:val="left"/>
      </w:pPr>
      <w:r>
        <w:rPr>
          <w:rFonts w:eastAsia="等线" w:ascii="Arial" w:cs="Arial" w:hAnsi="Arial"/>
          <w:b w:val="true"/>
          <w:sz w:val="22"/>
        </w:rPr>
        <w:t>差商与插值相关内容</w:t>
      </w:r>
    </w:p>
    <w:p>
      <w:pPr>
        <w:numPr>
          <w:numId w:val="2"/>
        </w:numPr>
        <w:spacing w:before="120" w:after="120" w:line="288" w:lineRule="auto"/>
        <w:ind w:left="453"/>
        <w:jc w:val="left"/>
      </w:pPr>
      <w:r>
        <w:rPr>
          <w:rFonts w:eastAsia="等线" w:ascii="Arial" w:cs="Arial" w:hAnsi="Arial"/>
          <w:b w:val="true"/>
          <w:sz w:val="22"/>
        </w:rPr>
        <w:t>差商核心性质</w:t>
      </w:r>
    </w:p>
    <w:p>
      <w:pPr>
        <w:numPr>
          <w:numId w:val="3"/>
        </w:numPr>
        <w:spacing w:before="120" w:after="120" w:line="288" w:lineRule="auto"/>
        <w:ind w:left="907"/>
        <w:jc w:val="left"/>
      </w:pPr>
      <w:r>
        <w:rPr>
          <w:rFonts w:eastAsia="等线" w:ascii="Arial" w:cs="Arial" w:hAnsi="Arial"/>
          <w:sz w:val="22"/>
        </w:rPr>
        <w:t>节点无关性：差商的计算结果与参与计算的节点排列顺序无关，任意调换节点位置，最终得到的差商数值保持不变。</w:t>
      </w:r>
    </w:p>
    <w:p>
      <w:pPr>
        <w:numPr>
          <w:numId w:val="4"/>
        </w:numPr>
        <w:spacing w:before="120" w:after="120" w:line="288" w:lineRule="auto"/>
        <w:ind w:left="907"/>
        <w:jc w:val="left"/>
      </w:pPr>
      <w:r>
        <w:rPr>
          <w:rFonts w:eastAsia="等线" w:ascii="Arial" w:cs="Arial" w:hAnsi="Arial"/>
          <w:sz w:val="22"/>
        </w:rPr>
        <w:t>递推计算规则：k 阶差商可通过低阶差商递推得到，分子为两个相邻低阶差商的差值，分母为对应节点的首尾差值，该公式是构建差商表的核心依据。</w:t>
      </w:r>
    </w:p>
    <w:p>
      <w:pPr>
        <w:numPr>
          <w:numId w:val="5"/>
        </w:numPr>
        <w:spacing w:before="120" w:after="120" w:line="288" w:lineRule="auto"/>
        <w:ind w:left="907"/>
        <w:jc w:val="left"/>
      </w:pPr>
      <w:r>
        <w:rPr>
          <w:rFonts w:eastAsia="等线" w:ascii="Arial" w:cs="Arial" w:hAnsi="Arial"/>
          <w:sz w:val="22"/>
        </w:rPr>
        <w:t>差商导数关联：若函数 f 的 n 次导数存在，n 阶差商可与对应 n 阶导数建立转换关系，部分场景下直接计算导数会大幅简化运算。</w:t>
      </w:r>
    </w:p>
    <w:p>
      <w:pPr>
        <w:numPr>
          <w:numId w:val="6"/>
        </w:numPr>
        <w:spacing w:before="120" w:after="120" w:line="288" w:lineRule="auto"/>
        <w:ind w:left="453"/>
        <w:jc w:val="left"/>
      </w:pPr>
      <w:r>
        <w:rPr>
          <w:rFonts w:eastAsia="等线" w:ascii="Arial" w:cs="Arial" w:hAnsi="Arial"/>
          <w:b w:val="true"/>
          <w:sz w:val="22"/>
        </w:rPr>
        <w:t>牛顿插值公式</w:t>
      </w:r>
    </w:p>
    <w:p>
      <w:pPr>
        <w:numPr>
          <w:numId w:val="7"/>
        </w:numPr>
        <w:spacing w:before="120" w:after="120" w:line="288" w:lineRule="auto"/>
        <w:ind w:left="907"/>
        <w:jc w:val="left"/>
      </w:pPr>
      <w:r>
        <w:rPr>
          <w:rFonts w:eastAsia="等线" w:ascii="Arial" w:cs="Arial" w:hAnsi="Arial"/>
          <w:sz w:val="22"/>
        </w:rPr>
        <w:t>公式构成规则：牛顿插值多项式由各阶差商作为系数，搭配按顺序累乘的(x - x₀)(x - x₁)…(x - xₖ)项构成，结构清晰便于记忆，考试涉及的多项式阶数通常为 2 阶或 3 阶。</w:t>
      </w:r>
    </w:p>
    <w:p>
      <w:pPr>
        <w:numPr>
          <w:numId w:val="8"/>
        </w:numPr>
        <w:spacing w:before="120" w:after="120" w:line="288" w:lineRule="auto"/>
        <w:ind w:left="907"/>
        <w:jc w:val="left"/>
      </w:pPr>
      <w:r>
        <w:rPr>
          <w:rFonts w:eastAsia="等线" w:ascii="Arial" w:cs="Arial" w:hAnsi="Arial"/>
          <w:sz w:val="22"/>
        </w:rPr>
        <w:t>余项等价说明：牛顿插值的余项与拉格朗日余项完全等价，当差商项难以直接计算时，可通过对应阶数的导数来估算余项数值。</w:t>
      </w:r>
    </w:p>
    <w:p>
      <w:pPr>
        <w:numPr>
          <w:numId w:val="9"/>
        </w:numPr>
        <w:spacing w:before="120" w:after="120" w:line="288" w:lineRule="auto"/>
        <w:ind w:left="907"/>
        <w:jc w:val="left"/>
      </w:pPr>
      <w:r>
        <w:rPr>
          <w:rFonts w:eastAsia="等线" w:ascii="Arial" w:cs="Arial" w:hAnsi="Arial"/>
          <w:sz w:val="22"/>
        </w:rPr>
        <w:t>差商表构建方法：基于差商递推性质，从低阶差商开始逐行计算，相邻两个低阶差商即可推导出更高一阶的差商，操作流程简洁直观。</w:t>
      </w:r>
    </w:p>
    <w:p>
      <w:pPr>
        <w:numPr>
          <w:numId w:val="10"/>
        </w:numPr>
        <w:spacing w:before="120" w:after="120" w:line="288" w:lineRule="auto"/>
        <w:ind w:left="453"/>
        <w:jc w:val="left"/>
      </w:pPr>
      <w:r>
        <w:rPr>
          <w:rFonts w:eastAsia="等线" w:ascii="Arial" w:cs="Arial" w:hAnsi="Arial"/>
          <w:b w:val="true"/>
          <w:sz w:val="22"/>
        </w:rPr>
        <w:t>埃尔米特插值要求</w:t>
      </w:r>
    </w:p>
    <w:p>
      <w:pPr>
        <w:numPr>
          <w:numId w:val="11"/>
        </w:numPr>
        <w:spacing w:before="120" w:after="120" w:line="288" w:lineRule="auto"/>
        <w:ind w:left="907"/>
        <w:jc w:val="left"/>
      </w:pPr>
      <w:r>
        <w:rPr>
          <w:rFonts w:eastAsia="等线" w:ascii="Arial" w:cs="Arial" w:hAnsi="Arial"/>
          <w:sz w:val="22"/>
        </w:rPr>
        <w:t>核心定义：埃尔米特插值不仅要求插值多项式经过所有给定节点，还要求在指定节点上满足对应导数值的约束条件。</w:t>
      </w:r>
    </w:p>
    <w:p>
      <w:pPr>
        <w:numPr>
          <w:numId w:val="12"/>
        </w:numPr>
        <w:spacing w:before="120" w:after="120" w:line="288" w:lineRule="auto"/>
        <w:ind w:left="907"/>
        <w:jc w:val="left"/>
      </w:pPr>
      <w:r>
        <w:rPr>
          <w:rFonts w:eastAsia="等线" w:ascii="Arial" w:cs="Arial" w:hAnsi="Arial"/>
          <w:sz w:val="22"/>
        </w:rPr>
        <w:t>考核范围说明：不要求记忆复杂的埃尔米特插值通用推导公式与硬记公式，考试仅涉及部分节点仅给定函数值、其余节点同时给定函数值与导数值的混合约束题型。</w:t>
      </w:r>
    </w:p>
    <w:p>
      <w:pPr>
        <w:numPr>
          <w:numId w:val="13"/>
        </w:numPr>
        <w:spacing w:before="120" w:after="120" w:line="288" w:lineRule="auto"/>
        <w:ind w:left="907"/>
        <w:jc w:val="left"/>
      </w:pPr>
      <w:r>
        <w:rPr>
          <w:rFonts w:eastAsia="等线" w:ascii="Arial" w:cs="Arial" w:hAnsi="Arial"/>
          <w:sz w:val="22"/>
        </w:rPr>
        <w:t>两类解题方法：一类是先忽略导数约束构造低次多项式，再逐步叠加导数相关约束；另一类是直接根据总约束数量写出对应最高次的多项式，代入所有条件求解系数。</w:t>
      </w:r>
    </w:p>
    <w:p>
      <w:pPr>
        <w:numPr>
          <w:numId w:val="14"/>
        </w:numPr>
        <w:spacing w:before="120" w:after="120" w:line="288" w:lineRule="auto"/>
        <w:ind w:left="0"/>
        <w:jc w:val="left"/>
      </w:pPr>
      <w:r>
        <w:rPr>
          <w:rFonts w:eastAsia="等线" w:ascii="Arial" w:cs="Arial" w:hAnsi="Arial"/>
          <w:b w:val="true"/>
          <w:sz w:val="22"/>
        </w:rPr>
        <w:t>函数逼近与最小二乘拟合</w:t>
      </w:r>
    </w:p>
    <w:p>
      <w:pPr>
        <w:numPr>
          <w:numId w:val="15"/>
        </w:numPr>
        <w:spacing w:before="120" w:after="120" w:line="288" w:lineRule="auto"/>
        <w:ind w:left="453"/>
        <w:jc w:val="left"/>
      </w:pPr>
      <w:r>
        <w:rPr>
          <w:rFonts w:eastAsia="等线" w:ascii="Arial" w:cs="Arial" w:hAnsi="Arial"/>
          <w:b w:val="true"/>
          <w:sz w:val="22"/>
        </w:rPr>
        <w:t>基础概念对比</w:t>
      </w:r>
    </w:p>
    <w:p>
      <w:pPr>
        <w:numPr>
          <w:numId w:val="16"/>
        </w:numPr>
        <w:spacing w:before="120" w:after="120" w:line="288" w:lineRule="auto"/>
        <w:ind w:left="907"/>
        <w:jc w:val="left"/>
      </w:pPr>
      <w:r>
        <w:rPr>
          <w:rFonts w:eastAsia="等线" w:ascii="Arial" w:cs="Arial" w:hAnsi="Arial"/>
          <w:sz w:val="22"/>
        </w:rPr>
        <w:t>与插值的差异：插值要求多项式严格经过所有给定节点，而函数逼近不强制要求经过所有点，仅追求整体上与目标函数的误差达到最小。</w:t>
      </w:r>
    </w:p>
    <w:p>
      <w:pPr>
        <w:numPr>
          <w:numId w:val="17"/>
        </w:numPr>
        <w:spacing w:before="120" w:after="120" w:line="288" w:lineRule="auto"/>
        <w:ind w:left="907"/>
        <w:jc w:val="left"/>
      </w:pPr>
      <w:r>
        <w:rPr>
          <w:rFonts w:eastAsia="等线" w:ascii="Arial" w:cs="Arial" w:hAnsi="Arial"/>
          <w:sz w:val="22"/>
        </w:rPr>
        <w:t>逼近类型选择：本次课程不涉及一致逼近相关内容，仅要求掌握最佳平方逼近与离散数据的最小二乘曲线拟合两类方法。</w:t>
      </w:r>
    </w:p>
    <w:p>
      <w:pPr>
        <w:numPr>
          <w:numId w:val="18"/>
        </w:numPr>
        <w:spacing w:before="120" w:after="120" w:line="288" w:lineRule="auto"/>
        <w:ind w:left="453"/>
        <w:jc w:val="left"/>
      </w:pPr>
      <w:r>
        <w:rPr>
          <w:rFonts w:eastAsia="等线" w:ascii="Arial" w:cs="Arial" w:hAnsi="Arial"/>
          <w:b w:val="true"/>
          <w:sz w:val="22"/>
        </w:rPr>
        <w:t>连续函数最佳平方逼近</w:t>
      </w:r>
    </w:p>
    <w:p>
      <w:pPr>
        <w:numPr>
          <w:numId w:val="19"/>
        </w:numPr>
        <w:spacing w:before="120" w:after="120" w:line="288" w:lineRule="auto"/>
        <w:ind w:left="907"/>
        <w:jc w:val="left"/>
      </w:pPr>
      <w:r>
        <w:rPr>
          <w:rFonts w:eastAsia="等线" w:ascii="Arial" w:cs="Arial" w:hAnsi="Arial"/>
          <w:sz w:val="22"/>
        </w:rPr>
        <w:t>限定子空间要求：逼近多项式不能任意选取，必须在预先给定的由线性无关函数组张成的子空间内构造，将问题转化为求解子空间基函数的组合系数。</w:t>
      </w:r>
    </w:p>
    <w:p>
      <w:pPr>
        <w:numPr>
          <w:numId w:val="20"/>
        </w:numPr>
        <w:spacing w:before="120" w:after="120" w:line="288" w:lineRule="auto"/>
        <w:ind w:left="907"/>
        <w:jc w:val="left"/>
      </w:pPr>
      <w:r>
        <w:rPr>
          <w:rFonts w:eastAsia="等线" w:ascii="Arial" w:cs="Arial" w:hAnsi="Arial"/>
          <w:sz w:val="22"/>
        </w:rPr>
        <w:t>法方程推导逻辑：将误差平方的积分作为优化目标，对各组合系数求偏导并令偏导为 0，最终得到用于求解系数的法方程，内积定义为两个基函数在指定区间上的加权积分。</w:t>
      </w:r>
    </w:p>
    <w:p>
      <w:pPr>
        <w:numPr>
          <w:numId w:val="21"/>
        </w:numPr>
        <w:spacing w:before="120" w:after="120" w:line="288" w:lineRule="auto"/>
        <w:ind w:left="907"/>
        <w:jc w:val="left"/>
      </w:pPr>
      <w:r>
        <w:rPr>
          <w:rFonts w:eastAsia="等线" w:ascii="Arial" w:cs="Arial" w:hAnsi="Arial"/>
          <w:sz w:val="22"/>
        </w:rPr>
        <w:t>典型题型说明：常见题型为在由 1 和 x 张成的线性子空间，或 1、x、x² 张成的二次多项式子空间内，构造低次多项式逼近指定函数，求解后可按需计算逼近误差。</w:t>
      </w:r>
    </w:p>
    <w:p>
      <w:pPr>
        <w:numPr>
          <w:numId w:val="22"/>
        </w:numPr>
        <w:spacing w:before="120" w:after="120" w:line="288" w:lineRule="auto"/>
        <w:ind w:left="453"/>
        <w:jc w:val="left"/>
      </w:pPr>
      <w:r>
        <w:rPr>
          <w:rFonts w:eastAsia="等线" w:ascii="Arial" w:cs="Arial" w:hAnsi="Arial"/>
          <w:b w:val="true"/>
          <w:sz w:val="22"/>
        </w:rPr>
        <w:t>离散数据最小二乘拟合</w:t>
      </w:r>
    </w:p>
    <w:p>
      <w:pPr>
        <w:numPr>
          <w:numId w:val="23"/>
        </w:numPr>
        <w:spacing w:before="120" w:after="120" w:line="288" w:lineRule="auto"/>
        <w:ind w:left="907"/>
        <w:jc w:val="left"/>
      </w:pPr>
      <w:r>
        <w:rPr>
          <w:rFonts w:eastAsia="等线" w:ascii="Arial" w:cs="Arial" w:hAnsi="Arial"/>
          <w:sz w:val="22"/>
        </w:rPr>
        <w:t>核心定义：针对一系列实测离散数据点，在给定的子空间内构造拟合函数，使得所有数据点上实测值与拟合预测值的误差平方和达到最小。</w:t>
      </w:r>
    </w:p>
    <w:p>
      <w:pPr>
        <w:numPr>
          <w:numId w:val="24"/>
        </w:numPr>
        <w:spacing w:before="120" w:after="120" w:line="288" w:lineRule="auto"/>
        <w:ind w:left="907"/>
        <w:jc w:val="left"/>
      </w:pPr>
      <w:r>
        <w:rPr>
          <w:rFonts w:eastAsia="等线" w:ascii="Arial" w:cs="Arial" w:hAnsi="Arial"/>
          <w:sz w:val="22"/>
        </w:rPr>
        <w:t>法方程差异：整体推导逻辑与连续最佳平方逼近完全一致，仅内积计算方式替换为所有离散点上对应函数值乘积的加权求和，其余形式完全相同。</w:t>
      </w:r>
    </w:p>
    <w:p>
      <w:pPr>
        <w:numPr>
          <w:numId w:val="25"/>
        </w:numPr>
        <w:spacing w:before="120" w:after="120" w:line="288" w:lineRule="auto"/>
        <w:ind w:left="907"/>
        <w:jc w:val="left"/>
      </w:pPr>
      <w:r>
        <w:rPr>
          <w:rFonts w:eastAsia="等线" w:ascii="Arial" w:cs="Arial" w:hAnsi="Arial"/>
          <w:sz w:val="22"/>
        </w:rPr>
        <w:t>非线性拟合处理：对于形如 Y = A·e^(Bx) 的非线性拟合场景，可通过对数变换将其转化为线性形式，再套用标准最小二乘法流程求解参数。</w:t>
      </w:r>
    </w:p>
    <w:p>
      <w:pPr>
        <w:numPr>
          <w:numId w:val="26"/>
        </w:numPr>
        <w:spacing w:before="120" w:after="120" w:line="288" w:lineRule="auto"/>
        <w:ind w:left="907"/>
        <w:jc w:val="left"/>
      </w:pPr>
      <w:r>
        <w:rPr>
          <w:rFonts w:eastAsia="等线" w:ascii="Arial" w:cs="Arial" w:hAnsi="Arial"/>
          <w:sz w:val="22"/>
        </w:rPr>
        <w:t>常见易错点：计算基函数内积时，若子空间第一个基函数为 1，对应内积结果为数据点的总个数，不能直接误算为 1，否则后续所有计算结果都会出错。</w:t>
      </w:r>
    </w:p>
    <w:p>
      <w:pPr>
        <w:numPr>
          <w:numId w:val="27"/>
        </w:numPr>
        <w:spacing w:before="120" w:after="120" w:line="288" w:lineRule="auto"/>
        <w:ind w:left="0"/>
        <w:jc w:val="left"/>
      </w:pPr>
      <w:r>
        <w:rPr>
          <w:rFonts w:eastAsia="等线" w:ascii="Arial" w:cs="Arial" w:hAnsi="Arial"/>
          <w:b w:val="true"/>
          <w:sz w:val="22"/>
        </w:rPr>
        <w:t>数值积分相关内容</w:t>
      </w:r>
    </w:p>
    <w:p>
      <w:pPr>
        <w:numPr>
          <w:numId w:val="28"/>
        </w:numPr>
        <w:spacing w:before="120" w:after="120" w:line="288" w:lineRule="auto"/>
        <w:ind w:left="453"/>
        <w:jc w:val="left"/>
      </w:pPr>
      <w:r>
        <w:rPr>
          <w:rFonts w:eastAsia="等线" w:ascii="Arial" w:cs="Arial" w:hAnsi="Arial"/>
          <w:b w:val="true"/>
          <w:sz w:val="22"/>
        </w:rPr>
        <w:t>基础概念与代数精度</w:t>
      </w:r>
    </w:p>
    <w:p>
      <w:pPr>
        <w:numPr>
          <w:numId w:val="29"/>
        </w:numPr>
        <w:spacing w:before="120" w:after="120" w:line="288" w:lineRule="auto"/>
        <w:ind w:left="907"/>
        <w:jc w:val="left"/>
      </w:pPr>
      <w:r>
        <w:rPr>
          <w:rFonts w:eastAsia="等线" w:ascii="Arial" w:cs="Arial" w:hAnsi="Arial"/>
          <w:sz w:val="22"/>
        </w:rPr>
        <w:t>机械求积定义：避开求解原函数的难点，将定积分转化为若干求积节点上的函数值乘以对应求积系数后求和的形式，替代原本的积分运算。</w:t>
      </w:r>
    </w:p>
    <w:p>
      <w:pPr>
        <w:numPr>
          <w:numId w:val="30"/>
        </w:numPr>
        <w:spacing w:before="120" w:after="120" w:line="288" w:lineRule="auto"/>
        <w:ind w:left="907"/>
        <w:jc w:val="left"/>
      </w:pPr>
      <w:r>
        <w:rPr>
          <w:rFonts w:eastAsia="等线" w:ascii="Arial" w:cs="Arial" w:hAnsi="Arial"/>
          <w:sz w:val="22"/>
        </w:rPr>
        <w:t>代数精度定义：若某求积公式对所有次数不超过 m 的多项式都能精确成立，且存在 m+1 次多项式无法精确成立，则该公式的代数精度为 m 次。</w:t>
      </w:r>
    </w:p>
    <w:p>
      <w:pPr>
        <w:numPr>
          <w:numId w:val="31"/>
        </w:numPr>
        <w:spacing w:before="120" w:after="120" w:line="288" w:lineRule="auto"/>
        <w:ind w:left="907"/>
        <w:jc w:val="left"/>
      </w:pPr>
      <w:r>
        <w:rPr>
          <w:rFonts w:eastAsia="等线" w:ascii="Arial" w:cs="Arial" w:hAnsi="Arial"/>
          <w:sz w:val="22"/>
        </w:rPr>
        <w:t>代数精度验证方法：先依次代入 f(x)=1、x、x²…直到公式左右两边不相等，再验证下一个更高次幂的多项式，最终确定公式的最高代数精度。</w:t>
      </w:r>
    </w:p>
    <w:p>
      <w:pPr>
        <w:numPr>
          <w:numId w:val="32"/>
        </w:numPr>
        <w:spacing w:before="120" w:after="120" w:line="288" w:lineRule="auto"/>
        <w:ind w:left="453"/>
        <w:jc w:val="left"/>
      </w:pPr>
      <w:r>
        <w:rPr>
          <w:rFonts w:eastAsia="等线" w:ascii="Arial" w:cs="Arial" w:hAnsi="Arial"/>
          <w:b w:val="true"/>
          <w:sz w:val="22"/>
        </w:rPr>
        <w:t>常见求积公式</w:t>
      </w:r>
    </w:p>
    <w:p>
      <w:pPr>
        <w:numPr>
          <w:numId w:val="33"/>
        </w:numPr>
        <w:spacing w:before="120" w:after="120" w:line="288" w:lineRule="auto"/>
        <w:ind w:left="907"/>
        <w:jc w:val="left"/>
      </w:pPr>
      <w:r>
        <w:rPr>
          <w:rFonts w:eastAsia="等线" w:ascii="Arial" w:cs="Arial" w:hAnsi="Arial"/>
          <w:sz w:val="22"/>
        </w:rPr>
        <w:t>插值型求积公式：基于 n+1 个节点构造拉格朗日插值多项式，对插值多项式积分得到求积公式，这类公式至少具备 n 次代数精度。</w:t>
      </w:r>
    </w:p>
    <w:p>
      <w:pPr>
        <w:numPr>
          <w:numId w:val="34"/>
        </w:numPr>
        <w:spacing w:before="120" w:after="120" w:line="288" w:lineRule="auto"/>
        <w:ind w:left="907"/>
        <w:jc w:val="left"/>
      </w:pPr>
      <w:r>
        <w:rPr>
          <w:rFonts w:eastAsia="等线" w:ascii="Arial" w:cs="Arial" w:hAnsi="Arial"/>
          <w:sz w:val="22"/>
        </w:rPr>
        <w:t>基础牛顿-科特斯公式：无需记忆完整通用表达式，仅需掌握梯形公式、辛普森公式的形式与对应余项，其余复杂形式不做考核要求。</w:t>
      </w:r>
    </w:p>
    <w:p>
      <w:pPr>
        <w:numPr>
          <w:numId w:val="35"/>
        </w:numPr>
        <w:spacing w:before="120" w:after="120" w:line="288" w:lineRule="auto"/>
        <w:ind w:left="907"/>
        <w:jc w:val="left"/>
      </w:pPr>
      <w:r>
        <w:rPr>
          <w:rFonts w:eastAsia="等线" w:ascii="Arial" w:cs="Arial" w:hAnsi="Arial"/>
          <w:sz w:val="22"/>
        </w:rPr>
        <w:t>复化梯形公式：将积分区间划分为若干等距小区间，在每个小区间上单独使用梯形公式求和，注意内部节点的函数值需要乘以系数 2，可通过绘制区间分割图辅助记忆避免漏写系数。</w:t>
      </w:r>
    </w:p>
    <w:p>
      <w:pPr>
        <w:numPr>
          <w:numId w:val="36"/>
        </w:numPr>
        <w:spacing w:before="120" w:after="120" w:line="288" w:lineRule="auto"/>
        <w:ind w:left="907"/>
        <w:jc w:val="left"/>
      </w:pPr>
      <w:r>
        <w:rPr>
          <w:rFonts w:eastAsia="等线" w:ascii="Arial" w:cs="Arial" w:hAnsi="Arial"/>
          <w:sz w:val="22"/>
        </w:rPr>
        <w:t>余项计算规则：复化梯形公式的余项为 -(b-a)h²/12 乘以区间内某点的二阶导数值，可用于估算数值积分结果的误差范围。</w:t>
      </w:r>
    </w:p>
    <w:p>
      <w:pPr>
        <w:numPr>
          <w:numId w:val="37"/>
        </w:numPr>
        <w:spacing w:before="120" w:after="120" w:line="288" w:lineRule="auto"/>
        <w:ind w:left="453"/>
        <w:jc w:val="left"/>
      </w:pPr>
      <w:r>
        <w:rPr>
          <w:rFonts w:eastAsia="等线" w:ascii="Arial" w:cs="Arial" w:hAnsi="Arial"/>
          <w:b w:val="true"/>
          <w:sz w:val="22"/>
        </w:rPr>
        <w:t>高斯求积公式</w:t>
      </w:r>
    </w:p>
    <w:p>
      <w:pPr>
        <w:numPr>
          <w:numId w:val="38"/>
        </w:numPr>
        <w:spacing w:before="120" w:after="120" w:line="288" w:lineRule="auto"/>
        <w:ind w:left="907"/>
        <w:jc w:val="left"/>
      </w:pPr>
      <w:r>
        <w:rPr>
          <w:rFonts w:eastAsia="等线" w:ascii="Arial" w:cs="Arial" w:hAnsi="Arial"/>
          <w:sz w:val="22"/>
        </w:rPr>
        <w:t>核心特点：高斯公式的求积节点不再均匀选取，将节点也作为待定参数，最终可使 n+1 个节点的求积公式达到 2n+1 次的最高代数精度。</w:t>
      </w:r>
    </w:p>
    <w:p>
      <w:pPr>
        <w:numPr>
          <w:numId w:val="39"/>
        </w:numPr>
        <w:spacing w:before="120" w:after="120" w:line="288" w:lineRule="auto"/>
        <w:ind w:left="907"/>
        <w:jc w:val="left"/>
      </w:pPr>
      <w:r>
        <w:rPr>
          <w:rFonts w:eastAsia="等线" w:ascii="Arial" w:cs="Arial" w:hAnsi="Arial"/>
          <w:sz w:val="22"/>
        </w:rPr>
        <w:t>节点生成规则：高斯节点是与区间上所有不超过 n 次多项式正交的 n+1 次多项式的根，本次考试不要求记忆勒让德多项式相关的复杂构造过程。</w:t>
      </w:r>
    </w:p>
    <w:p>
      <w:pPr>
        <w:numPr>
          <w:numId w:val="40"/>
        </w:numPr>
        <w:spacing w:before="120" w:after="120" w:line="288" w:lineRule="auto"/>
        <w:ind w:left="907"/>
        <w:jc w:val="left"/>
      </w:pPr>
      <w:r>
        <w:rPr>
          <w:rFonts w:eastAsia="等线" w:ascii="Arial" w:cs="Arial" w:hAnsi="Arial"/>
          <w:sz w:val="22"/>
        </w:rPr>
        <w:t>两类公式对比：牛顿-科特斯公式节点均匀选取，最高代数精度为 n+1 次；高斯公式节点按需选取，代数精度可达 2n+1 次，二者均属于机械求积公式范畴。</w:t>
      </w:r>
    </w:p>
    <w:p>
      <w:pPr>
        <w:numPr>
          <w:numId w:val="41"/>
        </w:numPr>
        <w:spacing w:before="120" w:after="120" w:line="288" w:lineRule="auto"/>
        <w:ind w:left="0"/>
        <w:jc w:val="left"/>
      </w:pPr>
      <w:r>
        <w:rPr>
          <w:rFonts w:eastAsia="等线" w:ascii="Arial" w:cs="Arial" w:hAnsi="Arial"/>
          <w:b w:val="true"/>
          <w:sz w:val="22"/>
        </w:rPr>
        <w:t>常微分方程数值解法</w:t>
      </w:r>
    </w:p>
    <w:p>
      <w:pPr>
        <w:numPr>
          <w:numId w:val="42"/>
        </w:numPr>
        <w:spacing w:before="120" w:after="120" w:line="288" w:lineRule="auto"/>
        <w:ind w:left="453"/>
        <w:jc w:val="left"/>
      </w:pPr>
      <w:r>
        <w:rPr>
          <w:rFonts w:eastAsia="等线" w:ascii="Arial" w:cs="Arial" w:hAnsi="Arial"/>
          <w:b w:val="true"/>
          <w:sz w:val="22"/>
        </w:rPr>
        <w:t>基础求解思路</w:t>
      </w:r>
    </w:p>
    <w:p>
      <w:pPr>
        <w:numPr>
          <w:numId w:val="43"/>
        </w:numPr>
        <w:spacing w:before="120" w:after="120" w:line="288" w:lineRule="auto"/>
        <w:ind w:left="907"/>
        <w:jc w:val="left"/>
      </w:pPr>
      <w:r>
        <w:rPr>
          <w:rFonts w:eastAsia="等线" w:ascii="Arial" w:cs="Arial" w:hAnsi="Arial"/>
          <w:sz w:val="22"/>
        </w:rPr>
        <w:t>离散化处理：不追求得到连续的解析解，仅在求解区间上选取一系列离散节点，计算每个节点对应的近似函数值，建立相邻节点间的递推关系。</w:t>
      </w:r>
    </w:p>
    <w:p>
      <w:pPr>
        <w:numPr>
          <w:numId w:val="44"/>
        </w:numPr>
        <w:spacing w:before="120" w:after="120" w:line="288" w:lineRule="auto"/>
        <w:ind w:left="907"/>
        <w:jc w:val="left"/>
      </w:pPr>
      <w:r>
        <w:rPr>
          <w:rFonts w:eastAsia="等线" w:ascii="Arial" w:cs="Arial" w:hAnsi="Arial"/>
          <w:sz w:val="22"/>
        </w:rPr>
        <w:t>积分转化方法：对一阶常微分方程初值问题，在相邻两个节点之间两边同时取定积分，将原问题转化为计算定积分的问题，不同的积分近似方式对应不同的数值解法。</w:t>
      </w:r>
    </w:p>
    <w:p>
      <w:pPr>
        <w:numPr>
          <w:numId w:val="45"/>
        </w:numPr>
        <w:spacing w:before="120" w:after="120" w:line="288" w:lineRule="auto"/>
        <w:ind w:left="453"/>
        <w:jc w:val="left"/>
      </w:pPr>
      <w:r>
        <w:rPr>
          <w:rFonts w:eastAsia="等线" w:ascii="Arial" w:cs="Arial" w:hAnsi="Arial"/>
          <w:b w:val="true"/>
          <w:sz w:val="22"/>
        </w:rPr>
        <w:t>基础数值解法</w:t>
      </w:r>
    </w:p>
    <w:p>
      <w:pPr>
        <w:numPr>
          <w:numId w:val="46"/>
        </w:numPr>
        <w:spacing w:before="120" w:after="120" w:line="288" w:lineRule="auto"/>
        <w:ind w:left="907"/>
        <w:jc w:val="left"/>
      </w:pPr>
      <w:r>
        <w:rPr>
          <w:rFonts w:eastAsia="等线" w:ascii="Arial" w:cs="Arial" w:hAnsi="Arial"/>
          <w:sz w:val="22"/>
        </w:rPr>
        <w:t>欧拉系列方法：包含显式欧拉、隐式欧拉、梯形欧拉三类基础方法，将显式欧拉与梯形欧拉结合可得到改进欧拉法，这类方法的精度最高仅为 2 阶。</w:t>
      </w:r>
    </w:p>
    <w:p>
      <w:pPr>
        <w:numPr>
          <w:numId w:val="47"/>
        </w:numPr>
        <w:spacing w:before="120" w:after="120" w:line="288" w:lineRule="auto"/>
        <w:ind w:left="907"/>
        <w:jc w:val="left"/>
      </w:pPr>
      <w:r>
        <w:rPr>
          <w:rFonts w:eastAsia="等线" w:ascii="Arial" w:cs="Arial" w:hAnsi="Arial"/>
          <w:sz w:val="22"/>
        </w:rPr>
        <w:t>龙格-库塔方法：通过使用多个点的斜率加权平均来逼近区间内的平均导数，以此提升计算精度，考试不要求记忆高阶龙格-库塔的复杂公式，实际工程中可直接调用 MATLAB 内置的相关求解工具。</w:t>
      </w:r>
    </w:p>
    <w:p>
      <w:pPr>
        <w:numPr>
          <w:numId w:val="48"/>
        </w:numPr>
        <w:spacing w:before="120" w:after="120" w:line="288" w:lineRule="auto"/>
        <w:ind w:left="453"/>
        <w:jc w:val="left"/>
      </w:pPr>
      <w:r>
        <w:rPr>
          <w:rFonts w:eastAsia="等线" w:ascii="Arial" w:cs="Arial" w:hAnsi="Arial"/>
          <w:b w:val="true"/>
          <w:sz w:val="22"/>
        </w:rPr>
        <w:t>核心概念与判定规则</w:t>
      </w:r>
    </w:p>
    <w:p>
      <w:pPr>
        <w:numPr>
          <w:numId w:val="49"/>
        </w:numPr>
        <w:spacing w:before="120" w:after="120" w:line="288" w:lineRule="auto"/>
        <w:ind w:left="907"/>
        <w:jc w:val="left"/>
      </w:pPr>
      <w:r>
        <w:rPr>
          <w:rFonts w:eastAsia="等线" w:ascii="Arial" w:cs="Arial" w:hAnsi="Arial"/>
          <w:sz w:val="22"/>
        </w:rPr>
        <w:t>局部截断误差：假设前一步的计算结果完全精确，计算当前步的近似值与该点真实精确值之间的差值，若该误差为 O(h^(p+1))，则算法的精度为 p 阶。</w:t>
      </w:r>
    </w:p>
    <w:p>
      <w:pPr>
        <w:numPr>
          <w:numId w:val="50"/>
        </w:numPr>
        <w:spacing w:before="120" w:after="120" w:line="288" w:lineRule="auto"/>
        <w:ind w:left="907"/>
        <w:jc w:val="left"/>
      </w:pPr>
      <w:r>
        <w:rPr>
          <w:rFonts w:eastAsia="等线" w:ascii="Arial" w:cs="Arial" w:hAnsi="Arial"/>
          <w:sz w:val="22"/>
        </w:rPr>
        <w:t>单步法收敛性判定：当步长 h 趋向于 0 时，所有节点的近似解收敛于对应点的真实解析解，只要单步法的增量函数关于 y 满足利普希茨条件，即可判定算法收敛。</w:t>
      </w:r>
    </w:p>
    <w:p>
      <w:pPr>
        <w:numPr>
          <w:numId w:val="51"/>
        </w:numPr>
        <w:spacing w:before="120" w:after="120" w:line="288" w:lineRule="auto"/>
        <w:ind w:left="907"/>
        <w:jc w:val="left"/>
      </w:pPr>
      <w:r>
        <w:rPr>
          <w:rFonts w:eastAsia="等线" w:ascii="Arial" w:cs="Arial" w:hAnsi="Arial"/>
          <w:sz w:val="22"/>
        </w:rPr>
        <w:t>考核范围说明：高阶常微分方程、常微分方程组、数值微分、龙贝格公式等内容均不纳入本次考试范围，无需花费时间复习相关内容。</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r>
        <w:rPr>
          <w:rFonts w:eastAsia="等线" w:ascii="Arial" w:cs="Arial" w:hAnsi="Arial"/>
          <w:sz w:val="22"/>
        </w:rPr>
        <w:t>00:00</w:t>
      </w:r>
      <w:r>
        <w:rPr>
          <w:rFonts w:eastAsia="等线" w:ascii="Arial" w:cs="Arial" w:hAnsi="Arial"/>
          <w:b w:val="true"/>
          <w:sz w:val="22"/>
        </w:rPr>
        <w:t xml:space="preserve">  差商定义性质及相关牛顿拉格朗日余项内容讲解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差商展开讲解，说明一阶差商本质是两点间斜率，高阶差商可通过递推公式计算，明确差商的三个核心性质：与节点排列顺序无关、可通过递推公式构建差商表、n阶差商和n阶导数存在对应转换关系，还结合相关习题举例说明该性质的便捷用法。</w:t>
            </w:r>
          </w:p>
        </w:tc>
      </w:tr>
    </w:tbl>
    <w:p>
      <w:pPr>
        <w:spacing w:before="120" w:after="120" w:line="288" w:lineRule="auto"/>
        <w:ind w:left="0"/>
        <w:jc w:val="left"/>
      </w:pPr>
      <w:r>
        <w:rPr>
          <w:rFonts w:eastAsia="等线" w:ascii="Arial" w:cs="Arial" w:hAnsi="Arial"/>
          <w:sz w:val="22"/>
        </w:rPr>
        <w:t>02:58</w:t>
      </w:r>
      <w:r>
        <w:rPr>
          <w:rFonts w:eastAsia="等线" w:ascii="Arial" w:cs="Arial" w:hAnsi="Arial"/>
          <w:b w:val="true"/>
          <w:sz w:val="22"/>
        </w:rPr>
        <w:t xml:space="preserve">  牛顿差值公式及余项差商表相关内容讲解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差商推导讲解牛顿差值公式，说明该公式结构有顺序、易识记，考试涉及的阶数通常仅为2或3无需大量计算，其余项性质和拉格朗日余项等价，差商表可依据递推性质简便计算，能直观提取牛顿差值公式对应的系数。</w:t>
            </w:r>
          </w:p>
        </w:tc>
      </w:tr>
    </w:tbl>
    <w:p>
      <w:pPr>
        <w:spacing w:before="120" w:after="120" w:line="288" w:lineRule="auto"/>
        <w:ind w:left="0"/>
        <w:jc w:val="left"/>
      </w:pPr>
      <w:r>
        <w:rPr>
          <w:rFonts w:eastAsia="等线" w:ascii="Arial" w:cs="Arial" w:hAnsi="Arial"/>
          <w:sz w:val="22"/>
        </w:rPr>
        <w:t>06:01</w:t>
      </w:r>
      <w:r>
        <w:rPr>
          <w:rFonts w:eastAsia="等线" w:ascii="Arial" w:cs="Arial" w:hAnsi="Arial"/>
          <w:b w:val="true"/>
          <w:sz w:val="22"/>
        </w:rPr>
        <w:t xml:space="preserve">  埃尔米特插值相关要求及习题解法说明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讲解埃尔米特插值的定义，即插值多项式不仅要过给定节点，还需匹配节点上的导数值，明确该插值的推导硬公式不作要求，考试无需记忆。结合习题16题的4次多项式求解案例，介绍两类解题方法，分别是先构造二次多项式再叠加导数条件的继承方法，以及直接设多项式代入5个条件求解的方法。</w:t>
            </w:r>
          </w:p>
        </w:tc>
      </w:tr>
    </w:tbl>
    <w:p>
      <w:pPr>
        <w:spacing w:before="120" w:after="120" w:line="288" w:lineRule="auto"/>
        <w:ind w:left="0"/>
        <w:jc w:val="left"/>
      </w:pPr>
      <w:r>
        <w:rPr>
          <w:rFonts w:eastAsia="等线" w:ascii="Arial" w:cs="Arial" w:hAnsi="Arial"/>
          <w:sz w:val="22"/>
        </w:rPr>
        <w:t>07:51</w:t>
      </w:r>
      <w:r>
        <w:rPr>
          <w:rFonts w:eastAsia="等线" w:ascii="Arial" w:cs="Arial" w:hAnsi="Arial"/>
          <w:b w:val="true"/>
          <w:sz w:val="22"/>
        </w:rPr>
        <w:t xml:space="preserve">  函数逼近与平方逼近相关概念讲解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函数的逼近与计算展开，明确该课程六章内容相对独立，本章仅聚焦均方逼近范畴，介绍两类思路一致的方法：面向连续函数的最佳平方逼近、面向离散测量数据的最小二乘曲线拟合，同时对比插值要求过所有给定点的特点，说明逼近不要求过点、仅追求整体近似效果好，且略过了一致逼近相关内容。</w:t>
            </w:r>
          </w:p>
        </w:tc>
      </w:tr>
    </w:tbl>
    <w:p>
      <w:pPr>
        <w:spacing w:before="120" w:after="120" w:line="288" w:lineRule="auto"/>
        <w:ind w:left="0"/>
        <w:jc w:val="left"/>
      </w:pPr>
      <w:r>
        <w:rPr>
          <w:rFonts w:eastAsia="等线" w:ascii="Arial" w:cs="Arial" w:hAnsi="Arial"/>
          <w:sz w:val="22"/>
        </w:rPr>
        <w:t>10:22</w:t>
      </w:r>
      <w:r>
        <w:rPr>
          <w:rFonts w:eastAsia="等线" w:ascii="Arial" w:cs="Arial" w:hAnsi="Arial"/>
          <w:b w:val="true"/>
          <w:sz w:val="22"/>
        </w:rPr>
        <w:t xml:space="preserve">  函数最佳平方逼近的概念与求解过程讲解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讲解函数最佳平方逼近，先将其与插值对比，明确需在预先给定的由线性无关函数组构成的子空间内构造逼近函数，将问题转化为求多元函数极值，通过令偏导为0推导出法方程，最后举例说明不同子空间下用对应次数多项式逼近目标函数的相关计算逻辑。</w:t>
            </w:r>
          </w:p>
        </w:tc>
      </w:tr>
    </w:tbl>
    <w:p>
      <w:pPr>
        <w:spacing w:before="120" w:after="120" w:line="288" w:lineRule="auto"/>
        <w:ind w:left="0"/>
        <w:jc w:val="left"/>
      </w:pPr>
      <w:r>
        <w:rPr>
          <w:rFonts w:eastAsia="等线" w:ascii="Arial" w:cs="Arial" w:hAnsi="Arial"/>
          <w:sz w:val="22"/>
        </w:rPr>
        <w:t>16:21</w:t>
      </w:r>
      <w:r>
        <w:rPr>
          <w:rFonts w:eastAsia="等线" w:ascii="Arial" w:cs="Arial" w:hAnsi="Arial"/>
          <w:b w:val="true"/>
          <w:sz w:val="22"/>
        </w:rPr>
        <w:t xml:space="preserve">  曲线拟合最小二乘法概念计算要点及题型说明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讲解曲线拟合的最小二乘法，针对离散测量数据，在指定子空间内求解系数，让离散点误差加和形式的均方误差最小，通过求偏导构建法方程，该方法和之前连续平方逼近的差异仅在于内积用离散点加和计算，还提及非线性拟合可做数据转换为线性问题，提醒计算时注意求和不要出错，布置对应作业题型。</w:t>
            </w:r>
          </w:p>
        </w:tc>
      </w:tr>
    </w:tbl>
    <w:p>
      <w:pPr>
        <w:spacing w:before="120" w:after="120" w:line="288" w:lineRule="auto"/>
        <w:ind w:left="0"/>
        <w:jc w:val="left"/>
      </w:pPr>
      <w:r>
        <w:rPr>
          <w:rFonts w:eastAsia="等线" w:ascii="Arial" w:cs="Arial" w:hAnsi="Arial"/>
          <w:sz w:val="22"/>
        </w:rPr>
        <w:t>21:11</w:t>
      </w:r>
      <w:r>
        <w:rPr>
          <w:rFonts w:eastAsia="等线" w:ascii="Arial" w:cs="Arial" w:hAnsi="Arial"/>
          <w:b w:val="true"/>
          <w:sz w:val="22"/>
        </w:rPr>
        <w:t xml:space="preserve">  数值积分相关教学内容范围与基础概念讲解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数值积分展开，数值微分不作讲解也不考核，明确考核范围包含积分基本概念、代数精度、梯形与辛普森公式及其余项、复化梯形余项、高斯公式，龙贝格公式不纳入考核，讲解了求积定义、积分中值定理相关逻辑，说明梯形公式是牛顿-科特斯公式特例，中矩形公式是高斯公式特例。</w:t>
            </w:r>
          </w:p>
        </w:tc>
      </w:tr>
    </w:tbl>
    <w:p>
      <w:pPr>
        <w:spacing w:before="120" w:after="120" w:line="288" w:lineRule="auto"/>
        <w:ind w:left="0"/>
        <w:jc w:val="left"/>
      </w:pPr>
      <w:r>
        <w:rPr>
          <w:rFonts w:eastAsia="等线" w:ascii="Arial" w:cs="Arial" w:hAnsi="Arial"/>
          <w:sz w:val="22"/>
        </w:rPr>
        <w:t>24:16</w:t>
      </w:r>
      <w:r>
        <w:rPr>
          <w:rFonts w:eastAsia="等线" w:ascii="Arial" w:cs="Arial" w:hAnsi="Arial"/>
          <w:b w:val="true"/>
          <w:sz w:val="22"/>
        </w:rPr>
        <w:t xml:space="preserve">  求积公式代数精度的定义与判定方法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讲解求积公式的M次代数精度定义，即f(x)取1到x^m时积分等式成立，取x^(m+1)时不成立，还介绍了利用代数精度构造求积公式的方法，说明判断代数精度需先确定使等式成立的最高m，再验证x^(m+1)不等才能确定精度为m，提及对应作业有相关习题。</w:t>
            </w:r>
          </w:p>
        </w:tc>
      </w:tr>
    </w:tbl>
    <w:p>
      <w:pPr>
        <w:spacing w:before="120" w:after="120" w:line="288" w:lineRule="auto"/>
        <w:ind w:left="0"/>
        <w:jc w:val="left"/>
      </w:pPr>
      <w:r>
        <w:rPr>
          <w:rFonts w:eastAsia="等线" w:ascii="Arial" w:cs="Arial" w:hAnsi="Arial"/>
          <w:sz w:val="22"/>
        </w:rPr>
        <w:t>27:16</w:t>
      </w:r>
      <w:r>
        <w:rPr>
          <w:rFonts w:eastAsia="等线" w:ascii="Arial" w:cs="Arial" w:hAnsi="Arial"/>
          <w:b w:val="true"/>
          <w:sz w:val="22"/>
        </w:rPr>
        <w:t xml:space="preserve">  差值型求积公式的定义与代数精度说明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重点讲解差值型求积公式，明确其核心逻辑是给定n+1个节点构造差值多项式，对该多项式积分即可得到对应求积公式，同时说明该求积公式中的系数ak可用lk的积分表示，且该公式至少具备n次代数精度，即f(x)取1到x的n次方代入公式时，左右两边结果相等。</w:t>
            </w:r>
          </w:p>
        </w:tc>
      </w:tr>
    </w:tbl>
    <w:p>
      <w:pPr>
        <w:spacing w:before="120" w:after="120" w:line="288" w:lineRule="auto"/>
        <w:ind w:left="0"/>
        <w:jc w:val="left"/>
      </w:pPr>
      <w:r>
        <w:rPr>
          <w:rFonts w:eastAsia="等线" w:ascii="Arial" w:cs="Arial" w:hAnsi="Arial"/>
          <w:sz w:val="22"/>
        </w:rPr>
        <w:t>28:03</w:t>
      </w:r>
      <w:r>
        <w:rPr>
          <w:rFonts w:eastAsia="等线" w:ascii="Arial" w:cs="Arial" w:hAnsi="Arial"/>
          <w:b w:val="true"/>
          <w:sz w:val="22"/>
        </w:rPr>
        <w:t xml:space="preserve">  牛顿科特斯相关求积公式考试要点讲解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牛顿-科特斯公式相关考点展开，指出无需记忆整体推导表达式，仅需掌握梯形公式、Simpson公式及对应余项，重点要求记住复化梯形公式，提醒考试不要丢公式里的系数2，记不住可通过拆分区间画小梯形图推导系数，复化辛普森公式本次考试无需识记，相关习题此前已练习过。</w:t>
            </w:r>
          </w:p>
        </w:tc>
      </w:tr>
    </w:tbl>
    <w:p>
      <w:pPr>
        <w:spacing w:before="120" w:after="120" w:line="288" w:lineRule="auto"/>
        <w:ind w:left="0"/>
        <w:jc w:val="left"/>
      </w:pPr>
      <w:r>
        <w:rPr>
          <w:rFonts w:eastAsia="等线" w:ascii="Arial" w:cs="Arial" w:hAnsi="Arial"/>
          <w:sz w:val="22"/>
        </w:rPr>
        <w:t>31:50</w:t>
      </w:r>
      <w:r>
        <w:rPr>
          <w:rFonts w:eastAsia="等线" w:ascii="Arial" w:cs="Arial" w:hAnsi="Arial"/>
          <w:b w:val="true"/>
          <w:sz w:val="22"/>
        </w:rPr>
        <w:t xml:space="preserve">  高斯公式与牛顿科特斯公式的对比讲解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讲解高斯求积公式：它属于机械求积公式，将求积节点与系数同时设为共2n+2个待定量，可使公式达到最高的2n+1次代数精度，高斯节点是区间上n+1次正交多项式的根，可用勒让德多项式构造，同时对比了高斯公式与牛顿-科特斯公式的异同，二者同属机械求积，前者节点非均匀、代数精度更高，后者节点均匀，最高仅n+1次代数精度。</w:t>
            </w:r>
          </w:p>
        </w:tc>
      </w:tr>
    </w:tbl>
    <w:p>
      <w:pPr>
        <w:spacing w:before="120" w:after="120" w:line="288" w:lineRule="auto"/>
        <w:ind w:left="0"/>
        <w:jc w:val="left"/>
      </w:pPr>
      <w:r>
        <w:rPr>
          <w:rFonts w:eastAsia="等线" w:ascii="Arial" w:cs="Arial" w:hAnsi="Arial"/>
          <w:sz w:val="22"/>
        </w:rPr>
        <w:t>35:07</w:t>
      </w:r>
      <w:r>
        <w:rPr>
          <w:rFonts w:eastAsia="等线" w:ascii="Arial" w:cs="Arial" w:hAnsi="Arial"/>
          <w:b w:val="true"/>
          <w:sz w:val="22"/>
        </w:rPr>
        <w:t xml:space="preserve">  常微分方程数值解法核心思路梳理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一阶常微分方程初值问题的数值解法展开，明确这类问题的定义为y'=f(x,y)且已知y(x0)=y0，核心思路是不对连续解求解，转而在给定区间的离散节点上计算近似函数值，将原问题转换为定积分计算问题，还提及覆盖欧拉法、龙格库塔法，截断误差、算法精度判断，单步法收敛性与稳定性判断等内容，高阶常微分方程组未展开讲解。</w:t>
            </w:r>
          </w:p>
        </w:tc>
      </w:tr>
    </w:tbl>
    <w:p>
      <w:pPr>
        <w:spacing w:before="120" w:after="120" w:line="288" w:lineRule="auto"/>
        <w:ind w:left="0"/>
        <w:jc w:val="left"/>
      </w:pPr>
      <w:r>
        <w:rPr>
          <w:rFonts w:eastAsia="等线" w:ascii="Arial" w:cs="Arial" w:hAnsi="Arial"/>
          <w:sz w:val="22"/>
        </w:rPr>
        <w:t>38:40</w:t>
      </w:r>
      <w:r>
        <w:rPr>
          <w:rFonts w:eastAsia="等线" w:ascii="Arial" w:cs="Arial" w:hAnsi="Arial"/>
          <w:b w:val="true"/>
          <w:sz w:val="22"/>
        </w:rPr>
        <w:t xml:space="preserve">  介绍多种不同形式的欧拉计算方法公式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不同计算方法衍生出的各类欧拉法展开讲解，介绍了显式欧拉、隐式欧拉、梯形欧拉三类欧拉公式，说明将显式欧拉与梯形欧拉相结合可得到改进欧拉法，同时提及上述欧拉相关公式均可供使用，其中显式欧拉很容易处理，隐式欧拉也可正常使用。</w:t>
            </w:r>
          </w:p>
        </w:tc>
      </w:tr>
    </w:tbl>
    <w:p>
      <w:pPr>
        <w:spacing w:before="120" w:after="120" w:line="288" w:lineRule="auto"/>
        <w:ind w:left="0"/>
        <w:jc w:val="left"/>
      </w:pPr>
      <w:r>
        <w:rPr>
          <w:rFonts w:eastAsia="等线" w:ascii="Arial" w:cs="Arial" w:hAnsi="Arial"/>
          <w:sz w:val="22"/>
        </w:rPr>
        <w:t>39:21</w:t>
      </w:r>
      <w:r>
        <w:rPr>
          <w:rFonts w:eastAsia="等线" w:ascii="Arial" w:cs="Arial" w:hAnsi="Arial"/>
          <w:b w:val="true"/>
          <w:sz w:val="22"/>
        </w:rPr>
        <w:t xml:space="preserve">  龙格库塔方法介绍及相关应用说明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指出此前相关计算公式精度仅为2、精度不高，介绍用于提升精度的龙格库塔方法的核心思路是借助多个点预测逼近精确值，明确不要求记忆龙格库塔的各阶公式形式，考试不会涉及这类内容，实际应用中可直接使用MATLAB内的ODE系列标准商业工具求解相关问题。</w:t>
            </w:r>
          </w:p>
        </w:tc>
      </w:tr>
    </w:tbl>
    <w:p>
      <w:pPr>
        <w:spacing w:before="120" w:after="120" w:line="288" w:lineRule="auto"/>
        <w:ind w:left="0"/>
        <w:jc w:val="left"/>
      </w:pPr>
      <w:r>
        <w:rPr>
          <w:rFonts w:eastAsia="等线" w:ascii="Arial" w:cs="Arial" w:hAnsi="Arial"/>
          <w:sz w:val="22"/>
        </w:rPr>
        <w:t>40:40</w:t>
      </w:r>
      <w:r>
        <w:rPr>
          <w:rFonts w:eastAsia="等线" w:ascii="Arial" w:cs="Arial" w:hAnsi="Arial"/>
          <w:b w:val="true"/>
          <w:sz w:val="22"/>
        </w:rPr>
        <w:t xml:space="preserve">  数值算法的局部截断误差与精度说明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数值算法的局部截断误差相关内容展开，明确局部截断误差的定义为前一步Ym为精确值时，计算得到的第m+1步计算值y_{m+1}与精确值y(x_{m+1})的误差，说明若局部截断误差为O(h的p+1次方)则算法精度为p阶，通过泰勒公式展开可推得欧拉法精度为一阶，梯形欧拉法精度为二阶。</w:t>
            </w:r>
          </w:p>
        </w:tc>
      </w:tr>
    </w:tbl>
    <w:p>
      <w:pPr>
        <w:spacing w:before="120" w:after="120" w:line="288" w:lineRule="auto"/>
        <w:ind w:left="0"/>
        <w:jc w:val="left"/>
      </w:pPr>
      <w:r>
        <w:rPr>
          <w:rFonts w:eastAsia="等线" w:ascii="Arial" w:cs="Arial" w:hAnsi="Arial"/>
          <w:sz w:val="22"/>
        </w:rPr>
        <w:t>41:47</w:t>
      </w:r>
      <w:r>
        <w:rPr>
          <w:rFonts w:eastAsia="等线" w:ascii="Arial" w:cs="Arial" w:hAnsi="Arial"/>
          <w:b w:val="true"/>
          <w:sz w:val="22"/>
        </w:rPr>
        <w:t xml:space="preserve">  单步法的收敛性判定相关内容讲解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单步法（含欧拉法、龙格-库塔法）的收敛性展开，明确收敛定义为步长h趋于0、步数m趋于无穷时，计算值ym收敛到真实值y(xm)，指出单步收敛等价于整体截断误差趋于0，给出收敛判定定理：增量函数满足关于y的Lipschitz条件且初始值准确时算法收敛，最后提及布置作业后安排休息。</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spacing w:before="120" w:after="120" w:line="288" w:lineRule="auto"/>
        <w:ind w:left="0"/>
        <w:jc w:val="left"/>
      </w:pPr>
      <w:r>
        <w:rPr>
          <w:rFonts w:eastAsia="等线" w:ascii="Arial" w:cs="Arial" w:hAnsi="Arial"/>
          <w:sz w:val="22"/>
        </w:rPr>
        <w:t>本次会议为分享类会议，无关键决策。会议关键内容总结如下：</w:t>
      </w:r>
    </w:p>
    <w:p>
      <w:pPr>
        <w:numPr>
          <w:numId w:val="52"/>
        </w:numPr>
        <w:spacing w:before="120" w:after="120" w:line="288" w:lineRule="auto"/>
        <w:ind w:left="0"/>
        <w:jc w:val="left"/>
      </w:pPr>
      <w:r>
        <w:rPr>
          <w:rFonts w:eastAsia="等线" w:ascii="Arial" w:cs="Arial" w:hAnsi="Arial"/>
          <w:b w:val="true"/>
          <w:sz w:val="22"/>
        </w:rPr>
        <w:t>数值分析课程知识点串讲</w:t>
      </w:r>
      <w:r>
        <w:rPr>
          <w:rFonts w:eastAsia="等线" w:ascii="Arial" w:cs="Arial" w:hAnsi="Arial"/>
          <w:sz w:val="22"/>
        </w:rPr>
        <w:t>：讲解差商定义与性质、牛顿插值公式、埃尔米特插值的考察范围，明确一致逼近内容不做要求，仅需掌握均方逼近下的最佳平方逼近、离散数据的最小二乘法拟合。</w:t>
      </w:r>
    </w:p>
    <w:p>
      <w:pPr>
        <w:numPr>
          <w:numId w:val="53"/>
        </w:numPr>
        <w:spacing w:before="120" w:after="120" w:line="288" w:lineRule="auto"/>
        <w:ind w:left="0"/>
        <w:jc w:val="left"/>
      </w:pPr>
      <w:r>
        <w:rPr>
          <w:rFonts w:eastAsia="等线" w:ascii="Arial" w:cs="Arial" w:hAnsi="Arial"/>
          <w:b w:val="true"/>
          <w:sz w:val="22"/>
        </w:rPr>
        <w:t>考试范围与要求说明</w:t>
      </w:r>
      <w:r>
        <w:rPr>
          <w:rFonts w:eastAsia="等线" w:ascii="Arial" w:cs="Arial" w:hAnsi="Arial"/>
          <w:sz w:val="22"/>
        </w:rPr>
        <w:t>：明确数值微分、复化辛普森公式、高斯公式推导、高阶龙格-库塔公式等内容不做考察，要求掌握代数精度判断方法、复化梯形公式及余项，提醒考生注意复化梯形公式中系数2的易错点。</w:t>
      </w:r>
    </w:p>
    <w:p>
      <w:pPr>
        <w:numPr>
          <w:numId w:val="54"/>
        </w:numPr>
        <w:spacing w:before="120" w:after="120" w:line="288" w:lineRule="auto"/>
        <w:ind w:left="0"/>
        <w:jc w:val="left"/>
      </w:pPr>
      <w:r>
        <w:rPr>
          <w:rFonts w:eastAsia="等线" w:ascii="Arial" w:cs="Arial" w:hAnsi="Arial"/>
          <w:b w:val="true"/>
          <w:sz w:val="22"/>
        </w:rPr>
        <w:t>常微分方程数值解法讲解</w:t>
      </w:r>
      <w:r>
        <w:rPr>
          <w:rFonts w:eastAsia="等线" w:ascii="Arial" w:cs="Arial" w:hAnsi="Arial"/>
          <w:sz w:val="22"/>
        </w:rPr>
        <w:t>：介绍欧拉法、龙格-库塔方法的核心思路，说明局部截断误差、算法精度、单步法收敛性的相关概念，明确相关公式无需死记硬背。</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「但埃尔米特插值里面具体的一些硬的那些公式啊，就怎么推导出来的后面的公式啊，我们就不要求了，因为这个比较复杂，考试的时候也没必要去记这些。」</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明确了埃尔米特插值的考察边界，为学生备考划定了清晰的范围，避免无用的记忆负担。</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「但就是固化的梯形公式，有时候大家这里有个2别丢了，忘了，这有时候好多人，有时候考到考试的时候竟然这个2就丢了，那我说你错嘛，整个错嘛，也觉得挺可惜的。」</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点出了高频易错点，对考生的应试注意事项有明确的提醒作用。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「考试的时候肯定不会去考这些东西，因为这些公式，没必要去记这些公式。」</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直接打消了学生对复杂公式记忆的顾虑，传递了课程重思路轻死记硬背的考察导向。</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47651">
    <w:lvl>
      <w:numFmt w:val="bullet"/>
      <w:suff w:val="tab"/>
      <w:lvlText w:val="•"/>
      <w:rPr>
        <w:color w:val="3370ff"/>
      </w:rPr>
    </w:lvl>
  </w:abstractNum>
  <w:abstractNum w:abstractNumId="747652">
    <w:lvl>
      <w:numFmt w:val="bullet"/>
      <w:suff w:val="tab"/>
      <w:lvlText w:val="￮"/>
      <w:rPr>
        <w:color w:val="3370ff"/>
      </w:rPr>
    </w:lvl>
  </w:abstractNum>
  <w:abstractNum w:abstractNumId="747653">
    <w:lvl>
      <w:numFmt w:val="bullet"/>
      <w:suff w:val="tab"/>
      <w:lvlText w:val="▪"/>
      <w:rPr>
        <w:color w:val="3370ff"/>
        <w:sz w:val="11"/>
      </w:rPr>
    </w:lvl>
  </w:abstractNum>
  <w:abstractNum w:abstractNumId="747654">
    <w:lvl>
      <w:numFmt w:val="bullet"/>
      <w:suff w:val="tab"/>
      <w:lvlText w:val="▪"/>
      <w:rPr>
        <w:color w:val="3370ff"/>
        <w:sz w:val="11"/>
      </w:rPr>
    </w:lvl>
  </w:abstractNum>
  <w:abstractNum w:abstractNumId="747655">
    <w:lvl>
      <w:numFmt w:val="bullet"/>
      <w:suff w:val="tab"/>
      <w:lvlText w:val="▪"/>
      <w:rPr>
        <w:color w:val="3370ff"/>
        <w:sz w:val="11"/>
      </w:rPr>
    </w:lvl>
  </w:abstractNum>
  <w:abstractNum w:abstractNumId="747656">
    <w:lvl>
      <w:numFmt w:val="bullet"/>
      <w:suff w:val="tab"/>
      <w:lvlText w:val="￮"/>
      <w:rPr>
        <w:color w:val="3370ff"/>
      </w:rPr>
    </w:lvl>
  </w:abstractNum>
  <w:abstractNum w:abstractNumId="747657">
    <w:lvl>
      <w:numFmt w:val="bullet"/>
      <w:suff w:val="tab"/>
      <w:lvlText w:val="▪"/>
      <w:rPr>
        <w:color w:val="3370ff"/>
        <w:sz w:val="11"/>
      </w:rPr>
    </w:lvl>
  </w:abstractNum>
  <w:abstractNum w:abstractNumId="747658">
    <w:lvl>
      <w:numFmt w:val="bullet"/>
      <w:suff w:val="tab"/>
      <w:lvlText w:val="▪"/>
      <w:rPr>
        <w:color w:val="3370ff"/>
        <w:sz w:val="11"/>
      </w:rPr>
    </w:lvl>
  </w:abstractNum>
  <w:abstractNum w:abstractNumId="747659">
    <w:lvl>
      <w:numFmt w:val="bullet"/>
      <w:suff w:val="tab"/>
      <w:lvlText w:val="▪"/>
      <w:rPr>
        <w:color w:val="3370ff"/>
        <w:sz w:val="11"/>
      </w:rPr>
    </w:lvl>
  </w:abstractNum>
  <w:abstractNum w:abstractNumId="747660">
    <w:lvl>
      <w:numFmt w:val="bullet"/>
      <w:suff w:val="tab"/>
      <w:lvlText w:val="￮"/>
      <w:rPr>
        <w:color w:val="3370ff"/>
      </w:rPr>
    </w:lvl>
  </w:abstractNum>
  <w:abstractNum w:abstractNumId="747661">
    <w:lvl>
      <w:numFmt w:val="bullet"/>
      <w:suff w:val="tab"/>
      <w:lvlText w:val="▪"/>
      <w:rPr>
        <w:color w:val="3370ff"/>
        <w:sz w:val="11"/>
      </w:rPr>
    </w:lvl>
  </w:abstractNum>
  <w:abstractNum w:abstractNumId="747662">
    <w:lvl>
      <w:numFmt w:val="bullet"/>
      <w:suff w:val="tab"/>
      <w:lvlText w:val="▪"/>
      <w:rPr>
        <w:color w:val="3370ff"/>
        <w:sz w:val="11"/>
      </w:rPr>
    </w:lvl>
  </w:abstractNum>
  <w:abstractNum w:abstractNumId="747663">
    <w:lvl>
      <w:numFmt w:val="bullet"/>
      <w:suff w:val="tab"/>
      <w:lvlText w:val="▪"/>
      <w:rPr>
        <w:color w:val="3370ff"/>
        <w:sz w:val="11"/>
      </w:rPr>
    </w:lvl>
  </w:abstractNum>
  <w:abstractNum w:abstractNumId="747664">
    <w:lvl>
      <w:numFmt w:val="bullet"/>
      <w:suff w:val="tab"/>
      <w:lvlText w:val="•"/>
      <w:rPr>
        <w:color w:val="3370ff"/>
      </w:rPr>
    </w:lvl>
  </w:abstractNum>
  <w:abstractNum w:abstractNumId="747665">
    <w:lvl>
      <w:numFmt w:val="bullet"/>
      <w:suff w:val="tab"/>
      <w:lvlText w:val="￮"/>
      <w:rPr>
        <w:color w:val="3370ff"/>
      </w:rPr>
    </w:lvl>
  </w:abstractNum>
  <w:abstractNum w:abstractNumId="747666">
    <w:lvl>
      <w:numFmt w:val="bullet"/>
      <w:suff w:val="tab"/>
      <w:lvlText w:val="▪"/>
      <w:rPr>
        <w:color w:val="3370ff"/>
        <w:sz w:val="11"/>
      </w:rPr>
    </w:lvl>
  </w:abstractNum>
  <w:abstractNum w:abstractNumId="747667">
    <w:lvl>
      <w:numFmt w:val="bullet"/>
      <w:suff w:val="tab"/>
      <w:lvlText w:val="▪"/>
      <w:rPr>
        <w:color w:val="3370ff"/>
        <w:sz w:val="11"/>
      </w:rPr>
    </w:lvl>
  </w:abstractNum>
  <w:abstractNum w:abstractNumId="747668">
    <w:lvl>
      <w:numFmt w:val="bullet"/>
      <w:suff w:val="tab"/>
      <w:lvlText w:val="￮"/>
      <w:rPr>
        <w:color w:val="3370ff"/>
      </w:rPr>
    </w:lvl>
  </w:abstractNum>
  <w:abstractNum w:abstractNumId="747669">
    <w:lvl>
      <w:numFmt w:val="bullet"/>
      <w:suff w:val="tab"/>
      <w:lvlText w:val="▪"/>
      <w:rPr>
        <w:color w:val="3370ff"/>
        <w:sz w:val="11"/>
      </w:rPr>
    </w:lvl>
  </w:abstractNum>
  <w:abstractNum w:abstractNumId="747670">
    <w:lvl>
      <w:numFmt w:val="bullet"/>
      <w:suff w:val="tab"/>
      <w:lvlText w:val="▪"/>
      <w:rPr>
        <w:color w:val="3370ff"/>
        <w:sz w:val="11"/>
      </w:rPr>
    </w:lvl>
  </w:abstractNum>
  <w:abstractNum w:abstractNumId="747671">
    <w:lvl>
      <w:numFmt w:val="bullet"/>
      <w:suff w:val="tab"/>
      <w:lvlText w:val="▪"/>
      <w:rPr>
        <w:color w:val="3370ff"/>
        <w:sz w:val="11"/>
      </w:rPr>
    </w:lvl>
  </w:abstractNum>
  <w:abstractNum w:abstractNumId="747672">
    <w:lvl>
      <w:numFmt w:val="bullet"/>
      <w:suff w:val="tab"/>
      <w:lvlText w:val="￮"/>
      <w:rPr>
        <w:color w:val="3370ff"/>
      </w:rPr>
    </w:lvl>
  </w:abstractNum>
  <w:abstractNum w:abstractNumId="747673">
    <w:lvl>
      <w:numFmt w:val="bullet"/>
      <w:suff w:val="tab"/>
      <w:lvlText w:val="▪"/>
      <w:rPr>
        <w:color w:val="3370ff"/>
        <w:sz w:val="11"/>
      </w:rPr>
    </w:lvl>
  </w:abstractNum>
  <w:abstractNum w:abstractNumId="747674">
    <w:lvl>
      <w:numFmt w:val="bullet"/>
      <w:suff w:val="tab"/>
      <w:lvlText w:val="▪"/>
      <w:rPr>
        <w:color w:val="3370ff"/>
        <w:sz w:val="11"/>
      </w:rPr>
    </w:lvl>
  </w:abstractNum>
  <w:abstractNum w:abstractNumId="747675">
    <w:lvl>
      <w:numFmt w:val="bullet"/>
      <w:suff w:val="tab"/>
      <w:lvlText w:val="▪"/>
      <w:rPr>
        <w:color w:val="3370ff"/>
        <w:sz w:val="11"/>
      </w:rPr>
    </w:lvl>
  </w:abstractNum>
  <w:abstractNum w:abstractNumId="747676">
    <w:lvl>
      <w:numFmt w:val="bullet"/>
      <w:suff w:val="tab"/>
      <w:lvlText w:val="▪"/>
      <w:rPr>
        <w:color w:val="3370ff"/>
        <w:sz w:val="11"/>
      </w:rPr>
    </w:lvl>
  </w:abstractNum>
  <w:abstractNum w:abstractNumId="747677">
    <w:lvl>
      <w:numFmt w:val="bullet"/>
      <w:suff w:val="tab"/>
      <w:lvlText w:val="•"/>
      <w:rPr>
        <w:color w:val="3370ff"/>
      </w:rPr>
    </w:lvl>
  </w:abstractNum>
  <w:abstractNum w:abstractNumId="747678">
    <w:lvl>
      <w:numFmt w:val="bullet"/>
      <w:suff w:val="tab"/>
      <w:lvlText w:val="￮"/>
      <w:rPr>
        <w:color w:val="3370ff"/>
      </w:rPr>
    </w:lvl>
  </w:abstractNum>
  <w:abstractNum w:abstractNumId="747679">
    <w:lvl>
      <w:numFmt w:val="bullet"/>
      <w:suff w:val="tab"/>
      <w:lvlText w:val="▪"/>
      <w:rPr>
        <w:color w:val="3370ff"/>
        <w:sz w:val="11"/>
      </w:rPr>
    </w:lvl>
  </w:abstractNum>
  <w:abstractNum w:abstractNumId="747680">
    <w:lvl>
      <w:numFmt w:val="bullet"/>
      <w:suff w:val="tab"/>
      <w:lvlText w:val="▪"/>
      <w:rPr>
        <w:color w:val="3370ff"/>
        <w:sz w:val="11"/>
      </w:rPr>
    </w:lvl>
  </w:abstractNum>
  <w:abstractNum w:abstractNumId="747681">
    <w:lvl>
      <w:numFmt w:val="bullet"/>
      <w:suff w:val="tab"/>
      <w:lvlText w:val="▪"/>
      <w:rPr>
        <w:color w:val="3370ff"/>
        <w:sz w:val="11"/>
      </w:rPr>
    </w:lvl>
  </w:abstractNum>
  <w:abstractNum w:abstractNumId="747682">
    <w:lvl>
      <w:numFmt w:val="bullet"/>
      <w:suff w:val="tab"/>
      <w:lvlText w:val="￮"/>
      <w:rPr>
        <w:color w:val="3370ff"/>
      </w:rPr>
    </w:lvl>
  </w:abstractNum>
  <w:abstractNum w:abstractNumId="747683">
    <w:lvl>
      <w:numFmt w:val="bullet"/>
      <w:suff w:val="tab"/>
      <w:lvlText w:val="▪"/>
      <w:rPr>
        <w:color w:val="3370ff"/>
        <w:sz w:val="11"/>
      </w:rPr>
    </w:lvl>
  </w:abstractNum>
  <w:abstractNum w:abstractNumId="747684">
    <w:lvl>
      <w:numFmt w:val="bullet"/>
      <w:suff w:val="tab"/>
      <w:lvlText w:val="▪"/>
      <w:rPr>
        <w:color w:val="3370ff"/>
        <w:sz w:val="11"/>
      </w:rPr>
    </w:lvl>
  </w:abstractNum>
  <w:abstractNum w:abstractNumId="747685">
    <w:lvl>
      <w:numFmt w:val="bullet"/>
      <w:suff w:val="tab"/>
      <w:lvlText w:val="▪"/>
      <w:rPr>
        <w:color w:val="3370ff"/>
        <w:sz w:val="11"/>
      </w:rPr>
    </w:lvl>
  </w:abstractNum>
  <w:abstractNum w:abstractNumId="747686">
    <w:lvl>
      <w:numFmt w:val="bullet"/>
      <w:suff w:val="tab"/>
      <w:lvlText w:val="▪"/>
      <w:rPr>
        <w:color w:val="3370ff"/>
        <w:sz w:val="11"/>
      </w:rPr>
    </w:lvl>
  </w:abstractNum>
  <w:abstractNum w:abstractNumId="747687">
    <w:lvl>
      <w:numFmt w:val="bullet"/>
      <w:suff w:val="tab"/>
      <w:lvlText w:val="￮"/>
      <w:rPr>
        <w:color w:val="3370ff"/>
      </w:rPr>
    </w:lvl>
  </w:abstractNum>
  <w:abstractNum w:abstractNumId="747688">
    <w:lvl>
      <w:numFmt w:val="bullet"/>
      <w:suff w:val="tab"/>
      <w:lvlText w:val="▪"/>
      <w:rPr>
        <w:color w:val="3370ff"/>
        <w:sz w:val="11"/>
      </w:rPr>
    </w:lvl>
  </w:abstractNum>
  <w:abstractNum w:abstractNumId="747689">
    <w:lvl>
      <w:numFmt w:val="bullet"/>
      <w:suff w:val="tab"/>
      <w:lvlText w:val="▪"/>
      <w:rPr>
        <w:color w:val="3370ff"/>
        <w:sz w:val="11"/>
      </w:rPr>
    </w:lvl>
  </w:abstractNum>
  <w:abstractNum w:abstractNumId="747690">
    <w:lvl>
      <w:numFmt w:val="bullet"/>
      <w:suff w:val="tab"/>
      <w:lvlText w:val="▪"/>
      <w:rPr>
        <w:color w:val="3370ff"/>
        <w:sz w:val="11"/>
      </w:rPr>
    </w:lvl>
  </w:abstractNum>
  <w:abstractNum w:abstractNumId="747691">
    <w:lvl>
      <w:numFmt w:val="bullet"/>
      <w:suff w:val="tab"/>
      <w:lvlText w:val="•"/>
      <w:rPr>
        <w:color w:val="3370ff"/>
      </w:rPr>
    </w:lvl>
  </w:abstractNum>
  <w:abstractNum w:abstractNumId="747692">
    <w:lvl>
      <w:numFmt w:val="bullet"/>
      <w:suff w:val="tab"/>
      <w:lvlText w:val="￮"/>
      <w:rPr>
        <w:color w:val="3370ff"/>
      </w:rPr>
    </w:lvl>
  </w:abstractNum>
  <w:abstractNum w:abstractNumId="747693">
    <w:lvl>
      <w:numFmt w:val="bullet"/>
      <w:suff w:val="tab"/>
      <w:lvlText w:val="▪"/>
      <w:rPr>
        <w:color w:val="3370ff"/>
        <w:sz w:val="11"/>
      </w:rPr>
    </w:lvl>
  </w:abstractNum>
  <w:abstractNum w:abstractNumId="747694">
    <w:lvl>
      <w:numFmt w:val="bullet"/>
      <w:suff w:val="tab"/>
      <w:lvlText w:val="▪"/>
      <w:rPr>
        <w:color w:val="3370ff"/>
        <w:sz w:val="11"/>
      </w:rPr>
    </w:lvl>
  </w:abstractNum>
  <w:abstractNum w:abstractNumId="747695">
    <w:lvl>
      <w:numFmt w:val="bullet"/>
      <w:suff w:val="tab"/>
      <w:lvlText w:val="￮"/>
      <w:rPr>
        <w:color w:val="3370ff"/>
      </w:rPr>
    </w:lvl>
  </w:abstractNum>
  <w:abstractNum w:abstractNumId="747696">
    <w:lvl>
      <w:numFmt w:val="bullet"/>
      <w:suff w:val="tab"/>
      <w:lvlText w:val="▪"/>
      <w:rPr>
        <w:color w:val="3370ff"/>
        <w:sz w:val="11"/>
      </w:rPr>
    </w:lvl>
  </w:abstractNum>
  <w:abstractNum w:abstractNumId="747697">
    <w:lvl>
      <w:numFmt w:val="bullet"/>
      <w:suff w:val="tab"/>
      <w:lvlText w:val="▪"/>
      <w:rPr>
        <w:color w:val="3370ff"/>
        <w:sz w:val="11"/>
      </w:rPr>
    </w:lvl>
  </w:abstractNum>
  <w:abstractNum w:abstractNumId="747698">
    <w:lvl>
      <w:numFmt w:val="bullet"/>
      <w:suff w:val="tab"/>
      <w:lvlText w:val="￮"/>
      <w:rPr>
        <w:color w:val="3370ff"/>
      </w:rPr>
    </w:lvl>
  </w:abstractNum>
  <w:abstractNum w:abstractNumId="747699">
    <w:lvl>
      <w:numFmt w:val="bullet"/>
      <w:suff w:val="tab"/>
      <w:lvlText w:val="▪"/>
      <w:rPr>
        <w:color w:val="3370ff"/>
        <w:sz w:val="11"/>
      </w:rPr>
    </w:lvl>
  </w:abstractNum>
  <w:abstractNum w:abstractNumId="747700">
    <w:lvl>
      <w:numFmt w:val="bullet"/>
      <w:suff w:val="tab"/>
      <w:lvlText w:val="▪"/>
      <w:rPr>
        <w:color w:val="3370ff"/>
        <w:sz w:val="11"/>
      </w:rPr>
    </w:lvl>
  </w:abstractNum>
  <w:abstractNum w:abstractNumId="747701">
    <w:lvl>
      <w:numFmt w:val="bullet"/>
      <w:suff w:val="tab"/>
      <w:lvlText w:val="▪"/>
      <w:rPr>
        <w:color w:val="3370ff"/>
        <w:sz w:val="11"/>
      </w:rPr>
    </w:lvl>
  </w:abstractNum>
  <w:abstractNum w:abstractNumId="747702">
    <w:lvl>
      <w:numFmt w:val="bullet"/>
      <w:suff w:val="tab"/>
      <w:lvlText w:val="•"/>
      <w:rPr>
        <w:color w:val="3370ff"/>
      </w:rPr>
    </w:lvl>
  </w:abstractNum>
  <w:abstractNum w:abstractNumId="747703">
    <w:lvl>
      <w:numFmt w:val="bullet"/>
      <w:suff w:val="tab"/>
      <w:lvlText w:val="•"/>
      <w:rPr>
        <w:color w:val="3370ff"/>
      </w:rPr>
    </w:lvl>
  </w:abstractNum>
  <w:abstractNum w:abstractNumId="747704">
    <w:lvl>
      <w:numFmt w:val="bullet"/>
      <w:suff w:val="tab"/>
      <w:lvlText w:val="•"/>
      <w:rPr>
        <w:color w:val="3370ff"/>
      </w:rPr>
    </w:lvl>
  </w:abstractNum>
  <w:num w:numId="1">
    <w:abstractNumId w:val="747651"/>
  </w:num>
  <w:num w:numId="2">
    <w:abstractNumId w:val="747652"/>
  </w:num>
  <w:num w:numId="3">
    <w:abstractNumId w:val="747653"/>
  </w:num>
  <w:num w:numId="4">
    <w:abstractNumId w:val="747654"/>
  </w:num>
  <w:num w:numId="5">
    <w:abstractNumId w:val="747655"/>
  </w:num>
  <w:num w:numId="6">
    <w:abstractNumId w:val="747656"/>
  </w:num>
  <w:num w:numId="7">
    <w:abstractNumId w:val="747657"/>
  </w:num>
  <w:num w:numId="8">
    <w:abstractNumId w:val="747658"/>
  </w:num>
  <w:num w:numId="9">
    <w:abstractNumId w:val="747659"/>
  </w:num>
  <w:num w:numId="10">
    <w:abstractNumId w:val="747660"/>
  </w:num>
  <w:num w:numId="11">
    <w:abstractNumId w:val="747661"/>
  </w:num>
  <w:num w:numId="12">
    <w:abstractNumId w:val="747662"/>
  </w:num>
  <w:num w:numId="13">
    <w:abstractNumId w:val="747663"/>
  </w:num>
  <w:num w:numId="14">
    <w:abstractNumId w:val="747664"/>
  </w:num>
  <w:num w:numId="15">
    <w:abstractNumId w:val="747665"/>
  </w:num>
  <w:num w:numId="16">
    <w:abstractNumId w:val="747666"/>
  </w:num>
  <w:num w:numId="17">
    <w:abstractNumId w:val="747667"/>
  </w:num>
  <w:num w:numId="18">
    <w:abstractNumId w:val="747668"/>
  </w:num>
  <w:num w:numId="19">
    <w:abstractNumId w:val="747669"/>
  </w:num>
  <w:num w:numId="20">
    <w:abstractNumId w:val="747670"/>
  </w:num>
  <w:num w:numId="21">
    <w:abstractNumId w:val="747671"/>
  </w:num>
  <w:num w:numId="22">
    <w:abstractNumId w:val="747672"/>
  </w:num>
  <w:num w:numId="23">
    <w:abstractNumId w:val="747673"/>
  </w:num>
  <w:num w:numId="24">
    <w:abstractNumId w:val="747674"/>
  </w:num>
  <w:num w:numId="25">
    <w:abstractNumId w:val="747675"/>
  </w:num>
  <w:num w:numId="26">
    <w:abstractNumId w:val="747676"/>
  </w:num>
  <w:num w:numId="27">
    <w:abstractNumId w:val="747677"/>
  </w:num>
  <w:num w:numId="28">
    <w:abstractNumId w:val="747678"/>
  </w:num>
  <w:num w:numId="29">
    <w:abstractNumId w:val="747679"/>
  </w:num>
  <w:num w:numId="30">
    <w:abstractNumId w:val="747680"/>
  </w:num>
  <w:num w:numId="31">
    <w:abstractNumId w:val="747681"/>
  </w:num>
  <w:num w:numId="32">
    <w:abstractNumId w:val="747682"/>
  </w:num>
  <w:num w:numId="33">
    <w:abstractNumId w:val="747683"/>
  </w:num>
  <w:num w:numId="34">
    <w:abstractNumId w:val="747684"/>
  </w:num>
  <w:num w:numId="35">
    <w:abstractNumId w:val="747685"/>
  </w:num>
  <w:num w:numId="36">
    <w:abstractNumId w:val="747686"/>
  </w:num>
  <w:num w:numId="37">
    <w:abstractNumId w:val="747687"/>
  </w:num>
  <w:num w:numId="38">
    <w:abstractNumId w:val="747688"/>
  </w:num>
  <w:num w:numId="39">
    <w:abstractNumId w:val="747689"/>
  </w:num>
  <w:num w:numId="40">
    <w:abstractNumId w:val="747690"/>
  </w:num>
  <w:num w:numId="41">
    <w:abstractNumId w:val="747691"/>
  </w:num>
  <w:num w:numId="42">
    <w:abstractNumId w:val="747692"/>
  </w:num>
  <w:num w:numId="43">
    <w:abstractNumId w:val="747693"/>
  </w:num>
  <w:num w:numId="44">
    <w:abstractNumId w:val="747694"/>
  </w:num>
  <w:num w:numId="45">
    <w:abstractNumId w:val="747695"/>
  </w:num>
  <w:num w:numId="46">
    <w:abstractNumId w:val="747696"/>
  </w:num>
  <w:num w:numId="47">
    <w:abstractNumId w:val="747697"/>
  </w:num>
  <w:num w:numId="48">
    <w:abstractNumId w:val="747698"/>
  </w:num>
  <w:num w:numId="49">
    <w:abstractNumId w:val="747699"/>
  </w:num>
  <w:num w:numId="50">
    <w:abstractNumId w:val="747700"/>
  </w:num>
  <w:num w:numId="51">
    <w:abstractNumId w:val="747701"/>
  </w:num>
  <w:num w:numId="52">
    <w:abstractNumId w:val="747702"/>
  </w:num>
  <w:num w:numId="53">
    <w:abstractNumId w:val="747703"/>
  </w:num>
  <w:num w:numId="54">
    <w:abstractNumId w:val="74770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2026-10-28T08:22:15Z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{"Label":"1","ContentProducer":"001191110102MACQD9K64010000","ProduceID":"7701631123532991481","ReservedCode1":"","ContentPropagator":"","PropagateID":"","ReservedCode2":""}</vt:lpwstr>
  </property>
</Properties>
</file>