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B2545"/>
          <w:sz w:val="46"/>
        </w:rPr>
        <w:t>FUNCTIONAL SPECIFICATION</w:t>
      </w:r>
    </w:p>
    <w:p>
      <w:pPr>
        <w:spacing w:after="320"/>
      </w:pPr>
      <w:r>
        <w:rPr>
          <w:rFonts w:ascii="Calibri" w:hAnsi="Calibri"/>
          <w:color w:val="5A6470"/>
          <w:sz w:val="28"/>
        </w:rPr>
        <w:t>My Local Small Business (MLSB)</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pPr>
            <w:r>
              <w:rPr>
                <w:rFonts w:ascii="Calibri" w:hAnsi="Calibri"/>
                <w:b/>
                <w:color w:val="0B2545"/>
                <w:sz w:val="17"/>
              </w:rPr>
              <w:t>Document control</w:t>
            </w:r>
          </w:p>
        </w:tc>
        <w:tc>
          <w:tcPr>
            <w:tcW w:type="dxa" w:w="6660"/>
            <w:shd w:fill="E8EEF5"/>
            <w:tcMar>
              <w:top w:w="80" w:type="dxa"/>
              <w:start w:w="120" w:type="dxa"/>
              <w:bottom w:w="80" w:type="dxa"/>
              <w:end w:w="120" w:type="dxa"/>
            </w:tcMar>
            <w:vAlign w:val="center"/>
          </w:tcPr>
          <w:p>
            <w:pPr>
              <w:spacing w:after="0"/>
            </w:pPr>
            <w:r>
              <w:rPr>
                <w:rFonts w:ascii="Calibri" w:hAnsi="Calibri"/>
                <w:b/>
                <w:color w:val="0B2545"/>
                <w:sz w:val="17"/>
              </w:rPr>
              <w:t>Value</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202A33"/>
                <w:sz w:val="17"/>
              </w:rPr>
              <w:t>Version</w:t>
            </w:r>
          </w:p>
        </w:tc>
        <w:tc>
          <w:tcPr>
            <w:tcW w:type="dxa" w:w="6660"/>
            <w:tcMar>
              <w:top w:w="80" w:type="dxa"/>
              <w:start w:w="120" w:type="dxa"/>
              <w:bottom w:w="80" w:type="dxa"/>
              <w:end w:w="120" w:type="dxa"/>
            </w:tcMar>
            <w:vAlign w:val="center"/>
          </w:tcPr>
          <w:p>
            <w:pPr>
              <w:spacing w:after="0" w:line="252" w:lineRule="auto"/>
            </w:pPr>
            <w:r>
              <w:rPr>
                <w:rFonts w:ascii="Calibri" w:hAnsi="Calibri"/>
                <w:color w:val="202A33"/>
                <w:sz w:val="17"/>
              </w:rPr>
              <w:t>1.0</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202A33"/>
                <w:sz w:val="17"/>
              </w:rPr>
              <w:t>Status</w:t>
            </w:r>
          </w:p>
        </w:tc>
        <w:tc>
          <w:tcPr>
            <w:tcW w:type="dxa" w:w="6660"/>
            <w:tcMar>
              <w:top w:w="80" w:type="dxa"/>
              <w:start w:w="120" w:type="dxa"/>
              <w:bottom w:w="80" w:type="dxa"/>
              <w:end w:w="120" w:type="dxa"/>
            </w:tcMar>
            <w:vAlign w:val="center"/>
          </w:tcPr>
          <w:p>
            <w:pPr>
              <w:spacing w:after="0" w:line="252" w:lineRule="auto"/>
            </w:pPr>
            <w:r>
              <w:rPr>
                <w:rFonts w:ascii="Calibri" w:hAnsi="Calibri"/>
                <w:color w:val="202A33"/>
                <w:sz w:val="17"/>
              </w:rPr>
              <w:t>Working functional specification</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202A33"/>
                <w:sz w:val="17"/>
              </w:rPr>
              <w:t>Date</w:t>
            </w:r>
          </w:p>
        </w:tc>
        <w:tc>
          <w:tcPr>
            <w:tcW w:type="dxa" w:w="6660"/>
            <w:tcMar>
              <w:top w:w="80" w:type="dxa"/>
              <w:start w:w="120" w:type="dxa"/>
              <w:bottom w:w="80" w:type="dxa"/>
              <w:end w:w="120" w:type="dxa"/>
            </w:tcMar>
            <w:vAlign w:val="center"/>
          </w:tcPr>
          <w:p>
            <w:pPr>
              <w:spacing w:after="0" w:line="252" w:lineRule="auto"/>
            </w:pPr>
            <w:r>
              <w:rPr>
                <w:rFonts w:ascii="Calibri" w:hAnsi="Calibri"/>
                <w:color w:val="202A33"/>
                <w:sz w:val="17"/>
              </w:rPr>
              <w:t>28 August 2026</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202A33"/>
                <w:sz w:val="17"/>
              </w:rPr>
              <w:t>Purpose</w:t>
            </w:r>
          </w:p>
        </w:tc>
        <w:tc>
          <w:tcPr>
            <w:tcW w:type="dxa" w:w="6660"/>
            <w:tcMar>
              <w:top w:w="80" w:type="dxa"/>
              <w:start w:w="120" w:type="dxa"/>
              <w:bottom w:w="80" w:type="dxa"/>
              <w:end w:w="120" w:type="dxa"/>
            </w:tcMar>
            <w:vAlign w:val="center"/>
          </w:tcPr>
          <w:p>
            <w:pPr>
              <w:spacing w:after="0" w:line="252" w:lineRule="auto"/>
            </w:pPr>
            <w:r>
              <w:rPr>
                <w:rFonts w:ascii="Calibri" w:hAnsi="Calibri"/>
                <w:color w:val="202A33"/>
                <w:sz w:val="17"/>
              </w:rPr>
              <w:t>Defines functional behaviour, data ownership and the relationships between MLSB platform components.</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202A33"/>
                <w:sz w:val="17"/>
              </w:rPr>
              <w:t>Primary reference</w:t>
            </w:r>
          </w:p>
        </w:tc>
        <w:tc>
          <w:tcPr>
            <w:tcW w:type="dxa" w:w="6660"/>
            <w:tcMar>
              <w:top w:w="80" w:type="dxa"/>
              <w:start w:w="120" w:type="dxa"/>
              <w:bottom w:w="80" w:type="dxa"/>
              <w:end w:w="120" w:type="dxa"/>
            </w:tcMar>
            <w:vAlign w:val="center"/>
          </w:tcPr>
          <w:p>
            <w:pPr>
              <w:spacing w:after="0" w:line="252" w:lineRule="auto"/>
            </w:pPr>
            <w:r>
              <w:rPr>
                <w:rFonts w:ascii="Calibri" w:hAnsi="Calibri"/>
                <w:color w:val="202A33"/>
                <w:sz w:val="17"/>
              </w:rPr>
              <w:t>MLSB System Design Document v1.2 (revised).</w:t>
            </w:r>
          </w:p>
        </w:tc>
      </w:tr>
    </w:tbl>
    <w:p>
      <w:pPr>
        <w:spacing w:after="20"/>
      </w:pPr>
    </w:p>
    <w:p>
      <w:pPr>
        <w:pStyle w:val="Heading1"/>
      </w:pPr>
      <w:r>
        <w:t>1. Purpose and scope</w:t>
      </w:r>
    </w:p>
    <w:p>
      <w:r>
        <w:rPr>
          <w:rFonts w:ascii="Calibri" w:hAnsi="Calibri"/>
          <w:i w:val="0"/>
          <w:sz w:val="22"/>
        </w:rPr>
        <w:t>This specification defines how MLSB behaves for visitors, business owners and platform staff. It covers the public discovery experience, the owner account, the single-page mini-site, free bookings and diary, free events, Premium invoicing and newsletters, plan gating, and the logical database model that connects those functions.</w:t>
      </w:r>
    </w:p>
    <w:p>
      <w:r>
        <w:rPr>
          <w:rFonts w:ascii="Calibri" w:hAnsi="Calibri"/>
          <w:i w:val="0"/>
          <w:sz w:val="22"/>
        </w:rPr>
        <w:t>The public directory remains an included discovery channel. The primary product is the owner account: a business can publish and manage one mini-site, receive customer bookings, maintain a diary, and add further business tools as required.</w:t>
      </w:r>
    </w:p>
    <w:p>
      <w:pPr>
        <w:pStyle w:val="Heading1"/>
      </w:pPr>
      <w:r>
        <w:t>2. Product model and actors</w:t>
      </w:r>
    </w:p>
    <w:tbl>
      <w:tblPr>
        <w:tblStyle w:val="TableGrid"/>
        <w:tblW w:type="dxa" w:w="9360"/>
        <w:jc w:val="left"/>
        <w:tblLayout w:type="fixed"/>
        <w:tblLook w:firstColumn="1" w:firstRow="1" w:lastColumn="0" w:lastRow="0" w:noHBand="0" w:noVBand="1" w:val="04A0"/>
        <w:tblInd w:w="120" w:type="dxa"/>
      </w:tblPr>
      <w:tblGrid>
        <w:gridCol w:w="1300"/>
        <w:gridCol w:w="1700"/>
        <w:gridCol w:w="2200"/>
        <w:gridCol w:w="4160"/>
      </w:tblGrid>
      <w:tr>
        <w:tc>
          <w:tcPr>
            <w:tcW w:type="dxa" w:w="1300"/>
            <w:shd w:fill="E8EEF5"/>
            <w:tcMar>
              <w:top w:w="80" w:type="dxa"/>
              <w:start w:w="120" w:type="dxa"/>
              <w:bottom w:w="80" w:type="dxa"/>
              <w:end w:w="120" w:type="dxa"/>
            </w:tcMar>
            <w:vAlign w:val="center"/>
          </w:tcPr>
          <w:p>
            <w:pPr>
              <w:spacing w:after="0"/>
            </w:pPr>
            <w:r>
              <w:rPr>
                <w:rFonts w:ascii="Calibri" w:hAnsi="Calibri"/>
                <w:b/>
                <w:color w:val="0B2545"/>
                <w:sz w:val="17"/>
              </w:rPr>
              <w:t>Actor</w:t>
            </w:r>
          </w:p>
        </w:tc>
        <w:tc>
          <w:tcPr>
            <w:tcW w:type="dxa" w:w="1700"/>
            <w:shd w:fill="E8EEF5"/>
            <w:tcMar>
              <w:top w:w="80" w:type="dxa"/>
              <w:start w:w="120" w:type="dxa"/>
              <w:bottom w:w="80" w:type="dxa"/>
              <w:end w:w="120" w:type="dxa"/>
            </w:tcMar>
            <w:vAlign w:val="center"/>
          </w:tcPr>
          <w:p>
            <w:pPr>
              <w:spacing w:after="0"/>
            </w:pPr>
            <w:r>
              <w:rPr>
                <w:rFonts w:ascii="Calibri" w:hAnsi="Calibri"/>
                <w:b/>
                <w:color w:val="0B2545"/>
                <w:sz w:val="17"/>
              </w:rPr>
              <w:t>Authentication</w:t>
            </w:r>
          </w:p>
        </w:tc>
        <w:tc>
          <w:tcPr>
            <w:tcW w:type="dxa" w:w="2200"/>
            <w:shd w:fill="E8EEF5"/>
            <w:tcMar>
              <w:top w:w="80" w:type="dxa"/>
              <w:start w:w="120" w:type="dxa"/>
              <w:bottom w:w="80" w:type="dxa"/>
              <w:end w:w="120" w:type="dxa"/>
            </w:tcMar>
            <w:vAlign w:val="center"/>
          </w:tcPr>
          <w:p>
            <w:pPr>
              <w:spacing w:after="0"/>
            </w:pPr>
            <w:r>
              <w:rPr>
                <w:rFonts w:ascii="Calibri" w:hAnsi="Calibri"/>
                <w:b/>
                <w:color w:val="0B2545"/>
                <w:sz w:val="17"/>
              </w:rPr>
              <w:t>Primary goal</w:t>
            </w:r>
          </w:p>
        </w:tc>
        <w:tc>
          <w:tcPr>
            <w:tcW w:type="dxa" w:w="4160"/>
            <w:shd w:fill="E8EEF5"/>
            <w:tcMar>
              <w:top w:w="80" w:type="dxa"/>
              <w:start w:w="120" w:type="dxa"/>
              <w:bottom w:w="80" w:type="dxa"/>
              <w:end w:w="120" w:type="dxa"/>
            </w:tcMar>
            <w:vAlign w:val="center"/>
          </w:tcPr>
          <w:p>
            <w:pPr>
              <w:spacing w:after="0"/>
            </w:pPr>
            <w:r>
              <w:rPr>
                <w:rFonts w:ascii="Calibri" w:hAnsi="Calibri"/>
                <w:b/>
                <w:color w:val="0B2545"/>
                <w:sz w:val="17"/>
              </w:rPr>
              <w:t>Permitted actions</w:t>
            </w:r>
          </w:p>
        </w:tc>
      </w:tr>
      <w:tr>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Visitor</w:t>
            </w:r>
          </w:p>
        </w:tc>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None</w:t>
            </w:r>
          </w:p>
        </w:tc>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Find or contact a business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Search the directory, visit mini-sites, view events, submit contact forms and make bookings.</w:t>
            </w:r>
          </w:p>
        </w:tc>
      </w:tr>
      <w:tr>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Business owner</w:t>
            </w:r>
          </w:p>
        </w:tc>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Owner account</w:t>
            </w:r>
          </w:p>
        </w:tc>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Run the business presence</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Edit the mini-site, manage availability and diary, publish events, manage enquiries and use entitled Premium tools.</w:t>
            </w:r>
          </w:p>
        </w:tc>
      </w:tr>
      <w:tr>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Customer</w:t>
            </w:r>
          </w:p>
        </w:tc>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Booking or newsletter interaction</w:t>
            </w:r>
          </w:p>
        </w:tc>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Book or receive communications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Select an available slot, receive confirmation/cancellation messages, and receive newsletters only where consent has been recorded.</w:t>
            </w:r>
          </w:p>
        </w:tc>
      </w:tr>
      <w:tr>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Superadmin</w:t>
            </w:r>
          </w:p>
        </w:tc>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Platform staff account</w:t>
            </w:r>
          </w:p>
        </w:tc>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Operate MLSB safely</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Manage businesses, plans, content, templates, categories, areas and platform-level settings.</w:t>
            </w:r>
          </w:p>
        </w:tc>
      </w:tr>
    </w:tbl>
    <w:p>
      <w:pPr>
        <w:spacing w:after="20"/>
      </w:pPr>
    </w:p>
    <w:p>
      <w:pPr>
        <w:pStyle w:val="Heading1"/>
      </w:pPr>
      <w:r>
        <w:t>3. Functional requirements</w:t>
      </w:r>
    </w:p>
    <w:p>
      <w:pPr>
        <w:pStyle w:val="Heading2"/>
      </w:pPr>
      <w:r>
        <w:t>3.1 Registration and account setup</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shd w:fill="E8EEF5"/>
            <w:tcMar>
              <w:top w:w="80" w:type="dxa"/>
              <w:start w:w="120" w:type="dxa"/>
              <w:bottom w:w="80" w:type="dxa"/>
              <w:end w:w="120" w:type="dxa"/>
            </w:tcMar>
            <w:vAlign w:val="center"/>
          </w:tcPr>
          <w:p>
            <w:pPr>
              <w:spacing w:after="0"/>
            </w:pPr>
            <w:r>
              <w:rPr>
                <w:rFonts w:ascii="Calibri" w:hAnsi="Calibri"/>
                <w:b/>
                <w:color w:val="0B2545"/>
                <w:sz w:val="17"/>
              </w:rPr>
              <w:t>ID</w:t>
            </w:r>
          </w:p>
        </w:tc>
        <w:tc>
          <w:tcPr>
            <w:tcW w:type="dxa" w:w="8460"/>
            <w:shd w:fill="E8EEF5"/>
            <w:tcMar>
              <w:top w:w="80" w:type="dxa"/>
              <w:start w:w="120" w:type="dxa"/>
              <w:bottom w:w="80" w:type="dxa"/>
              <w:end w:w="120" w:type="dxa"/>
            </w:tcMar>
            <w:vAlign w:val="center"/>
          </w:tcPr>
          <w:p>
            <w:pPr>
              <w:spacing w:after="0"/>
            </w:pPr>
            <w:r>
              <w:rPr>
                <w:rFonts w:ascii="Calibri" w:hAnsi="Calibri"/>
                <w:b/>
                <w:color w:val="0B2545"/>
                <w:sz w:val="17"/>
              </w:rPr>
              <w:t>Requirement</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FR-01</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A business owner can register with business name, owner name, email, password, at least one category, operating area, short description and acceptance of platform terms.</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FR-02</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The platform suggests a unique slug; the owner may amend it subject to lowercase, hyphenated, 3-50 character validation and reserved-route checks.</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FR-03</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Registration creates the business, owner, selected categories and areas, default settings and a Free plan entitlement in one transaction.</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FR-04</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The new mini-site is published when account verification and activation requirements are met; the owner then lands in the dashboard.</w:t>
            </w:r>
          </w:p>
        </w:tc>
      </w:tr>
    </w:tbl>
    <w:p>
      <w:pPr>
        <w:spacing w:after="20"/>
      </w:pPr>
    </w:p>
    <w:p>
      <w:pPr>
        <w:pStyle w:val="Heading2"/>
      </w:pPr>
      <w:r>
        <w:t>3.2 Single-page mini-site</w:t>
      </w:r>
    </w:p>
    <w:p>
      <w:r>
        <w:rPr>
          <w:rFonts w:ascii="Calibri" w:hAnsi="Calibri"/>
          <w:i w:val="0"/>
          <w:sz w:val="22"/>
        </w:rPr>
        <w:t>Each business has one public mini-site at mlsb.uk/[slug]. It is built from owner-configured blocks, rendered from the central database and uses the business's selected template and colour scheme. Premium does not create additional mini-site content pages.</w:t>
      </w:r>
    </w:p>
    <w:tbl>
      <w:tblPr>
        <w:tblStyle w:val="TableGrid"/>
        <w:tblW w:type="dxa" w:w="9360"/>
        <w:jc w:val="left"/>
        <w:tblLayout w:type="fixed"/>
        <w:tblLook w:firstColumn="1" w:firstRow="1" w:lastColumn="0" w:lastRow="0" w:noHBand="0" w:noVBand="1" w:val="04A0"/>
        <w:tblInd w:w="120" w:type="dxa"/>
      </w:tblPr>
      <w:tblGrid>
        <w:gridCol w:w="1850"/>
        <w:gridCol w:w="5650"/>
        <w:gridCol w:w="1860"/>
      </w:tblGrid>
      <w:tr>
        <w:tc>
          <w:tcPr>
            <w:tcW w:type="dxa" w:w="1850"/>
            <w:shd w:fill="E8EEF5"/>
            <w:tcMar>
              <w:top w:w="80" w:type="dxa"/>
              <w:start w:w="120" w:type="dxa"/>
              <w:bottom w:w="80" w:type="dxa"/>
              <w:end w:w="120" w:type="dxa"/>
            </w:tcMar>
            <w:vAlign w:val="center"/>
          </w:tcPr>
          <w:p>
            <w:pPr>
              <w:spacing w:after="0"/>
            </w:pPr>
            <w:r>
              <w:rPr>
                <w:rFonts w:ascii="Calibri" w:hAnsi="Calibri"/>
                <w:b/>
                <w:color w:val="0B2545"/>
                <w:sz w:val="17"/>
              </w:rPr>
              <w:t>Block</w:t>
            </w:r>
          </w:p>
        </w:tc>
        <w:tc>
          <w:tcPr>
            <w:tcW w:type="dxa" w:w="5650"/>
            <w:shd w:fill="E8EEF5"/>
            <w:tcMar>
              <w:top w:w="80" w:type="dxa"/>
              <w:start w:w="120" w:type="dxa"/>
              <w:bottom w:w="80" w:type="dxa"/>
              <w:end w:w="120" w:type="dxa"/>
            </w:tcMar>
            <w:vAlign w:val="center"/>
          </w:tcPr>
          <w:p>
            <w:pPr>
              <w:spacing w:after="0"/>
            </w:pPr>
            <w:r>
              <w:rPr>
                <w:rFonts w:ascii="Calibri" w:hAnsi="Calibri"/>
                <w:b/>
                <w:color w:val="0B2545"/>
                <w:sz w:val="17"/>
              </w:rPr>
              <w:t>Behaviour</w:t>
            </w:r>
          </w:p>
        </w:tc>
        <w:tc>
          <w:tcPr>
            <w:tcW w:type="dxa" w:w="1860"/>
            <w:shd w:fill="E8EEF5"/>
            <w:tcMar>
              <w:top w:w="80" w:type="dxa"/>
              <w:start w:w="120" w:type="dxa"/>
              <w:bottom w:w="80" w:type="dxa"/>
              <w:end w:w="120" w:type="dxa"/>
            </w:tcMar>
            <w:vAlign w:val="center"/>
          </w:tcPr>
          <w:p>
            <w:pPr>
              <w:spacing w:after="0"/>
            </w:pPr>
            <w:r>
              <w:rPr>
                <w:rFonts w:ascii="Calibri" w:hAnsi="Calibri"/>
                <w:b/>
                <w:color w:val="0B2545"/>
                <w:sz w:val="17"/>
              </w:rPr>
              <w:t>Entitlement</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202A33"/>
                <w:sz w:val="17"/>
              </w:rPr>
              <w:t>Core profile</w:t>
            </w:r>
          </w:p>
        </w:tc>
        <w:tc>
          <w:tcPr>
            <w:tcW w:type="dxa" w:w="5650"/>
            <w:tcMar>
              <w:top w:w="80" w:type="dxa"/>
              <w:start w:w="120" w:type="dxa"/>
              <w:bottom w:w="80" w:type="dxa"/>
              <w:end w:w="120" w:type="dxa"/>
            </w:tcMar>
            <w:vAlign w:val="center"/>
          </w:tcPr>
          <w:p>
            <w:pPr>
              <w:spacing w:after="0" w:line="252" w:lineRule="auto"/>
            </w:pPr>
            <w:r>
              <w:rPr>
                <w:rFonts w:ascii="Calibri" w:hAnsi="Calibri"/>
                <w:color w:val="202A33"/>
                <w:sz w:val="17"/>
              </w:rPr>
              <w:t>Shows business identity, description, contact details, service areas and optional map.</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Free</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202A33"/>
                <w:sz w:val="17"/>
              </w:rPr>
              <w:t>Content</w:t>
            </w:r>
          </w:p>
        </w:tc>
        <w:tc>
          <w:tcPr>
            <w:tcW w:type="dxa" w:w="5650"/>
            <w:tcMar>
              <w:top w:w="80" w:type="dxa"/>
              <w:start w:w="120" w:type="dxa"/>
              <w:bottom w:w="80" w:type="dxa"/>
              <w:end w:w="120" w:type="dxa"/>
            </w:tcMar>
            <w:vAlign w:val="center"/>
          </w:tcPr>
          <w:p>
            <w:pPr>
              <w:spacing w:after="0" w:line="252" w:lineRule="auto"/>
            </w:pPr>
            <w:r>
              <w:rPr>
                <w:rFonts w:ascii="Calibri" w:hAnsi="Calibri"/>
                <w:color w:val="202A33"/>
                <w:sz w:val="17"/>
              </w:rPr>
              <w:t>Galleries, price lists, menus, articles, callouts and social links can be shown, hidden and reordered.</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Plan limits apply</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202A33"/>
                <w:sz w:val="17"/>
              </w:rPr>
              <w:t>Events</w:t>
            </w:r>
          </w:p>
        </w:tc>
        <w:tc>
          <w:tcPr>
            <w:tcW w:type="dxa" w:w="5650"/>
            <w:tcMar>
              <w:top w:w="80" w:type="dxa"/>
              <w:start w:w="120" w:type="dxa"/>
              <w:bottom w:w="80" w:type="dxa"/>
              <w:end w:w="120" w:type="dxa"/>
            </w:tcMar>
            <w:vAlign w:val="center"/>
          </w:tcPr>
          <w:p>
            <w:pPr>
              <w:spacing w:after="0" w:line="252" w:lineRule="auto"/>
            </w:pPr>
            <w:r>
              <w:rPr>
                <w:rFonts w:ascii="Calibri" w:hAnsi="Calibri"/>
                <w:color w:val="202A33"/>
                <w:sz w:val="17"/>
              </w:rPr>
              <w:t>Shows published upcoming events. Events may also surface in relevant directory results.</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Free</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202A33"/>
                <w:sz w:val="17"/>
              </w:rPr>
              <w:t>Bookings</w:t>
            </w:r>
          </w:p>
        </w:tc>
        <w:tc>
          <w:tcPr>
            <w:tcW w:type="dxa" w:w="5650"/>
            <w:tcMar>
              <w:top w:w="80" w:type="dxa"/>
              <w:start w:w="120" w:type="dxa"/>
              <w:bottom w:w="80" w:type="dxa"/>
              <w:end w:w="120" w:type="dxa"/>
            </w:tcMar>
            <w:vAlign w:val="center"/>
          </w:tcPr>
          <w:p>
            <w:pPr>
              <w:spacing w:after="0" w:line="252" w:lineRule="auto"/>
            </w:pPr>
            <w:r>
              <w:rPr>
                <w:rFonts w:ascii="Calibri" w:hAnsi="Calibri"/>
                <w:color w:val="202A33"/>
                <w:sz w:val="17"/>
              </w:rPr>
              <w:t>Shows bookable services, rooms or venues and available times. Creates a customer booking and diary entry.</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Free</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202A33"/>
                <w:sz w:val="17"/>
              </w:rPr>
              <w:t>Policy links</w:t>
            </w:r>
          </w:p>
        </w:tc>
        <w:tc>
          <w:tcPr>
            <w:tcW w:type="dxa" w:w="5650"/>
            <w:tcMar>
              <w:top w:w="80" w:type="dxa"/>
              <w:start w:w="120" w:type="dxa"/>
              <w:bottom w:w="80" w:type="dxa"/>
              <w:end w:w="120" w:type="dxa"/>
            </w:tcMar>
            <w:vAlign w:val="center"/>
          </w:tcPr>
          <w:p>
            <w:pPr>
              <w:spacing w:after="0" w:line="252" w:lineRule="auto"/>
            </w:pPr>
            <w:r>
              <w:rPr>
                <w:rFonts w:ascii="Calibri" w:hAnsi="Calibri"/>
                <w:color w:val="202A33"/>
                <w:sz w:val="17"/>
              </w:rPr>
              <w:t>Links to standard Privacy and Terms pages. Paid owners may customise these existing policy pages.</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Free / Premium customisation</w:t>
            </w:r>
          </w:p>
        </w:tc>
      </w:tr>
    </w:tbl>
    <w:p>
      <w:pPr>
        <w:spacing w:after="20"/>
      </w:pPr>
    </w:p>
    <w:p>
      <w:pPr>
        <w:pStyle w:val="Heading2"/>
      </w:pPr>
      <w:r>
        <w:t>3.3 Bookings and diary (Free)</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shd w:fill="E8EEF5"/>
            <w:tcMar>
              <w:top w:w="80" w:type="dxa"/>
              <w:start w:w="120" w:type="dxa"/>
              <w:bottom w:w="80" w:type="dxa"/>
              <w:end w:w="120" w:type="dxa"/>
            </w:tcMar>
            <w:vAlign w:val="center"/>
          </w:tcPr>
          <w:p>
            <w:pPr>
              <w:spacing w:after="0"/>
            </w:pPr>
            <w:r>
              <w:rPr>
                <w:rFonts w:ascii="Calibri" w:hAnsi="Calibri"/>
                <w:b/>
                <w:color w:val="0B2545"/>
                <w:sz w:val="17"/>
              </w:rPr>
              <w:t>ID</w:t>
            </w:r>
          </w:p>
        </w:tc>
        <w:tc>
          <w:tcPr>
            <w:tcW w:type="dxa" w:w="8460"/>
            <w:shd w:fill="E8EEF5"/>
            <w:tcMar>
              <w:top w:w="80" w:type="dxa"/>
              <w:start w:w="120" w:type="dxa"/>
              <w:bottom w:w="80" w:type="dxa"/>
              <w:end w:w="120" w:type="dxa"/>
            </w:tcMar>
            <w:vAlign w:val="center"/>
          </w:tcPr>
          <w:p>
            <w:pPr>
              <w:spacing w:after="0"/>
            </w:pPr>
            <w:r>
              <w:rPr>
                <w:rFonts w:ascii="Calibri" w:hAnsi="Calibri"/>
                <w:b/>
                <w:color w:val="0B2545"/>
                <w:sz w:val="17"/>
              </w:rPr>
              <w:t>Requirement</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FR-10</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An owner can create active bookable services, appointments, rooms or venues with a duration and display order.</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FR-11</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An owner can set recurring availability by day and time. Unavailable periods must not be offered as selectable slots.</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FR-12</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A visitor can select an available service and time, provide the required details and submit a booking.</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FR-13</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The system creates a booking record, reserves the diary slot and sends confirmation to the customer and owner.</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FR-14</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An owner or customer cancellation updates the booking status, releases the slot where appropriate and sends cancellation messages.</w:t>
            </w:r>
          </w:p>
        </w:tc>
      </w:tr>
      <w:tr>
        <w:tc>
          <w:tcPr>
            <w:tcW w:type="dxa" w:w="900"/>
            <w:tcMar>
              <w:top w:w="80" w:type="dxa"/>
              <w:start w:w="120" w:type="dxa"/>
              <w:bottom w:w="80" w:type="dxa"/>
              <w:end w:w="120" w:type="dxa"/>
            </w:tcMar>
            <w:vAlign w:val="center"/>
          </w:tcPr>
          <w:p>
            <w:pPr>
              <w:spacing w:after="0" w:line="252" w:lineRule="auto"/>
            </w:pPr>
            <w:r>
              <w:rPr>
                <w:rFonts w:ascii="Calibri" w:hAnsi="Calibri"/>
                <w:color w:val="202A33"/>
                <w:sz w:val="17"/>
              </w:rPr>
              <w:t>FR-15</w:t>
            </w:r>
          </w:p>
        </w:tc>
        <w:tc>
          <w:tcPr>
            <w:tcW w:type="dxa" w:w="8460"/>
            <w:tcMar>
              <w:top w:w="80" w:type="dxa"/>
              <w:start w:w="120" w:type="dxa"/>
              <w:bottom w:w="80" w:type="dxa"/>
              <w:end w:w="120" w:type="dxa"/>
            </w:tcMar>
            <w:vAlign w:val="center"/>
          </w:tcPr>
          <w:p>
            <w:pPr>
              <w:spacing w:after="0" w:line="252" w:lineRule="auto"/>
            </w:pPr>
            <w:r>
              <w:rPr>
                <w:rFonts w:ascii="Calibri" w:hAnsi="Calibri"/>
                <w:color w:val="202A33"/>
                <w:sz w:val="17"/>
              </w:rPr>
              <w:t>The owner dashboard presents bookings in a diary view and supports status filtering for upcoming, cancelled and completed bookings.</w:t>
            </w:r>
          </w:p>
        </w:tc>
      </w:tr>
    </w:tbl>
    <w:p>
      <w:pPr>
        <w:spacing w:after="20"/>
      </w:pPr>
    </w:p>
    <w:p>
      <w:pPr>
        <w:pStyle w:val="Heading2"/>
      </w:pPr>
      <w:r>
        <w:t>3.4 Events (Free), newsletters and invoices (Premium)</w:t>
      </w:r>
    </w:p>
    <w:tbl>
      <w:tblPr>
        <w:tblStyle w:val="TableGrid"/>
        <w:tblW w:type="dxa" w:w="9360"/>
        <w:jc w:val="left"/>
        <w:tblLayout w:type="fixed"/>
        <w:tblLook w:firstColumn="1" w:firstRow="1" w:lastColumn="0" w:lastRow="0" w:noHBand="0" w:noVBand="1" w:val="04A0"/>
        <w:tblInd w:w="120" w:type="dxa"/>
      </w:tblPr>
      <w:tblGrid>
        <w:gridCol w:w="1700"/>
        <w:gridCol w:w="5800"/>
        <w:gridCol w:w="1860"/>
      </w:tblGrid>
      <w:tr>
        <w:tc>
          <w:tcPr>
            <w:tcW w:type="dxa" w:w="1700"/>
            <w:shd w:fill="E8EEF5"/>
            <w:tcMar>
              <w:top w:w="80" w:type="dxa"/>
              <w:start w:w="120" w:type="dxa"/>
              <w:bottom w:w="80" w:type="dxa"/>
              <w:end w:w="120" w:type="dxa"/>
            </w:tcMar>
            <w:vAlign w:val="center"/>
          </w:tcPr>
          <w:p>
            <w:pPr>
              <w:spacing w:after="0"/>
            </w:pPr>
            <w:r>
              <w:rPr>
                <w:rFonts w:ascii="Calibri" w:hAnsi="Calibri"/>
                <w:b/>
                <w:color w:val="0B2545"/>
                <w:sz w:val="17"/>
              </w:rPr>
              <w:t>Capability</w:t>
            </w:r>
          </w:p>
        </w:tc>
        <w:tc>
          <w:tcPr>
            <w:tcW w:type="dxa" w:w="5800"/>
            <w:shd w:fill="E8EEF5"/>
            <w:tcMar>
              <w:top w:w="80" w:type="dxa"/>
              <w:start w:w="120" w:type="dxa"/>
              <w:bottom w:w="80" w:type="dxa"/>
              <w:end w:w="120" w:type="dxa"/>
            </w:tcMar>
            <w:vAlign w:val="center"/>
          </w:tcPr>
          <w:p>
            <w:pPr>
              <w:spacing w:after="0"/>
            </w:pPr>
            <w:r>
              <w:rPr>
                <w:rFonts w:ascii="Calibri" w:hAnsi="Calibri"/>
                <w:b/>
                <w:color w:val="0B2545"/>
                <w:sz w:val="17"/>
              </w:rPr>
              <w:t>Functional behaviour</w:t>
            </w:r>
          </w:p>
        </w:tc>
        <w:tc>
          <w:tcPr>
            <w:tcW w:type="dxa" w:w="1860"/>
            <w:shd w:fill="E8EEF5"/>
            <w:tcMar>
              <w:top w:w="80" w:type="dxa"/>
              <w:start w:w="120" w:type="dxa"/>
              <w:bottom w:w="80" w:type="dxa"/>
              <w:end w:w="120" w:type="dxa"/>
            </w:tcMar>
            <w:vAlign w:val="center"/>
          </w:tcPr>
          <w:p>
            <w:pPr>
              <w:spacing w:after="0"/>
            </w:pPr>
            <w:r>
              <w:rPr>
                <w:rFonts w:ascii="Calibri" w:hAnsi="Calibri"/>
                <w:b/>
                <w:color w:val="0B2545"/>
                <w:sz w:val="17"/>
              </w:rPr>
              <w:t>Plan</w:t>
            </w:r>
          </w:p>
        </w:tc>
      </w:tr>
      <w:tr>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Events</w:t>
            </w:r>
          </w:p>
        </w:tc>
        <w:tc>
          <w:tcPr>
            <w:tcW w:type="dxa" w:w="5800"/>
            <w:tcMar>
              <w:top w:w="80" w:type="dxa"/>
              <w:start w:w="120" w:type="dxa"/>
              <w:bottom w:w="80" w:type="dxa"/>
              <w:end w:w="120" w:type="dxa"/>
            </w:tcMar>
            <w:vAlign w:val="center"/>
          </w:tcPr>
          <w:p>
            <w:pPr>
              <w:spacing w:after="0" w:line="252" w:lineRule="auto"/>
            </w:pPr>
            <w:r>
              <w:rPr>
                <w:rFonts w:ascii="Calibri" w:hAnsi="Calibri"/>
                <w:color w:val="202A33"/>
                <w:sz w:val="17"/>
              </w:rPr>
              <w:t>Owner creates, publishes, edits and unpublishes events. Public mini-sites show published events and directory discovery may index them.</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Free</w:t>
            </w:r>
          </w:p>
        </w:tc>
      </w:tr>
      <w:tr>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Newsletters</w:t>
            </w:r>
          </w:p>
        </w:tc>
        <w:tc>
          <w:tcPr>
            <w:tcW w:type="dxa" w:w="5800"/>
            <w:tcMar>
              <w:top w:w="80" w:type="dxa"/>
              <w:start w:w="120" w:type="dxa"/>
              <w:bottom w:w="80" w:type="dxa"/>
              <w:end w:w="120" w:type="dxa"/>
            </w:tcMar>
            <w:vAlign w:val="center"/>
          </w:tcPr>
          <w:p>
            <w:pPr>
              <w:spacing w:after="0" w:line="252" w:lineRule="auto"/>
            </w:pPr>
            <w:r>
              <w:rPr>
                <w:rFonts w:ascii="Calibri" w:hAnsi="Calibri"/>
                <w:color w:val="202A33"/>
                <w:sz w:val="17"/>
              </w:rPr>
              <w:t>Premium owner creates a newsletter, selects consented recipients, schedules or sends it, and records the send outcome. Unsubscribed contacts must be excluded.</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Premium</w:t>
            </w:r>
          </w:p>
        </w:tc>
      </w:tr>
      <w:tr>
        <w:tc>
          <w:tcPr>
            <w:tcW w:type="dxa" w:w="1700"/>
            <w:tcMar>
              <w:top w:w="80" w:type="dxa"/>
              <w:start w:w="120" w:type="dxa"/>
              <w:bottom w:w="80" w:type="dxa"/>
              <w:end w:w="120" w:type="dxa"/>
            </w:tcMar>
            <w:vAlign w:val="center"/>
          </w:tcPr>
          <w:p>
            <w:pPr>
              <w:spacing w:after="0" w:line="252" w:lineRule="auto"/>
            </w:pPr>
            <w:r>
              <w:rPr>
                <w:rFonts w:ascii="Calibri" w:hAnsi="Calibri"/>
                <w:color w:val="202A33"/>
                <w:sz w:val="17"/>
              </w:rPr>
              <w:t>Invoices</w:t>
            </w:r>
          </w:p>
        </w:tc>
        <w:tc>
          <w:tcPr>
            <w:tcW w:type="dxa" w:w="5800"/>
            <w:tcMar>
              <w:top w:w="80" w:type="dxa"/>
              <w:start w:w="120" w:type="dxa"/>
              <w:bottom w:w="80" w:type="dxa"/>
              <w:end w:w="120" w:type="dxa"/>
            </w:tcMar>
            <w:vAlign w:val="center"/>
          </w:tcPr>
          <w:p>
            <w:pPr>
              <w:spacing w:after="0" w:line="252" w:lineRule="auto"/>
            </w:pPr>
            <w:r>
              <w:rPr>
                <w:rFonts w:ascii="Calibri" w:hAnsi="Calibri"/>
                <w:color w:val="202A33"/>
                <w:sz w:val="17"/>
              </w:rPr>
              <w:t>Premium owner creates and sends invoices, optionally linked to a booking. The platform records issue date, due date, total, delivery state and payment state where supported.</w:t>
            </w:r>
          </w:p>
        </w:tc>
        <w:tc>
          <w:tcPr>
            <w:tcW w:type="dxa" w:w="1860"/>
            <w:tcMar>
              <w:top w:w="80" w:type="dxa"/>
              <w:start w:w="120" w:type="dxa"/>
              <w:bottom w:w="80" w:type="dxa"/>
              <w:end w:w="120" w:type="dxa"/>
            </w:tcMar>
            <w:vAlign w:val="center"/>
          </w:tcPr>
          <w:p>
            <w:pPr>
              <w:spacing w:after="0" w:line="252" w:lineRule="auto"/>
            </w:pPr>
            <w:r>
              <w:rPr>
                <w:rFonts w:ascii="Calibri" w:hAnsi="Calibri"/>
                <w:color w:val="202A33"/>
                <w:sz w:val="17"/>
              </w:rPr>
              <w:t>Premium</w:t>
            </w:r>
          </w:p>
        </w:tc>
      </w:tr>
    </w:tbl>
    <w:p>
      <w:pPr>
        <w:spacing w:after="20"/>
      </w:pPr>
    </w:p>
    <w:p>
      <w:pPr>
        <w:pStyle w:val="Heading2"/>
      </w:pPr>
      <w:r>
        <w:t>3.5 Directory, enquiry and dashboard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pPr>
              <w:spacing w:after="0"/>
            </w:pPr>
            <w:r>
              <w:rPr>
                <w:rFonts w:ascii="Calibri" w:hAnsi="Calibri"/>
                <w:b/>
                <w:color w:val="0B2545"/>
                <w:sz w:val="17"/>
              </w:rPr>
              <w:t>Area</w:t>
            </w:r>
          </w:p>
        </w:tc>
        <w:tc>
          <w:tcPr>
            <w:tcW w:type="dxa" w:w="7160"/>
            <w:shd w:fill="E8EEF5"/>
            <w:tcMar>
              <w:top w:w="80" w:type="dxa"/>
              <w:start w:w="120" w:type="dxa"/>
              <w:bottom w:w="80" w:type="dxa"/>
              <w:end w:w="120" w:type="dxa"/>
            </w:tcMar>
            <w:vAlign w:val="center"/>
          </w:tcPr>
          <w:p>
            <w:pPr>
              <w:spacing w:after="0"/>
            </w:pPr>
            <w:r>
              <w:rPr>
                <w:rFonts w:ascii="Calibri" w:hAnsi="Calibri"/>
                <w:b/>
                <w:color w:val="0B2545"/>
                <w:sz w:val="17"/>
              </w:rPr>
              <w:t>Functional behaviour</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Directory</w:t>
            </w:r>
          </w:p>
        </w:tc>
        <w:tc>
          <w:tcPr>
            <w:tcW w:type="dxa" w:w="7160"/>
            <w:tcMar>
              <w:top w:w="80" w:type="dxa"/>
              <w:start w:w="120" w:type="dxa"/>
              <w:bottom w:w="80" w:type="dxa"/>
              <w:end w:w="120" w:type="dxa"/>
            </w:tcMar>
            <w:vAlign w:val="center"/>
          </w:tcPr>
          <w:p>
            <w:pPr>
              <w:spacing w:after="0" w:line="252" w:lineRule="auto"/>
            </w:pPr>
            <w:r>
              <w:rPr>
                <w:rFonts w:ascii="Calibri" w:hAnsi="Calibri"/>
                <w:color w:val="202A33"/>
                <w:sz w:val="17"/>
              </w:rPr>
              <w:t>Visitors search by keyword, category and UK operating area. Results link to mini-sites and can include relevant events. Featured placement is a plan-gated promotion feature.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Contact and enquiries</w:t>
            </w:r>
          </w:p>
        </w:tc>
        <w:tc>
          <w:tcPr>
            <w:tcW w:type="dxa" w:w="7160"/>
            <w:tcMar>
              <w:top w:w="80" w:type="dxa"/>
              <w:start w:w="120" w:type="dxa"/>
              <w:bottom w:w="80" w:type="dxa"/>
              <w:end w:w="120" w:type="dxa"/>
            </w:tcMar>
            <w:vAlign w:val="center"/>
          </w:tcPr>
          <w:p>
            <w:pPr>
              <w:spacing w:after="0" w:line="252" w:lineRule="auto"/>
            </w:pPr>
            <w:r>
              <w:rPr>
                <w:rFonts w:ascii="Calibri" w:hAnsi="Calibri"/>
                <w:color w:val="202A33"/>
                <w:sz w:val="17"/>
              </w:rPr>
              <w:t>A mini-site form validates submissions, routes each enquiry to the configured recipient and may store a copy for owner review. Spam controls and rate limiting apply.</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Owner dashboard</w:t>
            </w:r>
          </w:p>
        </w:tc>
        <w:tc>
          <w:tcPr>
            <w:tcW w:type="dxa" w:w="7160"/>
            <w:tcMar>
              <w:top w:w="80" w:type="dxa"/>
              <w:start w:w="120" w:type="dxa"/>
              <w:bottom w:w="80" w:type="dxa"/>
              <w:end w:w="120" w:type="dxa"/>
            </w:tcMar>
            <w:vAlign w:val="center"/>
          </w:tcPr>
          <w:p>
            <w:pPr>
              <w:spacing w:after="0" w:line="252" w:lineRule="auto"/>
            </w:pPr>
            <w:r>
              <w:rPr>
                <w:rFonts w:ascii="Calibri" w:hAnsi="Calibri"/>
                <w:color w:val="202A33"/>
                <w:sz w:val="17"/>
              </w:rPr>
              <w:t>Provides account summary, profile/settings, content management, booking diary, event management, enquiries, visitor counts and entitled Premium modules.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Superadmin</w:t>
            </w:r>
          </w:p>
        </w:tc>
        <w:tc>
          <w:tcPr>
            <w:tcW w:type="dxa" w:w="7160"/>
            <w:tcMar>
              <w:top w:w="80" w:type="dxa"/>
              <w:start w:w="120" w:type="dxa"/>
              <w:bottom w:w="80" w:type="dxa"/>
              <w:end w:w="120" w:type="dxa"/>
            </w:tcMar>
            <w:vAlign w:val="center"/>
          </w:tcPr>
          <w:p>
            <w:pPr>
              <w:spacing w:after="0" w:line="252" w:lineRule="auto"/>
            </w:pPr>
            <w:r>
              <w:rPr>
                <w:rFonts w:ascii="Calibri" w:hAnsi="Calibri"/>
                <w:color w:val="202A33"/>
                <w:sz w:val="17"/>
              </w:rPr>
              <w:t>Provides guarded manage mode, business and plan management, content moderation, templates, category and area administration, analytics and global settings.</w:t>
            </w:r>
          </w:p>
        </w:tc>
      </w:tr>
    </w:tbl>
    <w:p>
      <w:pPr>
        <w:spacing w:after="20"/>
      </w:pPr>
    </w:p>
    <w:p>
      <w:pPr>
        <w:pStyle w:val="Heading1"/>
      </w:pPr>
      <w:r>
        <w:t>4. Plan-gating rules</w:t>
      </w:r>
    </w:p>
    <w:tbl>
      <w:tblPr>
        <w:tblStyle w:val="TableGrid"/>
        <w:tblW w:type="dxa" w:w="9360"/>
        <w:jc w:val="left"/>
        <w:tblLayout w:type="fixed"/>
        <w:tblLook w:firstColumn="1" w:firstRow="1" w:lastColumn="0" w:lastRow="0" w:noHBand="0" w:noVBand="1" w:val="04A0"/>
        <w:tblInd w:w="120" w:type="dxa"/>
      </w:tblPr>
      <w:tblGrid>
        <w:gridCol w:w="2900"/>
        <w:gridCol w:w="2150"/>
        <w:gridCol w:w="2150"/>
        <w:gridCol w:w="2160"/>
      </w:tblGrid>
      <w:tr>
        <w:tc>
          <w:tcPr>
            <w:tcW w:type="dxa" w:w="2900"/>
            <w:shd w:fill="E8EEF5"/>
            <w:tcMar>
              <w:top w:w="80" w:type="dxa"/>
              <w:start w:w="120" w:type="dxa"/>
              <w:bottom w:w="80" w:type="dxa"/>
              <w:end w:w="120" w:type="dxa"/>
            </w:tcMar>
            <w:vAlign w:val="center"/>
          </w:tcPr>
          <w:p>
            <w:pPr>
              <w:spacing w:after="0"/>
            </w:pPr>
            <w:r>
              <w:rPr>
                <w:rFonts w:ascii="Calibri" w:hAnsi="Calibri"/>
                <w:b/>
                <w:color w:val="0B2545"/>
                <w:sz w:val="17"/>
              </w:rPr>
              <w:t>Feature</w:t>
            </w:r>
          </w:p>
        </w:tc>
        <w:tc>
          <w:tcPr>
            <w:tcW w:type="dxa" w:w="2150"/>
            <w:shd w:fill="E8EEF5"/>
            <w:tcMar>
              <w:top w:w="80" w:type="dxa"/>
              <w:start w:w="120" w:type="dxa"/>
              <w:bottom w:w="80" w:type="dxa"/>
              <w:end w:w="120" w:type="dxa"/>
            </w:tcMar>
            <w:vAlign w:val="center"/>
          </w:tcPr>
          <w:p>
            <w:pPr>
              <w:spacing w:after="0"/>
            </w:pPr>
            <w:r>
              <w:rPr>
                <w:rFonts w:ascii="Calibri" w:hAnsi="Calibri"/>
                <w:b/>
                <w:color w:val="0B2545"/>
                <w:sz w:val="17"/>
              </w:rPr>
              <w:t>Free</w:t>
            </w:r>
          </w:p>
        </w:tc>
        <w:tc>
          <w:tcPr>
            <w:tcW w:type="dxa" w:w="2150"/>
            <w:shd w:fill="E8EEF5"/>
            <w:tcMar>
              <w:top w:w="80" w:type="dxa"/>
              <w:start w:w="120" w:type="dxa"/>
              <w:bottom w:w="80" w:type="dxa"/>
              <w:end w:w="120" w:type="dxa"/>
            </w:tcMar>
            <w:vAlign w:val="center"/>
          </w:tcPr>
          <w:p>
            <w:pPr>
              <w:spacing w:after="0"/>
            </w:pPr>
            <w:r>
              <w:rPr>
                <w:rFonts w:ascii="Calibri" w:hAnsi="Calibri"/>
                <w:b/>
                <w:color w:val="0B2545"/>
                <w:sz w:val="17"/>
              </w:rPr>
              <w:t>Trial</w:t>
            </w:r>
          </w:p>
        </w:tc>
        <w:tc>
          <w:tcPr>
            <w:tcW w:type="dxa" w:w="2160"/>
            <w:shd w:fill="E8EEF5"/>
            <w:tcMar>
              <w:top w:w="80" w:type="dxa"/>
              <w:start w:w="120" w:type="dxa"/>
              <w:bottom w:w="80" w:type="dxa"/>
              <w:end w:w="120" w:type="dxa"/>
            </w:tcMar>
            <w:vAlign w:val="center"/>
          </w:tcPr>
          <w:p>
            <w:pPr>
              <w:spacing w:after="0"/>
            </w:pPr>
            <w:r>
              <w:rPr>
                <w:rFonts w:ascii="Calibri" w:hAnsi="Calibri"/>
                <w:b/>
                <w:color w:val="0B2545"/>
                <w:sz w:val="17"/>
              </w:rPr>
              <w:t>Premium</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Single-page mini-site</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Basic bookings and diary</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Events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Newsletters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Not available</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Available during trial</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Invoices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Not available</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Available during trial</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Templates, galleries and content limits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Core selection and limits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Premium access</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Extended selection and limits</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Featured directory promotion</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Not available</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Available during trial</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Included</w:t>
            </w:r>
          </w:p>
        </w:tc>
      </w:tr>
      <w:tr>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Policy pages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Standard pages</w:t>
            </w:r>
          </w:p>
        </w:tc>
        <w:tc>
          <w:tcPr>
            <w:tcW w:type="dxa" w:w="2150"/>
            <w:tcMar>
              <w:top w:w="80" w:type="dxa"/>
              <w:start w:w="120" w:type="dxa"/>
              <w:bottom w:w="80" w:type="dxa"/>
              <w:end w:w="120" w:type="dxa"/>
            </w:tcMar>
            <w:vAlign w:val="center"/>
          </w:tcPr>
          <w:p>
            <w:pPr>
              <w:spacing w:after="0" w:line="252" w:lineRule="auto"/>
            </w:pPr>
            <w:r>
              <w:rPr>
                <w:rFonts w:ascii="Calibri" w:hAnsi="Calibri"/>
                <w:color w:val="202A33"/>
                <w:sz w:val="17"/>
              </w:rPr>
              <w:t>Premium customisation</w:t>
            </w:r>
          </w:p>
        </w:tc>
        <w:tc>
          <w:tcPr>
            <w:tcW w:type="dxa" w:w="2160"/>
            <w:tcMar>
              <w:top w:w="80" w:type="dxa"/>
              <w:start w:w="120" w:type="dxa"/>
              <w:bottom w:w="80" w:type="dxa"/>
              <w:end w:w="120" w:type="dxa"/>
            </w:tcMar>
            <w:vAlign w:val="center"/>
          </w:tcPr>
          <w:p>
            <w:pPr>
              <w:spacing w:after="0" w:line="252" w:lineRule="auto"/>
            </w:pPr>
            <w:r>
              <w:rPr>
                <w:rFonts w:ascii="Calibri" w:hAnsi="Calibri"/>
                <w:color w:val="202A33"/>
                <w:sz w:val="17"/>
              </w:rPr>
              <w:t>Customise existing default pages</w:t>
            </w:r>
          </w:p>
        </w:tc>
      </w:tr>
    </w:tbl>
    <w:p>
      <w:pPr>
        <w:spacing w:after="20"/>
      </w:pPr>
    </w:p>
    <w:p>
      <w:r>
        <w:rPr>
          <w:rFonts w:ascii="Calibri" w:hAnsi="Calibri"/>
          <w:b/>
          <w:sz w:val="22"/>
        </w:rPr>
        <w:t xml:space="preserve">Rule: </w:t>
      </w:r>
      <w:r>
        <w:rPr>
          <w:rFonts w:ascii="Calibri" w:hAnsi="Calibri"/>
          <w:i w:val="0"/>
          <w:sz w:val="22"/>
        </w:rPr>
        <w:t>entitlement must be evaluated centrally from businesses.plan_tier and plan_expires_at. The user interface may advertise an unavailable feature, but create, edit, send and publish actions must also be rejected server-side when the plan does not permit them.</w:t>
      </w:r>
    </w:p>
    <w:p>
      <w:pPr>
        <w:pStyle w:val="Heading1"/>
      </w:pPr>
      <w:r>
        <w:t>5. End-to-end flows</w:t>
      </w:r>
    </w:p>
    <w:p>
      <w:pPr>
        <w:pStyle w:val="Heading2"/>
      </w:pPr>
      <w:r>
        <w:t>5.1 Create and publish a business</w:t>
      </w:r>
    </w:p>
    <w:p>
      <w:r>
        <w:rPr>
          <w:rFonts w:ascii="Calibri" w:hAnsi="Calibri"/>
          <w:i w:val="0"/>
          <w:sz w:val="22"/>
        </w:rPr>
        <w:t>1. Owner submits registration details.  2. Platform validates slug, email, category and area selections.  3. Platform creates the business and linked records.  4. Platform assigns Free entitlement.  5. Owner verifies the account and completes profile details.  6. The mini-site becomes publicly available at the slug URL and searchable according to activation rules.</w:t>
      </w:r>
    </w:p>
    <w:p>
      <w:pPr>
        <w:pStyle w:val="Heading2"/>
      </w:pPr>
      <w:r>
        <w:t>5.2 Customer booking</w:t>
      </w:r>
    </w:p>
    <w:p>
      <w:r>
        <w:rPr>
          <w:rFonts w:ascii="Calibri" w:hAnsi="Calibri"/>
          <w:i w:val="0"/>
          <w:sz w:val="22"/>
        </w:rPr>
        <w:t>1. Visitor opens a mini-site.  2. Visitor selects a bookable service and available slot.  3. Platform validates current availability.  4. Platform creates a booking and diary reservation.  5. Owner and customer receive confirmation.  6. Cancellation or completion updates the same booking record and diary view.</w:t>
      </w:r>
    </w:p>
    <w:p>
      <w:pPr>
        <w:pStyle w:val="Heading2"/>
      </w:pPr>
      <w:r>
        <w:t>5.3 Premium newsletter or invoice</w:t>
      </w:r>
    </w:p>
    <w:p>
      <w:r>
        <w:rPr>
          <w:rFonts w:ascii="Calibri" w:hAnsi="Calibri"/>
          <w:i w:val="0"/>
          <w:sz w:val="22"/>
        </w:rPr>
        <w:t>1. Owner opens the Premium module.  2. Platform checks entitlement.  3. Owner prepares a newsletter or invoice.  4. Platform validates audience consent for newsletters or invoice details for invoices.  5. Platform sends or schedules the item through the delivery provider.  6. Delivery status is stored against the newsletter or invoice record for owner and superadmin audit.</w:t>
      </w:r>
    </w:p>
    <w:p>
      <w:pPr>
        <w:pStyle w:val="Heading1"/>
      </w:pPr>
      <w:r>
        <w:t>6. Logical database design</w:t>
      </w:r>
    </w:p>
    <w:p>
      <w:r>
        <w:rPr>
          <w:rFonts w:ascii="Calibri" w:hAnsi="Calibri"/>
          <w:i w:val="0"/>
          <w:sz w:val="22"/>
        </w:rPr>
        <w:t>The schema is tenant-centred: businesses is the root entity. Every owner-managed record carries business_id, which prevents data from one business being shown or modified by another. UUID or bigint primary keys are acceptable provided foreign keys and unique constraints are enforced.</w:t>
      </w:r>
    </w:p>
    <w:p>
      <w:pPr>
        <w:pStyle w:val="Heading2"/>
      </w:pPr>
      <w:r>
        <w:t>6.1 Tenant, identity and discovery entities</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c>
          <w:tcPr>
            <w:tcW w:type="dxa" w:w="2100"/>
            <w:shd w:fill="E8EEF5"/>
            <w:tcMar>
              <w:top w:w="80" w:type="dxa"/>
              <w:start w:w="120" w:type="dxa"/>
              <w:bottom w:w="80" w:type="dxa"/>
              <w:end w:w="120" w:type="dxa"/>
            </w:tcMar>
            <w:vAlign w:val="center"/>
          </w:tcPr>
          <w:p>
            <w:pPr>
              <w:spacing w:after="0"/>
            </w:pPr>
            <w:r>
              <w:rPr>
                <w:rFonts w:ascii="Calibri" w:hAnsi="Calibri"/>
                <w:b/>
                <w:color w:val="0B2545"/>
                <w:sz w:val="17"/>
              </w:rPr>
              <w:t>Table</w:t>
            </w:r>
          </w:p>
        </w:tc>
        <w:tc>
          <w:tcPr>
            <w:tcW w:type="dxa" w:w="2900"/>
            <w:shd w:fill="E8EEF5"/>
            <w:tcMar>
              <w:top w:w="80" w:type="dxa"/>
              <w:start w:w="120" w:type="dxa"/>
              <w:bottom w:w="80" w:type="dxa"/>
              <w:end w:w="120" w:type="dxa"/>
            </w:tcMar>
            <w:vAlign w:val="center"/>
          </w:tcPr>
          <w:p>
            <w:pPr>
              <w:spacing w:after="0"/>
            </w:pPr>
            <w:r>
              <w:rPr>
                <w:rFonts w:ascii="Calibri" w:hAnsi="Calibri"/>
                <w:b/>
                <w:color w:val="0B2545"/>
                <w:sz w:val="17"/>
              </w:rPr>
              <w:t>Primary key / links</w:t>
            </w:r>
          </w:p>
        </w:tc>
        <w:tc>
          <w:tcPr>
            <w:tcW w:type="dxa" w:w="4360"/>
            <w:shd w:fill="E8EEF5"/>
            <w:tcMar>
              <w:top w:w="80" w:type="dxa"/>
              <w:start w:w="120" w:type="dxa"/>
              <w:bottom w:w="80" w:type="dxa"/>
              <w:end w:w="120" w:type="dxa"/>
            </w:tcMar>
            <w:vAlign w:val="center"/>
          </w:tcPr>
          <w:p>
            <w:pPr>
              <w:spacing w:after="0"/>
            </w:pPr>
            <w:r>
              <w:rPr>
                <w:rFonts w:ascii="Calibri" w:hAnsi="Calibri"/>
                <w:b/>
                <w:color w:val="0B2545"/>
                <w:sz w:val="17"/>
              </w:rPr>
              <w:t>Purpose and key fields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businesses</w:t>
            </w:r>
          </w:p>
        </w:tc>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id; root tenant</w:t>
            </w:r>
          </w:p>
        </w:tc>
        <w:tc>
          <w:tcPr>
            <w:tcW w:type="dxa" w:w="4360"/>
            <w:tcMar>
              <w:top w:w="80" w:type="dxa"/>
              <w:start w:w="120" w:type="dxa"/>
              <w:bottom w:w="80" w:type="dxa"/>
              <w:end w:w="120" w:type="dxa"/>
            </w:tcMar>
            <w:vAlign w:val="center"/>
          </w:tcPr>
          <w:p>
            <w:pPr>
              <w:spacing w:after="0" w:line="252" w:lineRule="auto"/>
            </w:pPr>
            <w:r>
              <w:rPr>
                <w:rFonts w:ascii="Calibri" w:hAnsi="Calibri"/>
                <w:color w:val="202A33"/>
                <w:sz w:val="17"/>
              </w:rPr>
              <w:t>business_name, slug (unique), descriptions, plan_tier, plan_expires_at, is_active, timestamps.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business_owners</w:t>
            </w:r>
          </w:p>
        </w:tc>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id; business_id -&gt; businesses</w:t>
            </w:r>
          </w:p>
        </w:tc>
        <w:tc>
          <w:tcPr>
            <w:tcW w:type="dxa" w:w="4360"/>
            <w:tcMar>
              <w:top w:w="80" w:type="dxa"/>
              <w:start w:w="120" w:type="dxa"/>
              <w:bottom w:w="80" w:type="dxa"/>
              <w:end w:w="120" w:type="dxa"/>
            </w:tcMar>
            <w:vAlign w:val="center"/>
          </w:tcPr>
          <w:p>
            <w:pPr>
              <w:spacing w:after="0" w:line="252" w:lineRule="auto"/>
            </w:pPr>
            <w:r>
              <w:rPr>
                <w:rFonts w:ascii="Calibri" w:hAnsi="Calibri"/>
                <w:color w:val="202A33"/>
                <w:sz w:val="17"/>
              </w:rPr>
              <w:t>Owner name, email (unique), password_hash, verification and last-login data.</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categories / business_categories</w:t>
            </w:r>
          </w:p>
        </w:tc>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category id; business_id + category_id</w:t>
            </w:r>
          </w:p>
        </w:tc>
        <w:tc>
          <w:tcPr>
            <w:tcW w:type="dxa" w:w="4360"/>
            <w:tcMar>
              <w:top w:w="80" w:type="dxa"/>
              <w:start w:w="120" w:type="dxa"/>
              <w:bottom w:w="80" w:type="dxa"/>
              <w:end w:w="120" w:type="dxa"/>
            </w:tcMar>
            <w:vAlign w:val="center"/>
          </w:tcPr>
          <w:p>
            <w:pPr>
              <w:spacing w:after="0" w:line="252" w:lineRule="auto"/>
            </w:pPr>
            <w:r>
              <w:rPr>
                <w:rFonts w:ascii="Calibri" w:hAnsi="Calibri"/>
                <w:color w:val="202A33"/>
                <w:sz w:val="17"/>
              </w:rPr>
              <w:t>Master category list and many-to-many business classification.</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areas / business_areas</w:t>
            </w:r>
          </w:p>
        </w:tc>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area id; business_id + area_id</w:t>
            </w:r>
          </w:p>
        </w:tc>
        <w:tc>
          <w:tcPr>
            <w:tcW w:type="dxa" w:w="4360"/>
            <w:tcMar>
              <w:top w:w="80" w:type="dxa"/>
              <w:start w:w="120" w:type="dxa"/>
              <w:bottom w:w="80" w:type="dxa"/>
              <w:end w:w="120" w:type="dxa"/>
            </w:tcMar>
            <w:vAlign w:val="center"/>
          </w:tcPr>
          <w:p>
            <w:pPr>
              <w:spacing w:after="0" w:line="252" w:lineRule="auto"/>
            </w:pPr>
            <w:r>
              <w:rPr>
                <w:rFonts w:ascii="Calibri" w:hAnsi="Calibri"/>
                <w:color w:val="202A33"/>
                <w:sz w:val="17"/>
              </w:rPr>
              <w:t>Hierarchical UK geography and many-to-many service areas; a UK-wide flag is supported.</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addresses / phone_numbers / opening_hours</w:t>
            </w:r>
          </w:p>
        </w:tc>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4360"/>
            <w:tcMar>
              <w:top w:w="80" w:type="dxa"/>
              <w:start w:w="120" w:type="dxa"/>
              <w:bottom w:w="80" w:type="dxa"/>
              <w:end w:w="120" w:type="dxa"/>
            </w:tcMar>
            <w:vAlign w:val="center"/>
          </w:tcPr>
          <w:p>
            <w:pPr>
              <w:spacing w:after="0" w:line="252" w:lineRule="auto"/>
            </w:pPr>
            <w:r>
              <w:rPr>
                <w:rFonts w:ascii="Calibri" w:hAnsi="Calibri"/>
                <w:color w:val="202A33"/>
                <w:sz w:val="17"/>
              </w:rPr>
              <w:t>Contact locations, labelled phone numbers and reusable opening-hours sets.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visit_counts</w:t>
            </w:r>
          </w:p>
        </w:tc>
        <w:tc>
          <w:tcPr>
            <w:tcW w:type="dxa" w:w="29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4360"/>
            <w:tcMar>
              <w:top w:w="80" w:type="dxa"/>
              <w:start w:w="120" w:type="dxa"/>
              <w:bottom w:w="80" w:type="dxa"/>
              <w:end w:w="120" w:type="dxa"/>
            </w:tcMar>
            <w:vAlign w:val="center"/>
          </w:tcPr>
          <w:p>
            <w:pPr>
              <w:spacing w:after="0" w:line="252" w:lineRule="auto"/>
            </w:pPr>
            <w:r>
              <w:rPr>
                <w:rFonts w:ascii="Calibri" w:hAnsi="Calibri"/>
                <w:color w:val="202A33"/>
                <w:sz w:val="17"/>
              </w:rPr>
              <w:t>Aggregated weekly/monthly mini-site visits.</w:t>
            </w:r>
          </w:p>
        </w:tc>
      </w:tr>
    </w:tbl>
    <w:p>
      <w:pPr>
        <w:spacing w:after="20"/>
      </w:pPr>
    </w:p>
    <w:p>
      <w:pPr>
        <w:pStyle w:val="Heading2"/>
      </w:pPr>
      <w:r>
        <w:t>6.2 Mini-site content entities</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c>
          <w:tcPr>
            <w:tcW w:type="dxa" w:w="2600"/>
            <w:shd w:fill="E8EEF5"/>
            <w:tcMar>
              <w:top w:w="80" w:type="dxa"/>
              <w:start w:w="120" w:type="dxa"/>
              <w:bottom w:w="80" w:type="dxa"/>
              <w:end w:w="120" w:type="dxa"/>
            </w:tcMar>
            <w:vAlign w:val="center"/>
          </w:tcPr>
          <w:p>
            <w:pPr>
              <w:spacing w:after="0"/>
            </w:pPr>
            <w:r>
              <w:rPr>
                <w:rFonts w:ascii="Calibri" w:hAnsi="Calibri"/>
                <w:b/>
                <w:color w:val="0B2545"/>
                <w:sz w:val="17"/>
              </w:rPr>
              <w:t>Table group</w:t>
            </w:r>
          </w:p>
        </w:tc>
        <w:tc>
          <w:tcPr>
            <w:tcW w:type="dxa" w:w="3000"/>
            <w:shd w:fill="E8EEF5"/>
            <w:tcMar>
              <w:top w:w="80" w:type="dxa"/>
              <w:start w:w="120" w:type="dxa"/>
              <w:bottom w:w="80" w:type="dxa"/>
              <w:end w:w="120" w:type="dxa"/>
            </w:tcMar>
            <w:vAlign w:val="center"/>
          </w:tcPr>
          <w:p>
            <w:pPr>
              <w:spacing w:after="0"/>
            </w:pPr>
            <w:r>
              <w:rPr>
                <w:rFonts w:ascii="Calibri" w:hAnsi="Calibri"/>
                <w:b/>
                <w:color w:val="0B2545"/>
                <w:sz w:val="17"/>
              </w:rPr>
              <w:t>Links</w:t>
            </w:r>
          </w:p>
        </w:tc>
        <w:tc>
          <w:tcPr>
            <w:tcW w:type="dxa" w:w="3760"/>
            <w:shd w:fill="E8EEF5"/>
            <w:tcMar>
              <w:top w:w="80" w:type="dxa"/>
              <w:start w:w="120" w:type="dxa"/>
              <w:bottom w:w="80" w:type="dxa"/>
              <w:end w:w="120" w:type="dxa"/>
            </w:tcMar>
            <w:vAlign w:val="center"/>
          </w:tcPr>
          <w:p>
            <w:pPr>
              <w:spacing w:after="0"/>
            </w:pPr>
            <w:r>
              <w:rPr>
                <w:rFonts w:ascii="Calibri" w:hAnsi="Calibri"/>
                <w:b/>
                <w:color w:val="0B2545"/>
                <w:sz w:val="17"/>
              </w:rPr>
              <w:t>Purpose</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business_settings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business_settings.id = businesses.id</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Template, colour scheme, sole-trader voice and individual block visibility toggles, including events and bookings.</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templates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business_settings.template_id -&gt; templates</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Template catalogue with minimum plan tier.</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galleries / gallery_images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galleries -&gt; images</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Ordered galleries and images.</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price_lists / sections / items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list -&gt; section -&gt; item</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Structured service/product pricing.</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food_menus / sections / items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menu -&gt; section -&gt; item</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Structured food and drink menus.</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articles / callout_boxes / social_links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content record</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Published articles, promotions and profile links.</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contact_forms / form_fields / enquiries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form -&gt; field; enquiry -&gt; form</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Configurable customer contact form and stored/routed submissions.</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202A33"/>
                <w:sz w:val="17"/>
              </w:rPr>
              <w:t>policy_pages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3760"/>
            <w:tcMar>
              <w:top w:w="80" w:type="dxa"/>
              <w:start w:w="120" w:type="dxa"/>
              <w:bottom w:w="80" w:type="dxa"/>
              <w:end w:w="120" w:type="dxa"/>
            </w:tcMar>
            <w:vAlign w:val="center"/>
          </w:tcPr>
          <w:p>
            <w:pPr>
              <w:spacing w:after="0" w:line="252" w:lineRule="auto"/>
            </w:pPr>
            <w:r>
              <w:rPr>
                <w:rFonts w:ascii="Calibri" w:hAnsi="Calibri"/>
                <w:color w:val="202A33"/>
                <w:sz w:val="17"/>
              </w:rPr>
              <w:t>Overrides only the standard policy type for a paid owner; it does not create a further mini-site content page.</w:t>
            </w:r>
          </w:p>
        </w:tc>
      </w:tr>
    </w:tbl>
    <w:p>
      <w:pPr>
        <w:spacing w:after="20"/>
      </w:pPr>
    </w:p>
    <w:p>
      <w:pPr>
        <w:pStyle w:val="Heading2"/>
      </w:pPr>
      <w:r>
        <w:t>6.3 Booking, event and commercial entities</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c>
          <w:tcPr>
            <w:tcW w:type="dxa" w:w="2200"/>
            <w:shd w:fill="E8EEF5"/>
            <w:tcMar>
              <w:top w:w="80" w:type="dxa"/>
              <w:start w:w="120" w:type="dxa"/>
              <w:bottom w:w="80" w:type="dxa"/>
              <w:end w:w="120" w:type="dxa"/>
            </w:tcMar>
            <w:vAlign w:val="center"/>
          </w:tcPr>
          <w:p>
            <w:pPr>
              <w:spacing w:after="0"/>
            </w:pPr>
            <w:r>
              <w:rPr>
                <w:rFonts w:ascii="Calibri" w:hAnsi="Calibri"/>
                <w:b/>
                <w:color w:val="0B2545"/>
                <w:sz w:val="17"/>
              </w:rPr>
              <w:t>Table</w:t>
            </w:r>
          </w:p>
        </w:tc>
        <w:tc>
          <w:tcPr>
            <w:tcW w:type="dxa" w:w="3000"/>
            <w:shd w:fill="E8EEF5"/>
            <w:tcMar>
              <w:top w:w="80" w:type="dxa"/>
              <w:start w:w="120" w:type="dxa"/>
              <w:bottom w:w="80" w:type="dxa"/>
              <w:end w:w="120" w:type="dxa"/>
            </w:tcMar>
            <w:vAlign w:val="center"/>
          </w:tcPr>
          <w:p>
            <w:pPr>
              <w:spacing w:after="0"/>
            </w:pPr>
            <w:r>
              <w:rPr>
                <w:rFonts w:ascii="Calibri" w:hAnsi="Calibri"/>
                <w:b/>
                <w:color w:val="0B2545"/>
                <w:sz w:val="17"/>
              </w:rPr>
              <w:t>Links</w:t>
            </w:r>
          </w:p>
        </w:tc>
        <w:tc>
          <w:tcPr>
            <w:tcW w:type="dxa" w:w="4160"/>
            <w:shd w:fill="E8EEF5"/>
            <w:tcMar>
              <w:top w:w="80" w:type="dxa"/>
              <w:start w:w="120" w:type="dxa"/>
              <w:bottom w:w="80" w:type="dxa"/>
              <w:end w:w="120" w:type="dxa"/>
            </w:tcMar>
            <w:vAlign w:val="center"/>
          </w:tcPr>
          <w:p>
            <w:pPr>
              <w:spacing w:after="0"/>
            </w:pPr>
            <w:r>
              <w:rPr>
                <w:rFonts w:ascii="Calibri" w:hAnsi="Calibri"/>
                <w:b/>
                <w:color w:val="0B2545"/>
                <w:sz w:val="17"/>
              </w:rPr>
              <w:t>Purpose and integrity rules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bookable_services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Service, room or venue offered for booking; duration_minutes, active flag and display order.</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booking_availability</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Recurring weekday availability. Supports per-business booking windows.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bookings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 bookable_service_id -&gt; bookable_services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Customer details, start/end timestamps, status, confirmation/cancellation timestamps. A uniqueness strategy must prevent duplicate active reservations for the same resource and slot.</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events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Title, description, start/end, location, published status and display order.</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contacts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businesses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Customer contact record with email, source and newsletter consent state/date.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newsletters / newsletter_recipients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newsletters -&gt; recipients</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Premium content, schedule/send state, individual recipient outcomes and unsubscribe state.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202A33"/>
                <w:sz w:val="17"/>
              </w:rPr>
              <w:t>invoices / invoice_items</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business_id -&gt; invoices -&gt; items; booking_id optional</w:t>
            </w:r>
          </w:p>
        </w:tc>
        <w:tc>
          <w:tcPr>
            <w:tcW w:type="dxa" w:w="4160"/>
            <w:tcMar>
              <w:top w:w="80" w:type="dxa"/>
              <w:start w:w="120" w:type="dxa"/>
              <w:bottom w:w="80" w:type="dxa"/>
              <w:end w:w="120" w:type="dxa"/>
            </w:tcMar>
            <w:vAlign w:val="center"/>
          </w:tcPr>
          <w:p>
            <w:pPr>
              <w:spacing w:after="0" w:line="252" w:lineRule="auto"/>
            </w:pPr>
            <w:r>
              <w:rPr>
                <w:rFonts w:ascii="Calibri" w:hAnsi="Calibri"/>
                <w:color w:val="202A33"/>
                <w:sz w:val="17"/>
              </w:rPr>
              <w:t>Premium invoices with customer, issue/due dates, totals, delivery and payment state; optional booking relationship.</w:t>
            </w:r>
          </w:p>
        </w:tc>
      </w:tr>
    </w:tbl>
    <w:p>
      <w:pPr>
        <w:spacing w:after="20"/>
      </w:pPr>
    </w:p>
    <w:p>
      <w:pPr>
        <w:pStyle w:val="Heading2"/>
      </w:pPr>
      <w:r>
        <w:t>6.4 Relationship map</w:t>
      </w:r>
    </w:p>
    <w:tbl>
      <w:tblPr>
        <w:tblStyle w:val="TableGrid"/>
        <w:tblW w:type="dxa" w:w="9360"/>
        <w:jc w:val="left"/>
        <w:tblLayout w:type="fixed"/>
        <w:tblLook w:firstColumn="1" w:firstRow="1" w:lastColumn="0" w:lastRow="0" w:noHBand="0" w:noVBand="1" w:val="04A0"/>
        <w:tblInd w:w="120" w:type="dxa"/>
      </w:tblPr>
      <w:tblGrid>
        <w:gridCol w:w="1900"/>
        <w:gridCol w:w="1300"/>
        <w:gridCol w:w="3000"/>
        <w:gridCol w:w="3160"/>
      </w:tblGrid>
      <w:tr>
        <w:tc>
          <w:tcPr>
            <w:tcW w:type="dxa" w:w="1900"/>
            <w:shd w:fill="E8EEF5"/>
            <w:tcMar>
              <w:top w:w="80" w:type="dxa"/>
              <w:start w:w="120" w:type="dxa"/>
              <w:bottom w:w="80" w:type="dxa"/>
              <w:end w:w="120" w:type="dxa"/>
            </w:tcMar>
            <w:vAlign w:val="center"/>
          </w:tcPr>
          <w:p>
            <w:pPr>
              <w:spacing w:after="0"/>
            </w:pPr>
            <w:r>
              <w:rPr>
                <w:rFonts w:ascii="Calibri" w:hAnsi="Calibri"/>
                <w:b/>
                <w:color w:val="0B2545"/>
                <w:sz w:val="17"/>
              </w:rPr>
              <w:t>From</w:t>
            </w:r>
          </w:p>
        </w:tc>
        <w:tc>
          <w:tcPr>
            <w:tcW w:type="dxa" w:w="1300"/>
            <w:shd w:fill="E8EEF5"/>
            <w:tcMar>
              <w:top w:w="80" w:type="dxa"/>
              <w:start w:w="120" w:type="dxa"/>
              <w:bottom w:w="80" w:type="dxa"/>
              <w:end w:w="120" w:type="dxa"/>
            </w:tcMar>
            <w:vAlign w:val="center"/>
          </w:tcPr>
          <w:p>
            <w:pPr>
              <w:spacing w:after="0"/>
            </w:pPr>
            <w:r>
              <w:rPr>
                <w:rFonts w:ascii="Calibri" w:hAnsi="Calibri"/>
                <w:b/>
                <w:color w:val="0B2545"/>
                <w:sz w:val="17"/>
              </w:rPr>
              <w:t>Relationship</w:t>
            </w:r>
          </w:p>
        </w:tc>
        <w:tc>
          <w:tcPr>
            <w:tcW w:type="dxa" w:w="3000"/>
            <w:shd w:fill="E8EEF5"/>
            <w:tcMar>
              <w:top w:w="80" w:type="dxa"/>
              <w:start w:w="120" w:type="dxa"/>
              <w:bottom w:w="80" w:type="dxa"/>
              <w:end w:w="120" w:type="dxa"/>
            </w:tcMar>
            <w:vAlign w:val="center"/>
          </w:tcPr>
          <w:p>
            <w:pPr>
              <w:spacing w:after="0"/>
            </w:pPr>
            <w:r>
              <w:rPr>
                <w:rFonts w:ascii="Calibri" w:hAnsi="Calibri"/>
                <w:b/>
                <w:color w:val="0B2545"/>
                <w:sz w:val="17"/>
              </w:rPr>
              <w:t>To</w:t>
            </w:r>
          </w:p>
        </w:tc>
        <w:tc>
          <w:tcPr>
            <w:tcW w:type="dxa" w:w="3160"/>
            <w:shd w:fill="E8EEF5"/>
            <w:tcMar>
              <w:top w:w="80" w:type="dxa"/>
              <w:start w:w="120" w:type="dxa"/>
              <w:bottom w:w="80" w:type="dxa"/>
              <w:end w:w="120" w:type="dxa"/>
            </w:tcMar>
            <w:vAlign w:val="center"/>
          </w:tcPr>
          <w:p>
            <w:pPr>
              <w:spacing w:after="0"/>
            </w:pPr>
            <w:r>
              <w:rPr>
                <w:rFonts w:ascii="Calibri" w:hAnsi="Calibri"/>
                <w:b/>
                <w:color w:val="0B2545"/>
                <w:sz w:val="17"/>
              </w:rPr>
              <w:t>Why it matters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businesses</w:t>
            </w:r>
          </w:p>
        </w:tc>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1 : many</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owners, content, bookings, events, contacts, newsletters, invoices</w:t>
            </w:r>
          </w:p>
        </w:tc>
        <w:tc>
          <w:tcPr>
            <w:tcW w:type="dxa" w:w="3160"/>
            <w:tcMar>
              <w:top w:w="80" w:type="dxa"/>
              <w:start w:w="120" w:type="dxa"/>
              <w:bottom w:w="80" w:type="dxa"/>
              <w:end w:w="120" w:type="dxa"/>
            </w:tcMar>
            <w:vAlign w:val="center"/>
          </w:tcPr>
          <w:p>
            <w:pPr>
              <w:spacing w:after="0" w:line="252" w:lineRule="auto"/>
            </w:pPr>
            <w:r>
              <w:rPr>
                <w:rFonts w:ascii="Calibri" w:hAnsi="Calibri"/>
                <w:color w:val="202A33"/>
                <w:sz w:val="17"/>
              </w:rPr>
              <w:t>Business isolation and plan entitlement originate at the tenant.</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businesses</w:t>
            </w:r>
          </w:p>
        </w:tc>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1 : 1</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business_settings</w:t>
            </w:r>
          </w:p>
        </w:tc>
        <w:tc>
          <w:tcPr>
            <w:tcW w:type="dxa" w:w="3160"/>
            <w:tcMar>
              <w:top w:w="80" w:type="dxa"/>
              <w:start w:w="120" w:type="dxa"/>
              <w:bottom w:w="80" w:type="dxa"/>
              <w:end w:w="120" w:type="dxa"/>
            </w:tcMar>
            <w:vAlign w:val="center"/>
          </w:tcPr>
          <w:p>
            <w:pPr>
              <w:spacing w:after="0" w:line="252" w:lineRule="auto"/>
            </w:pPr>
            <w:r>
              <w:rPr>
                <w:rFonts w:ascii="Calibri" w:hAnsi="Calibri"/>
                <w:color w:val="202A33"/>
                <w:sz w:val="17"/>
              </w:rPr>
              <w:t>Controls the public mini-site's presentation and enabled blocks.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bookable_services</w:t>
            </w:r>
          </w:p>
        </w:tc>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1 : many</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bookings</w:t>
            </w:r>
          </w:p>
        </w:tc>
        <w:tc>
          <w:tcPr>
            <w:tcW w:type="dxa" w:w="3160"/>
            <w:tcMar>
              <w:top w:w="80" w:type="dxa"/>
              <w:start w:w="120" w:type="dxa"/>
              <w:bottom w:w="80" w:type="dxa"/>
              <w:end w:w="120" w:type="dxa"/>
            </w:tcMar>
            <w:vAlign w:val="center"/>
          </w:tcPr>
          <w:p>
            <w:pPr>
              <w:spacing w:after="0" w:line="252" w:lineRule="auto"/>
            </w:pPr>
            <w:r>
              <w:rPr>
                <w:rFonts w:ascii="Calibri" w:hAnsi="Calibri"/>
                <w:color w:val="202A33"/>
                <w:sz w:val="17"/>
              </w:rPr>
              <w:t>Each booking identifies the selected service or resource.</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bookings</w:t>
            </w:r>
          </w:p>
        </w:tc>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0 : many</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invoices</w:t>
            </w:r>
          </w:p>
        </w:tc>
        <w:tc>
          <w:tcPr>
            <w:tcW w:type="dxa" w:w="3160"/>
            <w:tcMar>
              <w:top w:w="80" w:type="dxa"/>
              <w:start w:w="120" w:type="dxa"/>
              <w:bottom w:w="80" w:type="dxa"/>
              <w:end w:w="120" w:type="dxa"/>
            </w:tcMar>
            <w:vAlign w:val="center"/>
          </w:tcPr>
          <w:p>
            <w:pPr>
              <w:spacing w:after="0" w:line="252" w:lineRule="auto"/>
            </w:pPr>
            <w:r>
              <w:rPr>
                <w:rFonts w:ascii="Calibri" w:hAnsi="Calibri"/>
                <w:color w:val="202A33"/>
                <w:sz w:val="17"/>
              </w:rPr>
              <w:t>An invoice may refer to a booking; an invoice is not required for free booking flow.</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contacts</w:t>
            </w:r>
          </w:p>
        </w:tc>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many : many</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newsletters via newsletter_recipients</w:t>
            </w:r>
          </w:p>
        </w:tc>
        <w:tc>
          <w:tcPr>
            <w:tcW w:type="dxa" w:w="3160"/>
            <w:tcMar>
              <w:top w:w="80" w:type="dxa"/>
              <w:start w:w="120" w:type="dxa"/>
              <w:bottom w:w="80" w:type="dxa"/>
              <w:end w:w="120" w:type="dxa"/>
            </w:tcMar>
            <w:vAlign w:val="center"/>
          </w:tcPr>
          <w:p>
            <w:pPr>
              <w:spacing w:after="0" w:line="252" w:lineRule="auto"/>
            </w:pPr>
            <w:r>
              <w:rPr>
                <w:rFonts w:ascii="Calibri" w:hAnsi="Calibri"/>
                <w:color w:val="202A33"/>
                <w:sz w:val="17"/>
              </w:rPr>
              <w:t>A contact can receive multiple newsletters; consent is checked before recipient records are created.</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business_categories / business_areas</w:t>
            </w:r>
          </w:p>
        </w:tc>
        <w:tc>
          <w:tcPr>
            <w:tcW w:type="dxa" w:w="1300"/>
            <w:tcMar>
              <w:top w:w="80" w:type="dxa"/>
              <w:start w:w="120" w:type="dxa"/>
              <w:bottom w:w="80" w:type="dxa"/>
              <w:end w:w="120" w:type="dxa"/>
            </w:tcMar>
            <w:vAlign w:val="center"/>
          </w:tcPr>
          <w:p>
            <w:pPr>
              <w:spacing w:after="0" w:line="252" w:lineRule="auto"/>
            </w:pPr>
            <w:r>
              <w:rPr>
                <w:rFonts w:ascii="Calibri" w:hAnsi="Calibri"/>
                <w:color w:val="202A33"/>
                <w:sz w:val="17"/>
              </w:rPr>
              <w:t>many : many</w:t>
            </w:r>
          </w:p>
        </w:tc>
        <w:tc>
          <w:tcPr>
            <w:tcW w:type="dxa" w:w="3000"/>
            <w:tcMar>
              <w:top w:w="80" w:type="dxa"/>
              <w:start w:w="120" w:type="dxa"/>
              <w:bottom w:w="80" w:type="dxa"/>
              <w:end w:w="120" w:type="dxa"/>
            </w:tcMar>
            <w:vAlign w:val="center"/>
          </w:tcPr>
          <w:p>
            <w:pPr>
              <w:spacing w:after="0" w:line="252" w:lineRule="auto"/>
            </w:pPr>
            <w:r>
              <w:rPr>
                <w:rFonts w:ascii="Calibri" w:hAnsi="Calibri"/>
                <w:color w:val="202A33"/>
                <w:sz w:val="17"/>
              </w:rPr>
              <w:t>categories / areas</w:t>
            </w:r>
          </w:p>
        </w:tc>
        <w:tc>
          <w:tcPr>
            <w:tcW w:type="dxa" w:w="3160"/>
            <w:tcMar>
              <w:top w:w="80" w:type="dxa"/>
              <w:start w:w="120" w:type="dxa"/>
              <w:bottom w:w="80" w:type="dxa"/>
              <w:end w:w="120" w:type="dxa"/>
            </w:tcMar>
            <w:vAlign w:val="center"/>
          </w:tcPr>
          <w:p>
            <w:pPr>
              <w:spacing w:after="0" w:line="252" w:lineRule="auto"/>
            </w:pPr>
            <w:r>
              <w:rPr>
                <w:rFonts w:ascii="Calibri" w:hAnsi="Calibri"/>
                <w:color w:val="202A33"/>
                <w:sz w:val="17"/>
              </w:rPr>
              <w:t>Drives local directory filters and relevance matching.</w:t>
            </w:r>
          </w:p>
        </w:tc>
      </w:tr>
    </w:tbl>
    <w:p>
      <w:pPr>
        <w:spacing w:after="20"/>
      </w:pPr>
    </w:p>
    <w:p>
      <w:pPr>
        <w:pStyle w:val="Heading1"/>
      </w:pPr>
      <w:r>
        <w:t>7. Access control and validation</w:t>
      </w:r>
    </w:p>
    <w:tbl>
      <w:tblPr>
        <w:tblStyle w:val="TableGrid"/>
        <w:tblW w:type="dxa" w:w="9360"/>
        <w:jc w:val="left"/>
        <w:tblLayout w:type="fixed"/>
        <w:tblLook w:firstColumn="1" w:firstRow="1" w:lastColumn="0" w:lastRow="0" w:noHBand="0" w:noVBand="1" w:val="04A0"/>
        <w:tblInd w:w="120" w:type="dxa"/>
      </w:tblPr>
      <w:tblGrid>
        <w:gridCol w:w="2250"/>
        <w:gridCol w:w="7110"/>
      </w:tblGrid>
      <w:tr>
        <w:tc>
          <w:tcPr>
            <w:tcW w:type="dxa" w:w="2250"/>
            <w:shd w:fill="E8EEF5"/>
            <w:tcMar>
              <w:top w:w="80" w:type="dxa"/>
              <w:start w:w="120" w:type="dxa"/>
              <w:bottom w:w="80" w:type="dxa"/>
              <w:end w:w="120" w:type="dxa"/>
            </w:tcMar>
            <w:vAlign w:val="center"/>
          </w:tcPr>
          <w:p>
            <w:pPr>
              <w:spacing w:after="0"/>
            </w:pPr>
            <w:r>
              <w:rPr>
                <w:rFonts w:ascii="Calibri" w:hAnsi="Calibri"/>
                <w:b/>
                <w:color w:val="0B2545"/>
                <w:sz w:val="17"/>
              </w:rPr>
              <w:t>Control</w:t>
            </w:r>
          </w:p>
        </w:tc>
        <w:tc>
          <w:tcPr>
            <w:tcW w:type="dxa" w:w="7110"/>
            <w:shd w:fill="E8EEF5"/>
            <w:tcMar>
              <w:top w:w="80" w:type="dxa"/>
              <w:start w:w="120" w:type="dxa"/>
              <w:bottom w:w="80" w:type="dxa"/>
              <w:end w:w="120" w:type="dxa"/>
            </w:tcMar>
            <w:vAlign w:val="center"/>
          </w:tcPr>
          <w:p>
            <w:pPr>
              <w:spacing w:after="0"/>
            </w:pPr>
            <w:r>
              <w:rPr>
                <w:rFonts w:ascii="Calibri" w:hAnsi="Calibri"/>
                <w:b/>
                <w:color w:val="0B2545"/>
                <w:sz w:val="17"/>
              </w:rPr>
              <w:t>Required behaviour</w:t>
            </w:r>
          </w:p>
        </w:tc>
      </w:tr>
      <w:tr>
        <w:tc>
          <w:tcPr>
            <w:tcW w:type="dxa" w:w="2250"/>
            <w:tcMar>
              <w:top w:w="80" w:type="dxa"/>
              <w:start w:w="120" w:type="dxa"/>
              <w:bottom w:w="80" w:type="dxa"/>
              <w:end w:w="120" w:type="dxa"/>
            </w:tcMar>
            <w:vAlign w:val="center"/>
          </w:tcPr>
          <w:p>
            <w:pPr>
              <w:spacing w:after="0" w:line="252" w:lineRule="auto"/>
            </w:pPr>
            <w:r>
              <w:rPr>
                <w:rFonts w:ascii="Calibri" w:hAnsi="Calibri"/>
                <w:color w:val="202A33"/>
                <w:sz w:val="17"/>
              </w:rPr>
              <w:t>Tenant isolation</w:t>
            </w:r>
          </w:p>
        </w:tc>
        <w:tc>
          <w:tcPr>
            <w:tcW w:type="dxa" w:w="7110"/>
            <w:tcMar>
              <w:top w:w="80" w:type="dxa"/>
              <w:start w:w="120" w:type="dxa"/>
              <w:bottom w:w="80" w:type="dxa"/>
              <w:end w:w="120" w:type="dxa"/>
            </w:tcMar>
            <w:vAlign w:val="center"/>
          </w:tcPr>
          <w:p>
            <w:pPr>
              <w:spacing w:after="0" w:line="252" w:lineRule="auto"/>
            </w:pPr>
            <w:r>
              <w:rPr>
                <w:rFonts w:ascii="Calibri" w:hAnsi="Calibri"/>
                <w:color w:val="202A33"/>
                <w:sz w:val="17"/>
              </w:rPr>
              <w:t>All owner and customer-facing lookups must filter by business_id. An owner cannot access another business's records by altering an identifier.</w:t>
            </w:r>
          </w:p>
        </w:tc>
      </w:tr>
      <w:tr>
        <w:tc>
          <w:tcPr>
            <w:tcW w:type="dxa" w:w="2250"/>
            <w:tcMar>
              <w:top w:w="80" w:type="dxa"/>
              <w:start w:w="120" w:type="dxa"/>
              <w:bottom w:w="80" w:type="dxa"/>
              <w:end w:w="120" w:type="dxa"/>
            </w:tcMar>
            <w:vAlign w:val="center"/>
          </w:tcPr>
          <w:p>
            <w:pPr>
              <w:spacing w:after="0" w:line="252" w:lineRule="auto"/>
            </w:pPr>
            <w:r>
              <w:rPr>
                <w:rFonts w:ascii="Calibri" w:hAnsi="Calibri"/>
                <w:color w:val="202A33"/>
                <w:sz w:val="17"/>
              </w:rPr>
              <w:t>Role checks</w:t>
            </w:r>
          </w:p>
        </w:tc>
        <w:tc>
          <w:tcPr>
            <w:tcW w:type="dxa" w:w="7110"/>
            <w:tcMar>
              <w:top w:w="80" w:type="dxa"/>
              <w:start w:w="120" w:type="dxa"/>
              <w:bottom w:w="80" w:type="dxa"/>
              <w:end w:w="120" w:type="dxa"/>
            </w:tcMar>
            <w:vAlign w:val="center"/>
          </w:tcPr>
          <w:p>
            <w:pPr>
              <w:spacing w:after="0" w:line="252" w:lineRule="auto"/>
            </w:pPr>
            <w:r>
              <w:rPr>
                <w:rFonts w:ascii="Calibri" w:hAnsi="Calibri"/>
                <w:color w:val="202A33"/>
                <w:sz w:val="17"/>
              </w:rPr>
              <w:t>Routes require visitor, owner or superadmin authorisation. Superadmin manage mode must be explicit, logged and reversible.</w:t>
            </w:r>
          </w:p>
        </w:tc>
      </w:tr>
      <w:tr>
        <w:tc>
          <w:tcPr>
            <w:tcW w:type="dxa" w:w="2250"/>
            <w:tcMar>
              <w:top w:w="80" w:type="dxa"/>
              <w:start w:w="120" w:type="dxa"/>
              <w:bottom w:w="80" w:type="dxa"/>
              <w:end w:w="120" w:type="dxa"/>
            </w:tcMar>
            <w:vAlign w:val="center"/>
          </w:tcPr>
          <w:p>
            <w:pPr>
              <w:spacing w:after="0" w:line="252" w:lineRule="auto"/>
            </w:pPr>
            <w:r>
              <w:rPr>
                <w:rFonts w:ascii="Calibri" w:hAnsi="Calibri"/>
                <w:color w:val="202A33"/>
                <w:sz w:val="17"/>
              </w:rPr>
              <w:t>Booking validation</w:t>
            </w:r>
          </w:p>
        </w:tc>
        <w:tc>
          <w:tcPr>
            <w:tcW w:type="dxa" w:w="7110"/>
            <w:tcMar>
              <w:top w:w="80" w:type="dxa"/>
              <w:start w:w="120" w:type="dxa"/>
              <w:bottom w:w="80" w:type="dxa"/>
              <w:end w:w="120" w:type="dxa"/>
            </w:tcMar>
            <w:vAlign w:val="center"/>
          </w:tcPr>
          <w:p>
            <w:pPr>
              <w:spacing w:after="0" w:line="252" w:lineRule="auto"/>
            </w:pPr>
            <w:r>
              <w:rPr>
                <w:rFonts w:ascii="Calibri" w:hAnsi="Calibri"/>
                <w:color w:val="202A33"/>
                <w:sz w:val="17"/>
              </w:rPr>
              <w:t>Server checks service activity, time format, availability and conflicts at submission time; client-side availability display is not sufficient.</w:t>
            </w:r>
          </w:p>
        </w:tc>
      </w:tr>
      <w:tr>
        <w:tc>
          <w:tcPr>
            <w:tcW w:type="dxa" w:w="2250"/>
            <w:tcMar>
              <w:top w:w="80" w:type="dxa"/>
              <w:start w:w="120" w:type="dxa"/>
              <w:bottom w:w="80" w:type="dxa"/>
              <w:end w:w="120" w:type="dxa"/>
            </w:tcMar>
            <w:vAlign w:val="center"/>
          </w:tcPr>
          <w:p>
            <w:pPr>
              <w:spacing w:after="0" w:line="252" w:lineRule="auto"/>
            </w:pPr>
            <w:r>
              <w:rPr>
                <w:rFonts w:ascii="Calibri" w:hAnsi="Calibri"/>
                <w:color w:val="202A33"/>
                <w:sz w:val="17"/>
              </w:rPr>
              <w:t>Plan checks</w:t>
            </w:r>
          </w:p>
        </w:tc>
        <w:tc>
          <w:tcPr>
            <w:tcW w:type="dxa" w:w="7110"/>
            <w:tcMar>
              <w:top w:w="80" w:type="dxa"/>
              <w:start w:w="120" w:type="dxa"/>
              <w:bottom w:w="80" w:type="dxa"/>
              <w:end w:w="120" w:type="dxa"/>
            </w:tcMar>
            <w:vAlign w:val="center"/>
          </w:tcPr>
          <w:p>
            <w:pPr>
              <w:spacing w:after="0" w:line="252" w:lineRule="auto"/>
            </w:pPr>
            <w:r>
              <w:rPr>
                <w:rFonts w:ascii="Calibri" w:hAnsi="Calibri"/>
                <w:color w:val="202A33"/>
                <w:sz w:val="17"/>
              </w:rPr>
              <w:t>Server checks plan tier and expiry for Premium newsletter, invoice, template and promotion operations.</w:t>
            </w:r>
          </w:p>
        </w:tc>
      </w:tr>
      <w:tr>
        <w:tc>
          <w:tcPr>
            <w:tcW w:type="dxa" w:w="2250"/>
            <w:tcMar>
              <w:top w:w="80" w:type="dxa"/>
              <w:start w:w="120" w:type="dxa"/>
              <w:bottom w:w="80" w:type="dxa"/>
              <w:end w:w="120" w:type="dxa"/>
            </w:tcMar>
            <w:vAlign w:val="center"/>
          </w:tcPr>
          <w:p>
            <w:pPr>
              <w:spacing w:after="0" w:line="252" w:lineRule="auto"/>
            </w:pPr>
            <w:r>
              <w:rPr>
                <w:rFonts w:ascii="Calibri" w:hAnsi="Calibri"/>
                <w:color w:val="202A33"/>
                <w:sz w:val="17"/>
              </w:rPr>
              <w:t>Newsletter consent</w:t>
            </w:r>
          </w:p>
        </w:tc>
        <w:tc>
          <w:tcPr>
            <w:tcW w:type="dxa" w:w="7110"/>
            <w:tcMar>
              <w:top w:w="80" w:type="dxa"/>
              <w:start w:w="120" w:type="dxa"/>
              <w:bottom w:w="80" w:type="dxa"/>
              <w:end w:w="120" w:type="dxa"/>
            </w:tcMar>
            <w:vAlign w:val="center"/>
          </w:tcPr>
          <w:p>
            <w:pPr>
              <w:spacing w:after="0" w:line="252" w:lineRule="auto"/>
            </w:pPr>
            <w:r>
              <w:rPr>
                <w:rFonts w:ascii="Calibri" w:hAnsi="Calibri"/>
                <w:color w:val="202A33"/>
                <w:sz w:val="17"/>
              </w:rPr>
              <w:t>A recipient must have active consent before a newsletter recipient record is created or an email is sent. Unsubscribe state is durable.</w:t>
            </w:r>
          </w:p>
        </w:tc>
      </w:tr>
      <w:tr>
        <w:tc>
          <w:tcPr>
            <w:tcW w:type="dxa" w:w="2250"/>
            <w:tcMar>
              <w:top w:w="80" w:type="dxa"/>
              <w:start w:w="120" w:type="dxa"/>
              <w:bottom w:w="80" w:type="dxa"/>
              <w:end w:w="120" w:type="dxa"/>
            </w:tcMar>
            <w:vAlign w:val="center"/>
          </w:tcPr>
          <w:p>
            <w:pPr>
              <w:spacing w:after="0" w:line="252" w:lineRule="auto"/>
            </w:pPr>
            <w:r>
              <w:rPr>
                <w:rFonts w:ascii="Calibri" w:hAnsi="Calibri"/>
                <w:color w:val="202A33"/>
                <w:sz w:val="17"/>
              </w:rPr>
              <w:t>Auditability</w:t>
            </w:r>
          </w:p>
        </w:tc>
        <w:tc>
          <w:tcPr>
            <w:tcW w:type="dxa" w:w="7110"/>
            <w:tcMar>
              <w:top w:w="80" w:type="dxa"/>
              <w:start w:w="120" w:type="dxa"/>
              <w:bottom w:w="80" w:type="dxa"/>
              <w:end w:w="120" w:type="dxa"/>
            </w:tcMar>
            <w:vAlign w:val="center"/>
          </w:tcPr>
          <w:p>
            <w:pPr>
              <w:spacing w:after="0" w:line="252" w:lineRule="auto"/>
            </w:pPr>
            <w:r>
              <w:rPr>
                <w:rFonts w:ascii="Calibri" w:hAnsi="Calibri"/>
                <w:color w:val="202A33"/>
                <w:sz w:val="17"/>
              </w:rPr>
              <w:t>Creation, sending, cancellation, plan and superadmin actions store timestamps and actor identity where practical.</w:t>
            </w:r>
          </w:p>
        </w:tc>
      </w:tr>
    </w:tbl>
    <w:p>
      <w:pPr>
        <w:spacing w:after="20"/>
      </w:pPr>
    </w:p>
    <w:p>
      <w:pPr>
        <w:pStyle w:val="Heading1"/>
      </w:pPr>
      <w:r>
        <w:t>8. Routes and integration boundaries</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shd w:fill="E8EEF5"/>
            <w:tcMar>
              <w:top w:w="80" w:type="dxa"/>
              <w:start w:w="120" w:type="dxa"/>
              <w:bottom w:w="80" w:type="dxa"/>
              <w:end w:w="120" w:type="dxa"/>
            </w:tcMar>
            <w:vAlign w:val="center"/>
          </w:tcPr>
          <w:p>
            <w:pPr>
              <w:spacing w:after="0"/>
            </w:pPr>
            <w:r>
              <w:rPr>
                <w:rFonts w:ascii="Calibri" w:hAnsi="Calibri"/>
                <w:b/>
                <w:color w:val="0B2545"/>
                <w:sz w:val="17"/>
              </w:rPr>
              <w:t>Surface</w:t>
            </w:r>
          </w:p>
        </w:tc>
        <w:tc>
          <w:tcPr>
            <w:tcW w:type="dxa" w:w="3500"/>
            <w:shd w:fill="E8EEF5"/>
            <w:tcMar>
              <w:top w:w="80" w:type="dxa"/>
              <w:start w:w="120" w:type="dxa"/>
              <w:bottom w:w="80" w:type="dxa"/>
              <w:end w:w="120" w:type="dxa"/>
            </w:tcMar>
            <w:vAlign w:val="center"/>
          </w:tcPr>
          <w:p>
            <w:pPr>
              <w:spacing w:after="0"/>
            </w:pPr>
            <w:r>
              <w:rPr>
                <w:rFonts w:ascii="Calibri" w:hAnsi="Calibri"/>
                <w:b/>
                <w:color w:val="0B2545"/>
                <w:sz w:val="17"/>
              </w:rPr>
              <w:t>Example route or boundary</w:t>
            </w:r>
          </w:p>
        </w:tc>
        <w:tc>
          <w:tcPr>
            <w:tcW w:type="dxa" w:w="3960"/>
            <w:shd w:fill="E8EEF5"/>
            <w:tcMar>
              <w:top w:w="80" w:type="dxa"/>
              <w:start w:w="120" w:type="dxa"/>
              <w:bottom w:w="80" w:type="dxa"/>
              <w:end w:w="120" w:type="dxa"/>
            </w:tcMar>
            <w:vAlign w:val="center"/>
          </w:tcPr>
          <w:p>
            <w:pPr>
              <w:spacing w:after="0"/>
            </w:pPr>
            <w:r>
              <w:rPr>
                <w:rFonts w:ascii="Calibri" w:hAnsi="Calibri"/>
                <w:b/>
                <w:color w:val="0B2545"/>
                <w:sz w:val="17"/>
              </w:rPr>
              <w:t>Backed by</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Public directory</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 and search parameters</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businesses, categories, areas, events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Mini-site</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/[slug]</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businesses, settings, content blocks, events, bookable services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Booking action</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/[slug]/book or booking API</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availability, bookings, transactional email</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Owner dashboard</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/admin/[section]</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owner session, business-scoped tables, plan gate</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Premium modules</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/admin/newsletters and /admin/invoices</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contacts/newsletters or invoices; server entitlement check</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Superadmin</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/superadmin</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platform-wide records, audit/manage-mode controls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A33"/>
                <w:sz w:val="17"/>
              </w:rPr>
              <w:t>Email provider</w:t>
            </w:r>
          </w:p>
        </w:tc>
        <w:tc>
          <w:tcPr>
            <w:tcW w:type="dxa" w:w="3500"/>
            <w:tcMar>
              <w:top w:w="80" w:type="dxa"/>
              <w:start w:w="120" w:type="dxa"/>
              <w:bottom w:w="80" w:type="dxa"/>
              <w:end w:w="120" w:type="dxa"/>
            </w:tcMar>
            <w:vAlign w:val="center"/>
          </w:tcPr>
          <w:p>
            <w:pPr>
              <w:spacing w:after="0" w:line="252" w:lineRule="auto"/>
            </w:pPr>
            <w:r>
              <w:rPr>
                <w:rFonts w:ascii="Calibri" w:hAnsi="Calibri"/>
                <w:color w:val="202A33"/>
                <w:sz w:val="17"/>
              </w:rPr>
              <w:t>transactional and bulk-delivery integration</w:t>
            </w:r>
          </w:p>
        </w:tc>
        <w:tc>
          <w:tcPr>
            <w:tcW w:type="dxa" w:w="3960"/>
            <w:tcMar>
              <w:top w:w="80" w:type="dxa"/>
              <w:start w:w="120" w:type="dxa"/>
              <w:bottom w:w="80" w:type="dxa"/>
              <w:end w:w="120" w:type="dxa"/>
            </w:tcMar>
            <w:vAlign w:val="center"/>
          </w:tcPr>
          <w:p>
            <w:pPr>
              <w:spacing w:after="0" w:line="252" w:lineRule="auto"/>
            </w:pPr>
            <w:r>
              <w:rPr>
                <w:rFonts w:ascii="Calibri" w:hAnsi="Calibri"/>
                <w:color w:val="202A33"/>
                <w:sz w:val="17"/>
              </w:rPr>
              <w:t>booking confirmations/cancellations, verification, contact forms, newsletters, invoices</w:t>
            </w:r>
          </w:p>
        </w:tc>
      </w:tr>
    </w:tbl>
    <w:p>
      <w:pPr>
        <w:spacing w:after="20"/>
      </w:pPr>
    </w:p>
    <w:p>
      <w:pPr>
        <w:pStyle w:val="Heading1"/>
      </w:pPr>
      <w:r>
        <w:t>9. Acceptance criteria</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vAlign w:val="center"/>
          </w:tcPr>
          <w:p>
            <w:pPr>
              <w:spacing w:after="0"/>
            </w:pPr>
            <w:r>
              <w:rPr>
                <w:rFonts w:ascii="Calibri" w:hAnsi="Calibri"/>
                <w:b/>
                <w:color w:val="0B2545"/>
                <w:sz w:val="17"/>
              </w:rPr>
              <w:t>Area</w:t>
            </w:r>
          </w:p>
        </w:tc>
        <w:tc>
          <w:tcPr>
            <w:tcW w:type="dxa" w:w="7260"/>
            <w:shd w:fill="E8EEF5"/>
            <w:tcMar>
              <w:top w:w="80" w:type="dxa"/>
              <w:start w:w="120" w:type="dxa"/>
              <w:bottom w:w="80" w:type="dxa"/>
              <w:end w:w="120" w:type="dxa"/>
            </w:tcMar>
            <w:vAlign w:val="center"/>
          </w:tcPr>
          <w:p>
            <w:pPr>
              <w:spacing w:after="0"/>
            </w:pPr>
            <w:r>
              <w:rPr>
                <w:rFonts w:ascii="Calibri" w:hAnsi="Calibri"/>
                <w:b/>
                <w:color w:val="0B2545"/>
                <w:sz w:val="17"/>
              </w:rPr>
              <w:t>Minimum acceptance criterion</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Free booking</w:t>
            </w:r>
          </w:p>
        </w:tc>
        <w:tc>
          <w:tcPr>
            <w:tcW w:type="dxa" w:w="7260"/>
            <w:tcMar>
              <w:top w:w="80" w:type="dxa"/>
              <w:start w:w="120" w:type="dxa"/>
              <w:bottom w:w="80" w:type="dxa"/>
              <w:end w:w="120" w:type="dxa"/>
            </w:tcMar>
            <w:vAlign w:val="center"/>
          </w:tcPr>
          <w:p>
            <w:pPr>
              <w:spacing w:after="0" w:line="252" w:lineRule="auto"/>
            </w:pPr>
            <w:r>
              <w:rPr>
                <w:rFonts w:ascii="Calibri" w:hAnsi="Calibri"/>
                <w:color w:val="202A33"/>
                <w:sz w:val="17"/>
              </w:rPr>
              <w:t>A Free business can publish a bookable service, expose availability on its mini-site, receive a booking in its diary and send confirmation/cancellation emails.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Events</w:t>
            </w:r>
          </w:p>
        </w:tc>
        <w:tc>
          <w:tcPr>
            <w:tcW w:type="dxa" w:w="7260"/>
            <w:tcMar>
              <w:top w:w="80" w:type="dxa"/>
              <w:start w:w="120" w:type="dxa"/>
              <w:bottom w:w="80" w:type="dxa"/>
              <w:end w:w="120" w:type="dxa"/>
            </w:tcMar>
            <w:vAlign w:val="center"/>
          </w:tcPr>
          <w:p>
            <w:pPr>
              <w:spacing w:after="0" w:line="252" w:lineRule="auto"/>
            </w:pPr>
            <w:r>
              <w:rPr>
                <w:rFonts w:ascii="Calibri" w:hAnsi="Calibri"/>
                <w:color w:val="202A33"/>
                <w:sz w:val="17"/>
              </w:rPr>
              <w:t>A Free business can publish an event that appears on its mini-site and can be surfaced in relevant directory results.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Premium boundary</w:t>
            </w:r>
          </w:p>
        </w:tc>
        <w:tc>
          <w:tcPr>
            <w:tcW w:type="dxa" w:w="7260"/>
            <w:tcMar>
              <w:top w:w="80" w:type="dxa"/>
              <w:start w:w="120" w:type="dxa"/>
              <w:bottom w:w="80" w:type="dxa"/>
              <w:end w:w="120" w:type="dxa"/>
            </w:tcMar>
            <w:vAlign w:val="center"/>
          </w:tcPr>
          <w:p>
            <w:pPr>
              <w:spacing w:after="0" w:line="252" w:lineRule="auto"/>
            </w:pPr>
            <w:r>
              <w:rPr>
                <w:rFonts w:ascii="Calibri" w:hAnsi="Calibri"/>
                <w:color w:val="202A33"/>
                <w:sz w:val="17"/>
              </w:rPr>
              <w:t>A Free owner cannot create or send a newsletter or invoice; a trial or Premium owner can, subject to normal validation.</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Single-page model</w:t>
            </w:r>
          </w:p>
        </w:tc>
        <w:tc>
          <w:tcPr>
            <w:tcW w:type="dxa" w:w="7260"/>
            <w:tcMar>
              <w:top w:w="80" w:type="dxa"/>
              <w:start w:w="120" w:type="dxa"/>
              <w:bottom w:w="80" w:type="dxa"/>
              <w:end w:w="120" w:type="dxa"/>
            </w:tcMar>
            <w:vAlign w:val="center"/>
          </w:tcPr>
          <w:p>
            <w:pPr>
              <w:spacing w:after="0" w:line="252" w:lineRule="auto"/>
            </w:pPr>
            <w:r>
              <w:rPr>
                <w:rFonts w:ascii="Calibri" w:hAnsi="Calibri"/>
                <w:color w:val="202A33"/>
                <w:sz w:val="17"/>
              </w:rPr>
              <w:t>The platform exposes one mini-site per business. Policy routes are standard policy documents; paid customisation does not create additional content pages.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Data links</w:t>
            </w:r>
          </w:p>
        </w:tc>
        <w:tc>
          <w:tcPr>
            <w:tcW w:type="dxa" w:w="7260"/>
            <w:tcMar>
              <w:top w:w="80" w:type="dxa"/>
              <w:start w:w="120" w:type="dxa"/>
              <w:bottom w:w="80" w:type="dxa"/>
              <w:end w:w="120" w:type="dxa"/>
            </w:tcMar>
            <w:vAlign w:val="center"/>
          </w:tcPr>
          <w:p>
            <w:pPr>
              <w:spacing w:after="0" w:line="252" w:lineRule="auto"/>
            </w:pPr>
            <w:r>
              <w:rPr>
                <w:rFonts w:ascii="Calibri" w:hAnsi="Calibri"/>
                <w:color w:val="202A33"/>
                <w:sz w:val="17"/>
              </w:rPr>
              <w:t>A booking, event, invoice, newsletter and contact can always be traced to exactly one business, and owner access is scoped to that business.</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202A33"/>
                <w:sz w:val="17"/>
              </w:rPr>
              <w:t>Directory role</w:t>
            </w:r>
          </w:p>
        </w:tc>
        <w:tc>
          <w:tcPr>
            <w:tcW w:type="dxa" w:w="7260"/>
            <w:tcMar>
              <w:top w:w="80" w:type="dxa"/>
              <w:start w:w="120" w:type="dxa"/>
              <w:bottom w:w="80" w:type="dxa"/>
              <w:end w:w="120" w:type="dxa"/>
            </w:tcMar>
            <w:vAlign w:val="center"/>
          </w:tcPr>
          <w:p>
            <w:pPr>
              <w:spacing w:after="0" w:line="252" w:lineRule="auto"/>
            </w:pPr>
            <w:r>
              <w:rPr>
                <w:rFonts w:ascii="Calibri" w:hAnsi="Calibri"/>
                <w:color w:val="202A33"/>
                <w:sz w:val="17"/>
              </w:rPr>
              <w:t>A business can be discovered by category and area, but all result cards lead to the mini-site and owner account functions remain the core product.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470"/>
        <w:sz w:val="17"/>
      </w:rPr>
      <w:t>MLSB |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MLSB Functional Specification</dc:title>
  <dc:subject>Functional requirements, logical database design and component relationships</dc:subject>
  <dc:creator>My Local Small Business</dc:creator>
  <cp:keywords/>
  <dc:description>generated by python-docx</dc:description>
  <cp:lastModifiedBy/>
  <cp:revision>1</cp:revision>
  <dcterms:created xsi:type="dcterms:W3CDTF">2013-12-23T23:15:00Z</dcterms:created>
  <dcterms:modified xsi:type="dcterms:W3CDTF">2013-12-23T23:15:00Z</dcterms:modified>
  <cp:category/>
</cp:coreProperties>
</file>