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A365D"/>
          <w:sz w:val="36"/>
        </w:rPr>
        <w:t>Fe-Cr-Ni-Mo-Vx 激光熔覆层配方文献查证报告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718096"/>
          <w:sz w:val="22"/>
        </w:rPr>
        <w:t>（可直接用 Microsoft Word / WPS 打开）</w:t>
      </w:r>
    </w:p>
    <w:p>
      <w:r>
        <w:rPr>
          <w:rFonts w:ascii="Times New Roman" w:hAnsi="Times New Roman" w:eastAsia="宋体"/>
          <w:b/>
          <w:sz w:val="20"/>
        </w:rPr>
        <w:t>生成说明：</w:t>
      </w:r>
      <w:r>
        <w:rPr>
          <w:rFonts w:ascii="Times New Roman" w:hAnsi="Times New Roman" w:eastAsia="宋体"/>
          <w:b w:val="0"/>
          <w:sz w:val="20"/>
        </w:rPr>
        <w:t>本文档由 AI 助手根据公开网络检索结果整理。DOI 与结论请到 Google Scholar / Web of Science / 知网原库逐条核实后再引用。</w:t>
      </w:r>
    </w:p>
    <w:p>
      <w:pPr>
        <w:pStyle w:val="Heading1"/>
      </w:pPr>
      <w:r>
        <w:rPr>
          <w:rFonts w:ascii="Times New Roman" w:hAnsi="Times New Roman" w:eastAsia="黑体"/>
        </w:rPr>
        <w:t>一、总体结论</w:t>
      </w:r>
    </w:p>
    <w:p>
      <w:r>
        <w:rPr>
          <w:rFonts w:ascii="Times New Roman" w:hAnsi="Times New Roman" w:eastAsia="宋体"/>
          <w:b w:val="0"/>
          <w:sz w:val="24"/>
        </w:rPr>
        <w:t>你的具体配方（Fe-Cr-Ni-Mo-Vx 非等原子、固定 Fe:Cr:Ni:Mo 比例、仅梯度调 V）未检索到完全相同的报道；但研究“套路”（固定体系只调一个元素）与“邻居体系”（含 V 的 Fe 基 / 高熵熔覆层）均有较多文献。</w:t>
      </w:r>
    </w:p>
    <w:p>
      <w:r>
        <w:rPr>
          <w:rFonts w:ascii="Times New Roman" w:hAnsi="Times New Roman" w:eastAsia="宋体"/>
          <w:b/>
          <w:sz w:val="24"/>
        </w:rPr>
        <w:t>新颖性成立，但需在 Introduction 中明确与 AlCoCrMoVx、Al0.25CoCrFeNiV 等含 V 体系的区别。</w:t>
      </w:r>
    </w:p>
    <w:p>
      <w:pPr>
        <w:pStyle w:val="Heading1"/>
      </w:pPr>
      <w:r>
        <w:rPr>
          <w:rFonts w:ascii="Times New Roman" w:hAnsi="Times New Roman" w:eastAsia="黑体"/>
        </w:rPr>
        <w:t>二、高度相似 / 撞车风险文献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文献体系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与本方案关系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风险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AlCoCrMoVx (V=0~1.0, 激光熔覆, JMR&amp;T 2023)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同样固定其余、只梯度调 V，测组织/耐磨/耐蚀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高：方法论最像，须强调无 Al 无 Co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Al0.25CoCrFeNiV (激光熔覆, Materials 2022)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含 V 五元+，V 析出细化、Fe 稀释梯度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AlCrFeNiV (原位激光熔覆, AEM 2025)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含 V 的 Fe 基高熵体系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CoCrFeMnNiVx (V 梯度, JAC 2015, 铸态)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“调 V 研究 V 作用”范式来源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三、邻居体系（背景引用）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Fe-Mo-V-C 激光熔覆涂层：1600 W 时硬度约 1020 HV0.2，耐磨性约基材 14 倍，V 以 VC / V₈C₇ 弥散强化。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FeCrV15 激光熔覆（Metals 2024）：γ-Fe + V₈C₇ + Cr₇C₃，硬度约基材 2.5 倍。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钒对 Fe-Cr-Ni-C 耐磨涂层影响：V=6% 时无裂纹、耐磨提升 1.65 倍，过量 V 韧性下降。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FeCoCrNiMo / (CrFeNiAl)₁₀₀₋ₓMoₓ：大量“固定体系 + 梯度调一元素”的 Mo 版研究。</w:t>
      </w:r>
    </w:p>
    <w:p>
      <w:pPr>
        <w:pStyle w:val="Heading1"/>
      </w:pPr>
      <w:r>
        <w:rPr>
          <w:rFonts w:ascii="Times New Roman" w:hAnsi="Times New Roman" w:eastAsia="黑体"/>
        </w:rPr>
        <w:t>四、关键机制提醒</w:t>
      </w:r>
    </w:p>
    <w:p>
      <w:r>
        <w:rPr>
          <w:rFonts w:ascii="Times New Roman" w:hAnsi="Times New Roman" w:eastAsia="宋体"/>
          <w:b/>
          <w:color w:val="C53030"/>
          <w:sz w:val="24"/>
        </w:rPr>
        <w:t>注意：</w:t>
      </w:r>
      <w:r>
        <w:rPr>
          <w:rFonts w:ascii="Times New Roman" w:hAnsi="Times New Roman" w:eastAsia="宋体"/>
          <w:b w:val="0"/>
          <w:sz w:val="24"/>
        </w:rPr>
        <w:t>多数 Fe 基强化文献中 V 靠形成 VC / 碳化物强化，但本配方为纯金属粉（无 C），V 更可能表现为固溶强化 + 诱导 σ / Laves 金属间化合物。讨论中不要照搬“VC 弥散强化”结论，应以实际 XRD / EDS 结果为准。</w:t>
      </w:r>
    </w:p>
    <w:p>
      <w:pPr>
        <w:pStyle w:val="Heading1"/>
      </w:pPr>
      <w:r>
        <w:rPr>
          <w:rFonts w:ascii="Times New Roman" w:hAnsi="Times New Roman" w:eastAsia="黑体"/>
        </w:rPr>
        <w:t>五、建议检索关键词（自行复核）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Fe-Cr-Ni-Mo-V laser cladding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FeCrNiMoVx coating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vanadium multi-principal Fe-based cladding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非等原子 Fe基 高熵 熔覆 钒</w:t>
      </w:r>
    </w:p>
    <w:p>
      <w:pPr>
        <w:pStyle w:val="Heading1"/>
      </w:pPr>
      <w:r>
        <w:rPr>
          <w:rFonts w:ascii="Times New Roman" w:hAnsi="Times New Roman" w:eastAsia="黑体"/>
        </w:rPr>
        <w:t>六、对本实验方案的简要评价</w:t>
      </w:r>
    </w:p>
    <w:p>
      <w:r>
        <w:rPr>
          <w:rFonts w:ascii="Times New Roman" w:hAnsi="Times New Roman" w:eastAsia="宋体"/>
          <w:b/>
          <w:sz w:val="24"/>
        </w:rPr>
        <w:t>优点：</w:t>
      </w:r>
      <w:r>
        <w:rPr>
          <w:rFonts w:ascii="Times New Roman" w:hAnsi="Times New Roman" w:eastAsia="宋体"/>
          <w:b w:val="0"/>
          <w:sz w:val="24"/>
        </w:rPr>
        <w:t>变量单一（只调 V）、双对照（S0 + V0）、表征矩阵完整（XRD/SEM/EDS/硬度/摩擦磨损/极化/EIS）、配粉表验算正确、风险预案齐全。</w:t>
      </w:r>
    </w:p>
    <w:p>
      <w:r>
        <w:rPr>
          <w:rFonts w:ascii="Times New Roman" w:hAnsi="Times New Roman" w:eastAsia="宋体"/>
          <w:b/>
          <w:sz w:val="24"/>
        </w:rPr>
        <w:t>注意点：</w:t>
      </w:r>
      <w:r>
        <w:rPr>
          <w:rFonts w:ascii="Times New Roman" w:hAnsi="Times New Roman" w:eastAsia="宋体"/>
          <w:b w:val="0"/>
          <w:sz w:val="24"/>
        </w:rPr>
        <w:t>高 V 组（V15/V20）脆性相与开裂风险；单质粉成分均匀性需实测验证；投稿前须补全测试标准与稀释率量化方法。</w:t>
      </w:r>
    </w:p>
    <w:p>
      <w:r>
        <w:rPr>
          <w:rFonts w:ascii="Times New Roman" w:hAnsi="Times New Roman" w:eastAsia="宋体"/>
          <w:b/>
          <w:sz w:val="24"/>
        </w:rPr>
        <w:t>结论：</w:t>
      </w:r>
      <w:r>
        <w:rPr>
          <w:rFonts w:ascii="Times New Roman" w:hAnsi="Times New Roman" w:eastAsia="宋体"/>
          <w:b w:val="0"/>
          <w:sz w:val="24"/>
        </w:rPr>
        <w:t>方案可直接执行。新颖性成立，若数据完整可按 SCI 三区或二区边缘准备。</w:t>
      </w:r>
    </w:p>
    <w:p>
      <w:r>
        <w:rPr>
          <w:rFonts w:ascii="Times New Roman" w:hAnsi="Times New Roman" w:eastAsia="宋体"/>
          <w:b w:val="0"/>
          <w:color w:val="718096"/>
          <w:sz w:val="18"/>
        </w:rPr>
        <w:br/>
        <w:t>—— 文件格式：标准 .docx，可用 Microsoft Word / WPS Office / LibreOffice 直接打开。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