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C"/>
          <w:sz w:val="20"/>
          <w:szCs w:val="20"/>
        </w:rPr>
        <w:t xml:space="preserve">TSM Consultz</w:t>
      </w:r>
    </w:p>
    <w:p>
      <w:pPr>
        <w:pStyle w:val="Heading1"/>
        <w:spacing w:after="60"/>
      </w:pPr>
      <w:r>
        <w:rPr>
          <w:b/>
          <w:bCs/>
          <w:color w:val="1A1A1A"/>
          <w:sz w:val="32"/>
          <w:szCs w:val="32"/>
        </w:rPr>
        <w:t xml:space="preserve">Denial Recovery Copilot — Pilot Statement of Work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A scoped, no-cost evaluation of AI-assisted denial appeal analysis on de-identified claim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HonorHealth Medical Group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TSM Consultz LLC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 Montee, Revenue Cycle Manager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Latorrey Whitehead, TSM Consultz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Pilot duration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weeks from kickoff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1. Objective</w:t>
      </w:r>
    </w:p>
    <w:p>
      <w:pPr>
        <w:spacing w:after="100"/>
      </w:pPr>
      <w:r>
        <w:rPr>
          <w:sz w:val="20"/>
          <w:szCs w:val="20"/>
        </w:rPr>
        <w:t xml:space="preserve">Determine whether the Denial Recovery Copilot produces appeal-plan guidance (root cause, dollar exposure, deadline, and next steps) that HonorHealth's revenue cycle team judges accurate and useful enough to justify moving to a paid engagement — before any commercial commitment is made.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2.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20–30 de-identified or sample denial records, drawn from a single office or specialty selected by HonorHealth.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record run through the 5-engine pipeline to produce a full appeal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Weekly summary comparing the tool's recommendations against what HonorHealth's team actually did or would 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One kickoff call and one pilot-review call, each 30 minutes.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3. Data Handling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No live patient data (PHI) will be used during this pilot unless and until a signed Business Associate Agreement (BAA) is in place between HonorHealth and TSM Consultz. Until then, the pilot runs exclusively on de-identified or synthetic sample records provided or approved by HonorHealth.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4. What TSM Provides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Access to the Denial Recovery Copilot for the pilot's scope and duration.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written appeal-plan output for every record submitted, with denial code and policy citation for each recommendation.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short written summary at the end of the pilot: accuracy observations, time-per-denial estimate, and recommended next step.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5. What HonorHealth Provides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De-identified or sample denial records (20–30) in a common format — PDF, scanned image, or plain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One point of contact to answer clarifying questions and review outputs.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Feedback on whether each appeal plan matched what an experienced RCM team member would recommend.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6.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defined majority of appeal plans (target: 80%+) are rated 'accurate and actionable' by HonorHealth's reviewer.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Turnaround per denial is meaningfully faster than the team's current manual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HonorHealth agrees the pilot supports moving to the next stage (see Section 8).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7. Out of Scope for This Pilot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claim submission, appeal filing, or direct payer contact on HonorHealth's behalf.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integration with HonorHealth's EHR, billing system, or clearinghouse.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fee is charged for the pilot itself.</w:t>
      </w:r>
    </w:p>
    <w:p>
      <w:pPr>
        <w:pStyle w:val="Heading2"/>
        <w:spacing w:after="100" w:before="260"/>
      </w:pPr>
      <w:r>
        <w:rPr>
          <w:b/>
          <w:bCs/>
          <w:color w:val="1F5C4C"/>
          <w:sz w:val="24"/>
          <w:szCs w:val="24"/>
        </w:rPr>
        <w:t xml:space="preserve">8. Next Steps After the Pilot</w:t>
      </w:r>
    </w:p>
    <w:p>
      <w:pPr>
        <w:spacing w:after="100"/>
      </w:pPr>
      <w:r>
        <w:rPr>
          <w:sz w:val="20"/>
          <w:szCs w:val="20"/>
        </w:rPr>
        <w:t xml:space="preserve">If the success criteria are met, HonorHealth and TSM Consultz will discuss moving to one of the following, at HonorHealth's discretion: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paid BPO engagement — TSM's team works a defined volume of denials on HonorHealth's behalf under an SLA.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SaaS license — HonorHealth's own team uses the Copilot directly, with support from TSM.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further engagement, at no cost or obligation to either party.</w:t>
      </w:r>
    </w:p>
    <w:p>
      <w:pPr>
        <w:pBdr>
          <w:top w:val="single" w:color="CCCCCC" w:sz="6"/>
        </w:pBdr>
        <w:spacing w:before="300"/>
      </w:pPr>
    </w:p>
    <w:p>
      <w:pPr>
        <w:spacing w:before="160"/>
      </w:pPr>
      <w:r>
        <w:rPr>
          <w:i/>
          <w:iCs/>
          <w:color w:val="555555"/>
          <w:sz w:val="16"/>
          <w:szCs w:val="16"/>
        </w:rPr>
        <w:t xml:space="preserve">This document is a proposed scope for discussion and is not a binding contract. A signed BAA is required before any real patient data is used.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2026-08-15T05:02:39.957Z</dcterms:created>
  <dcterms:modified xsi:type="dcterms:W3CDTF">2026-08-15T05:02:39.973Z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