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TSM RECOVERY → OPERATIONAL OS</w:t>
      </w:r>
    </w:p>
    <w:p>
      <w:pPr>
        <w:pStyle w:val="Heading2"/>
        <w:spacing w:after="40"/>
      </w:pPr>
      <w:r>
        <w:t xml:space="preserve">15-Phase Roadmap: Business Value &amp; Verification Status</w:t>
      </w:r>
    </w:p>
    <w:p>
      <w:pPr>
        <w:spacing w:after="160"/>
      </w:pPr>
      <w:r>
        <w:rPr>
          <w:b/>
          <w:bCs/>
          <w:color w:val="AA0000"/>
        </w:rPr>
        <w:t xml:space="preserve">FOURTH VERIFICATION PASS — real fix, built and tested against a fresh clone in this pass</w:t>
      </w:r>
    </w:p>
    <w:p>
      <w:pPr>
        <w:spacing w:after="200"/>
      </w:pPr>
      <w:r>
        <w:rPr>
          <w:i/>
          <w:iCs/>
          <w:color w:val="555555"/>
        </w:rPr>
        <w:t xml:space="preserve">Prepared for presentation review · Repository: whiteheadlatorrey1-boop/tsm-rcm · Verified directly against a fresh clone of origin/main @ e0e09ebf · fix committed locally as 0410b071 (NOT yet pushed — see Push Status)</w:t>
      </w:r>
    </w:p>
    <w:p>
      <w:pPr>
        <w:pStyle w:val="Heading2"/>
        <w:spacing w:after="120" w:before="240"/>
      </w:pPr>
      <w:r>
        <w:t xml:space="preserve">Correction to the Prior ("Third Verification Pass") Revision</w:t>
      </w:r>
    </w:p>
    <w:p>
      <w:pPr>
        <w:spacing w:after="160"/>
      </w:pPr>
      <w:r>
        <w:t xml:space="preserve">That revision reported commit e77319c5 as fixing the Honeywell/RCM-OS governance bypass via a new shared module, html/shared/tsm-governed-exception-relay.js, plus a new server endpoint. Checked directly against a fresh clone of the real remote this pass: commit e77319c5 does not exist anywhere in git log --all, that file has never existed in this repository's history on any branch, and no such server endpoint exists in server.js. This is the same failure mode that revision itself was written to correct in the pass before it (commit 8af3f7e6, also never real).</w:t>
      </w:r>
    </w:p>
    <w:p>
      <w:pPr>
        <w:spacing w:after="160"/>
      </w:pPr>
      <w:r>
        <w:t xml:space="preserve">The practical consequence was live, not cosmetic: html/war-rooms/honeywell-strategist.html already had a &lt;script&gt; include for that non-existent file and already called window.TSMGovernedExceptionRelay.relayGovernedException(...), documented in code comments as a working fix. Since the file never existed, the include 404'd, the object was undefined, and escalateExec() silently fell into its console.warn fallback — every "Escalate to Executive" click did zero BPO relay, with no visible error to a user.</w:t>
      </w:r>
    </w:p>
    <w:p>
      <w:pPr>
        <w:pStyle w:val="Heading2"/>
        <w:spacing w:after="120" w:before="240"/>
      </w:pPr>
      <w:r>
        <w:t xml:space="preserve">What This Pass Actually Did</w:t>
      </w:r>
    </w:p>
    <w:p>
      <w:pPr>
        <w:pStyle w:val="ListParagraph"/>
        <w:numPr>
          <w:ilvl w:val="0"/>
          <w:numId w:val="1"/>
        </w:numPr>
        <w:spacing w:after="80"/>
      </w:pPr>
      <w:r>
        <w:t xml:space="preserve">Created html/shared/tsm-governed-exception-relay.js for real — a gating module matching the pattern already shipped and tested in tsm-rcm-os.html's relayCriticalExceptionsToBPO(): no active member → no write, no invented tenant; active member → a real BPO work item, PENDING (stage: ready-for-review) until a human approves it.</w:t>
      </w:r>
    </w:p>
    <w:p>
      <w:pPr>
        <w:pStyle w:val="ListParagraph"/>
        <w:numPr>
          <w:ilvl w:val="0"/>
          <w:numId w:val="1"/>
        </w:numPr>
        <w:spacing w:after="80"/>
      </w:pPr>
      <w:r>
        <w:t xml:space="preserve">clientId resolution: the active member id is passed straight through as the BPO clientId, matching RCM-OS's already-established pattern — not the never-built tenantId→clientId endpoint the prior (false) revision claimed. There is no browser-facing lookup route in this codebase for that; the one real precedent (tsmLedger.bpoGetClientByTenantId) is server-side-only, inside POST /api/exec-portal/:vertical/decide, and was intentionally left as-is rather than exposed as new attack surface.</w:t>
      </w:r>
    </w:p>
    <w:p>
      <w:pPr>
        <w:pStyle w:val="ListParagraph"/>
        <w:numPr>
          <w:ilvl w:val="0"/>
          <w:numId w:val="1"/>
        </w:numPr>
        <w:spacing w:after="80"/>
      </w:pPr>
      <w:r>
        <w:t xml:space="preserve">Removed the dead mission-model.js / mission-store.js script includes from tsm-rcm-os.html — nothing in that file has called into that path since its own tenantId:'default' bypass was fixed; they were unused dead weight.</w:t>
      </w:r>
    </w:p>
    <w:p>
      <w:pPr>
        <w:pStyle w:val="ListParagraph"/>
        <w:numPr>
          <w:ilvl w:val="0"/>
          <w:numId w:val="1"/>
        </w:numPr>
        <w:spacing w:after="80"/>
      </w:pPr>
      <w:r>
        <w:t xml:space="preserve">Wrote scripts/test-governed-exception-relay.js — 18 checks against the real module in a vm sandbox (only fetch/localStorage faked), covering: no active member, missing caseId/cacheKey, a real relay producing a PENDING work item, the per-caller idempotency cache, a member-change re-relay, and a non-fatal relay failure — plus static checks that both real call sites are actually wired to the module, not just that the module works standalone.</w:t>
      </w:r>
    </w:p>
    <w:p>
      <w:pPr>
        <w:pStyle w:val="Heading2"/>
        <w:spacing w:after="120" w:before="240"/>
      </w:pPr>
      <w:r>
        <w:t xml:space="preserve">Push Status — Disclosed, Not Assumed</w:t>
      </w:r>
    </w:p>
    <w:p>
      <w:pPr>
        <w:spacing w:after="160"/>
      </w:pPr>
      <w:r>
        <w:t xml:space="preserve">The fix above is committed locally in this session's container as 0410b071, on top of the real origin/main @ e0e09ebf. This container has no push credentials configured for the GitHub remote (confirmed: git push fails with "could not read Username for 'https://github.com'"). It is NOT on origin/main. A patch file (0001-fix-governance-shared-governed-exception-relay.patch) and the two new/changed source files are provided alongside this report so the commit can be applied and pushed from an environment that has real access — through a pull request, given this repository's branch protection requires one.</w:t>
      </w:r>
    </w:p>
    <w:p>
      <w:pPr>
        <w:pStyle w:val="Heading2"/>
        <w:spacing w:after="120" w:before="240"/>
      </w:pPr>
      <w:r>
        <w:t xml:space="preserve">Executive Summary</w:t>
      </w:r>
    </w:p>
    <w:p>
      <w:pPr>
        <w:spacing w:after="160"/>
      </w:pPr>
      <w:r>
        <w:t xml:space="preserve">This roadmap delivers a governed, auditable revenue-recovery pipeline from raw denial data (Phase 1) through safe, human-approved automation (Phase 15). This revision keeps the discipline the prior pass stated but did not follow: every claim about test counts and commit state is checked directly, this pass, against real output — not retyped from an earlier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EFEFEF" w:val="clear"/>
            <w:tcMar>
              <w:top w:type="dxa" w:w="80"/>
              <w:left w:type="dxa" w:w="100"/>
              <w:bottom w:type="dxa" w:w="80"/>
              <w:right w:type="dxa" w:w="100"/>
            </w:tcMar>
            <w:vAlign w:val="center"/>
          </w:tcPr>
          <w:p>
            <w:pPr>
              <w:jc w:val="center"/>
            </w:pPr>
            <w:r>
              <w:rPr>
                <w:b/>
                <w:bCs/>
              </w:rPr>
              <w:t xml:space="preserve">15 of 15</w:t>
            </w:r>
          </w:p>
        </w:tc>
        <w:tc>
          <w:tcPr>
            <w:tcW w:type="dxa" w:w="7750"/>
            <w:tcMar>
              <w:top w:type="dxa" w:w="80"/>
              <w:left w:type="dxa" w:w="100"/>
              <w:bottom w:type="dxa" w:w="80"/>
              <w:right w:type="dxa" w:w="100"/>
            </w:tcMar>
            <w:vAlign w:val="center"/>
          </w:tcPr>
          <w:p>
            <w:pPr>
              <w:jc w:val="left"/>
            </w:pPr>
            <w:r>
              <w:rPr>
                <w:b w:val="false"/>
                <w:bCs w:val="false"/>
              </w:rPr>
              <w:t xml:space="preserve">phases have direct or indirect execution-verified test coverage — re-run individually this pass, not carried forward as a claim</w:t>
            </w:r>
          </w:p>
        </w:tc>
      </w:tr>
      <w:tr>
        <w:tc>
          <w:tcPr>
            <w:tcW w:type="dxa" w:w="1600"/>
            <w:shd w:fill="EFEFEF" w:val="clear"/>
            <w:tcMar>
              <w:top w:type="dxa" w:w="80"/>
              <w:left w:type="dxa" w:w="100"/>
              <w:bottom w:type="dxa" w:w="80"/>
              <w:right w:type="dxa" w:w="100"/>
            </w:tcMar>
            <w:vAlign w:val="center"/>
          </w:tcPr>
          <w:p>
            <w:pPr>
              <w:jc w:val="center"/>
            </w:pPr>
            <w:r>
              <w:rPr>
                <w:b/>
                <w:bCs/>
              </w:rPr>
              <w:t xml:space="preserve">466</w:t>
            </w:r>
          </w:p>
        </w:tc>
        <w:tc>
          <w:tcPr>
            <w:tcW w:type="dxa" w:w="7750"/>
            <w:tcMar>
              <w:top w:type="dxa" w:w="80"/>
              <w:left w:type="dxa" w:w="100"/>
              <w:bottom w:type="dxa" w:w="80"/>
              <w:right w:type="dxa" w:w="100"/>
            </w:tcMar>
            <w:vAlign w:val="center"/>
          </w:tcPr>
          <w:p>
            <w:pPr>
              <w:jc w:val="left"/>
            </w:pPr>
            <w:r>
              <w:rPr>
                <w:b w:val="false"/>
                <w:bCs w:val="false"/>
              </w:rPr>
              <w:t xml:space="preserve">individual test assertions/checks re-run and passing this pass: the 448 from the prior pass (independently re-counted, not re-typed) + 18 new checks for the relay module actually built this pass</w:t>
            </w:r>
          </w:p>
        </w:tc>
      </w:tr>
      <w:tr>
        <w:tc>
          <w:tcPr>
            <w:tcW w:type="dxa" w:w="1600"/>
            <w:shd w:fill="EFEFEF" w:val="clear"/>
            <w:tcMar>
              <w:top w:type="dxa" w:w="80"/>
              <w:left w:type="dxa" w:w="100"/>
              <w:bottom w:type="dxa" w:w="80"/>
              <w:right w:type="dxa" w:w="100"/>
            </w:tcMar>
            <w:vAlign w:val="center"/>
          </w:tcPr>
          <w:p>
            <w:pPr>
              <w:jc w:val="center"/>
            </w:pPr>
            <w:r>
              <w:rPr>
                <w:b/>
                <w:bCs/>
              </w:rPr>
              <w:t xml:space="preserve">1</w:t>
            </w:r>
          </w:p>
        </w:tc>
        <w:tc>
          <w:tcPr>
            <w:tcW w:type="dxa" w:w="7750"/>
            <w:tcMar>
              <w:top w:type="dxa" w:w="80"/>
              <w:left w:type="dxa" w:w="100"/>
              <w:bottom w:type="dxa" w:w="80"/>
              <w:right w:type="dxa" w:w="100"/>
            </w:tcMar>
            <w:vAlign w:val="center"/>
          </w:tcPr>
          <w:p>
            <w:pPr>
              <w:jc w:val="left"/>
            </w:pPr>
            <w:r>
              <w:rPr>
                <w:b w:val="false"/>
                <w:bCs w:val="false"/>
              </w:rPr>
              <w:t xml:space="preserve">real defect found and fixed this pass: Honeywell's escalateExec() referenced a shared relay module that was documented in code comments as real but never existed anywhere in this repo's history — the include 404'd and every "Escalate to Executive" click silently did zero BPO relay</w:t>
            </w:r>
          </w:p>
        </w:tc>
      </w:tr>
      <w:tr>
        <w:tc>
          <w:tcPr>
            <w:tcW w:type="dxa" w:w="1600"/>
            <w:shd w:fill="EFEFEF" w:val="clear"/>
            <w:tcMar>
              <w:top w:type="dxa" w:w="80"/>
              <w:left w:type="dxa" w:w="100"/>
              <w:bottom w:type="dxa" w:w="80"/>
              <w:right w:type="dxa" w:w="100"/>
            </w:tcMar>
            <w:vAlign w:val="center"/>
          </w:tcPr>
          <w:p>
            <w:pPr>
              <w:jc w:val="center"/>
            </w:pPr>
            <w:r>
              <w:rPr>
                <w:b/>
                <w:bCs/>
              </w:rPr>
              <w:t xml:space="preserve">2</w:t>
            </w:r>
          </w:p>
        </w:tc>
        <w:tc>
          <w:tcPr>
            <w:tcW w:type="dxa" w:w="7750"/>
            <w:tcMar>
              <w:top w:type="dxa" w:w="80"/>
              <w:left w:type="dxa" w:w="100"/>
              <w:bottom w:type="dxa" w:w="80"/>
              <w:right w:type="dxa" w:w="100"/>
            </w:tcMar>
            <w:vAlign w:val="center"/>
          </w:tcPr>
          <w:p>
            <w:pPr>
              <w:jc w:val="left"/>
            </w:pPr>
            <w:r>
              <w:rPr>
                <w:b w:val="false"/>
                <w:bCs w:val="false"/>
              </w:rPr>
              <w:t xml:space="preserve">prior status documents corrected by this one: the "Second Verification Pass" claimed commit 8af3f7e6 (never existed); the "Third Verification Pass" claimed commit e77319c5 and a shared relay module (neither ever existed). This pass's own commit is disclosed as NOT YET on origin/main — see Push Status below, rather than repeating that pattern</w:t>
            </w:r>
          </w:p>
        </w:tc>
      </w:tr>
    </w:tbl>
    <w:p>
      <w:pPr>
        <w:pStyle w:val="Heading2"/>
        <w:spacing w:after="120" w:before="240"/>
      </w:pPr>
      <w:r>
        <w:t xml:space="preserve">The 15 Phases</w:t>
      </w:r>
    </w:p>
    <w:p>
      <w:pPr>
        <w:spacing w:after="200"/>
      </w:pPr>
      <w:r>
        <w:rPr>
          <w:i/>
          <w:iCs/>
          <w:color w:val="555555"/>
        </w:rPr>
        <w:t xml:space="preserve">"Verification" reflects what was executed during this pass. Every numeric count below was independently re-run and, where the test runner's own summary line omitted a count, re-counted directly from that suite's own OK/FAIL output — not retyped from the prior revision.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50"/>
        <w:gridCol w:w="1200"/>
        <w:gridCol w:w="2800"/>
      </w:tblGrid>
      <w:tr>
        <w:trPr>
          <w:tblHeader/>
        </w:trPr>
        <w:tc>
          <w:tcPr>
            <w:tcW w:type="dxa" w:w="500"/>
            <w:shd w:fill="D9E2F3" w:val="clear"/>
            <w:tcMar>
              <w:top w:type="dxa" w:w="80"/>
              <w:left w:type="dxa" w:w="100"/>
              <w:bottom w:type="dxa" w:w="80"/>
              <w:right w:type="dxa" w:w="100"/>
            </w:tcMar>
            <w:vAlign w:val="center"/>
          </w:tcPr>
          <w:p>
            <w:pPr>
              <w:jc w:val="center"/>
            </w:pPr>
            <w:r>
              <w:rPr>
                <w:b/>
                <w:bCs/>
              </w:rPr>
              <w:t xml:space="preserve">#</w:t>
            </w:r>
          </w:p>
        </w:tc>
        <w:tc>
          <w:tcPr>
            <w:tcW w:type="dxa" w:w="2000"/>
            <w:shd w:fill="D9E2F3" w:val="clear"/>
            <w:tcMar>
              <w:top w:type="dxa" w:w="80"/>
              <w:left w:type="dxa" w:w="100"/>
              <w:bottom w:type="dxa" w:w="80"/>
              <w:right w:type="dxa" w:w="100"/>
            </w:tcMar>
            <w:vAlign w:val="center"/>
          </w:tcPr>
          <w:p>
            <w:pPr>
              <w:jc w:val="left"/>
            </w:pPr>
            <w:r>
              <w:rPr>
                <w:b/>
                <w:bCs/>
              </w:rPr>
              <w:t xml:space="preserve">Phase</w:t>
            </w:r>
          </w:p>
        </w:tc>
        <w:tc>
          <w:tcPr>
            <w:tcW w:type="dxa" w:w="2850"/>
            <w:shd w:fill="D9E2F3" w:val="clear"/>
            <w:tcMar>
              <w:top w:type="dxa" w:w="80"/>
              <w:left w:type="dxa" w:w="100"/>
              <w:bottom w:type="dxa" w:w="80"/>
              <w:right w:type="dxa" w:w="100"/>
            </w:tcMar>
            <w:vAlign w:val="center"/>
          </w:tcPr>
          <w:p>
            <w:pPr>
              <w:jc w:val="left"/>
            </w:pPr>
            <w:r>
              <w:rPr>
                <w:b/>
                <w:bCs/>
              </w:rPr>
              <w:t xml:space="preserve">Business Value</w:t>
            </w:r>
          </w:p>
        </w:tc>
        <w:tc>
          <w:tcPr>
            <w:tcW w:type="dxa" w:w="1200"/>
            <w:shd w:fill="D9E2F3" w:val="clear"/>
            <w:tcMar>
              <w:top w:type="dxa" w:w="80"/>
              <w:left w:type="dxa" w:w="100"/>
              <w:bottom w:type="dxa" w:w="80"/>
              <w:right w:type="dxa" w:w="100"/>
            </w:tcMar>
            <w:vAlign w:val="center"/>
          </w:tcPr>
          <w:p>
            <w:pPr>
              <w:jc w:val="left"/>
            </w:pPr>
            <w:r>
              <w:rPr>
                <w:b/>
                <w:bCs/>
              </w:rPr>
              <w:t xml:space="preserve">Verification</w:t>
            </w:r>
          </w:p>
        </w:tc>
        <w:tc>
          <w:tcPr>
            <w:tcW w:type="dxa" w:w="2800"/>
            <w:shd w:fill="D9E2F3" w:val="clear"/>
            <w:tcMar>
              <w:top w:type="dxa" w:w="80"/>
              <w:left w:type="dxa" w:w="100"/>
              <w:bottom w:type="dxa" w:w="80"/>
              <w:right w:type="dxa" w:w="100"/>
            </w:tcMar>
            <w:vAlign w:val="center"/>
          </w:tcPr>
          <w:p>
            <w:pPr>
              <w:jc w:val="left"/>
            </w:pPr>
            <w:r>
              <w:rPr>
                <w:b/>
                <w:bCs/>
              </w:rPr>
              <w:t xml:space="preserve">Evidence</w:t>
            </w:r>
          </w:p>
        </w:tc>
      </w:tr>
      <w:tr>
        <w:tc>
          <w:tcPr>
            <w:tcW w:type="dxa" w:w="500"/>
            <w:tcMar>
              <w:top w:type="dxa" w:w="80"/>
              <w:left w:type="dxa" w:w="100"/>
              <w:bottom w:type="dxa" w:w="80"/>
              <w:right w:type="dxa" w:w="100"/>
            </w:tcMar>
            <w:vAlign w:val="center"/>
          </w:tcPr>
          <w:p>
            <w:pPr>
              <w:jc w:val="center"/>
            </w:pPr>
            <w:r>
              <w:rPr>
                <w:b w:val="false"/>
                <w:bCs w:val="false"/>
              </w:rPr>
              <w:t xml:space="preserve">1</w:t>
            </w:r>
          </w:p>
        </w:tc>
        <w:tc>
          <w:tcPr>
            <w:tcW w:type="dxa" w:w="2000"/>
            <w:tcMar>
              <w:top w:type="dxa" w:w="80"/>
              <w:left w:type="dxa" w:w="100"/>
              <w:bottom w:type="dxa" w:w="80"/>
              <w:right w:type="dxa" w:w="100"/>
            </w:tcMar>
            <w:vAlign w:val="center"/>
          </w:tcPr>
          <w:p>
            <w:pPr>
              <w:jc w:val="left"/>
            </w:pPr>
            <w:r>
              <w:rPr>
                <w:b/>
                <w:bCs/>
              </w:rPr>
              <w:t xml:space="preserve">HC Recovery Foundation</w:t>
            </w:r>
          </w:p>
        </w:tc>
        <w:tc>
          <w:tcPr>
            <w:tcW w:type="dxa" w:w="2850"/>
            <w:tcMar>
              <w:top w:type="dxa" w:w="80"/>
              <w:left w:type="dxa" w:w="100"/>
              <w:bottom w:type="dxa" w:w="80"/>
              <w:right w:type="dxa" w:w="100"/>
            </w:tcMar>
            <w:vAlign w:val="center"/>
          </w:tcPr>
          <w:p>
            <w:pPr>
              <w:jc w:val="left"/>
            </w:pPr>
            <w:r>
              <w:rPr>
                <w:b w:val="false"/>
                <w:bCs w:val="false"/>
              </w:rPr>
              <w:t xml:space="preserve">Establishes one trustworthy, canonical case record every later phase depends on.</w:t>
            </w:r>
          </w:p>
        </w:tc>
        <w:tc>
          <w:tcPr>
            <w:tcW w:type="dxa" w:w="1200"/>
            <w:tcMar>
              <w:top w:type="dxa" w:w="80"/>
              <w:left w:type="dxa" w:w="100"/>
              <w:bottom w:type="dxa" w:w="80"/>
              <w:right w:type="dxa" w:w="100"/>
            </w:tcMar>
            <w:vAlign w:val="center"/>
          </w:tcPr>
          <w:p>
            <w:pPr>
              <w:jc w:val="left"/>
            </w:pPr>
            <w:r>
              <w:rPr>
                <w:b w:val="false"/>
                <w:bCs w:val="false"/>
              </w:rPr>
              <w:t xml:space="preserve">Tested (indirect)</w:t>
            </w:r>
          </w:p>
        </w:tc>
        <w:tc>
          <w:tcPr>
            <w:tcW w:type="dxa" w:w="2800"/>
            <w:tcMar>
              <w:top w:type="dxa" w:w="80"/>
              <w:left w:type="dxa" w:w="100"/>
              <w:bottom w:type="dxa" w:w="80"/>
              <w:right w:type="dxa" w:w="100"/>
            </w:tcMar>
            <w:vAlign w:val="center"/>
          </w:tcPr>
          <w:p>
            <w:pPr>
              <w:jc w:val="left"/>
            </w:pPr>
            <w:r>
              <w:rPr>
                <w:b w:val="false"/>
                <w:bCs w:val="false"/>
              </w:rPr>
              <w:t xml:space="preserve">Ingest gate covered inside the Phase 14 route suite (test-bpo-os-routes.js — 52 passed, 0 failed, re-run this pass).</w:t>
            </w:r>
          </w:p>
        </w:tc>
      </w:tr>
      <w:tr>
        <w:tc>
          <w:tcPr>
            <w:tcW w:type="dxa" w:w="500"/>
            <w:tcMar>
              <w:top w:type="dxa" w:w="80"/>
              <w:left w:type="dxa" w:w="100"/>
              <w:bottom w:type="dxa" w:w="80"/>
              <w:right w:type="dxa" w:w="100"/>
            </w:tcMar>
            <w:vAlign w:val="center"/>
          </w:tcPr>
          <w:p>
            <w:pPr>
              <w:jc w:val="center"/>
            </w:pPr>
            <w:r>
              <w:rPr>
                <w:b w:val="false"/>
                <w:bCs w:val="false"/>
              </w:rPr>
              <w:t xml:space="preserve">2</w:t>
            </w:r>
          </w:p>
        </w:tc>
        <w:tc>
          <w:tcPr>
            <w:tcW w:type="dxa" w:w="2000"/>
            <w:tcMar>
              <w:top w:type="dxa" w:w="80"/>
              <w:left w:type="dxa" w:w="100"/>
              <w:bottom w:type="dxa" w:w="80"/>
              <w:right w:type="dxa" w:w="100"/>
            </w:tcMar>
            <w:vAlign w:val="center"/>
          </w:tcPr>
          <w:p>
            <w:pPr>
              <w:jc w:val="left"/>
            </w:pPr>
            <w:r>
              <w:rPr>
                <w:b/>
                <w:bCs/>
              </w:rPr>
              <w:t xml:space="preserve">Decision + Governance Control Plane</w:t>
            </w:r>
          </w:p>
        </w:tc>
        <w:tc>
          <w:tcPr>
            <w:tcW w:type="dxa" w:w="2850"/>
            <w:tcMar>
              <w:top w:type="dxa" w:w="80"/>
              <w:left w:type="dxa" w:w="100"/>
              <w:bottom w:type="dxa" w:w="80"/>
              <w:right w:type="dxa" w:w="100"/>
            </w:tcMar>
            <w:vAlign w:val="center"/>
          </w:tcPr>
          <w:p>
            <w:pPr>
              <w:jc w:val="left"/>
            </w:pPr>
            <w:r>
              <w:rPr>
                <w:b w:val="false"/>
                <w:bCs w:val="false"/>
              </w:rPr>
              <w:t xml:space="preserve">Guarantees a human signs off before money moves.</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test-healthcare-decision-governance.js — 30 passed, 0 failed, re-run this pass.</w:t>
            </w:r>
          </w:p>
        </w:tc>
      </w:tr>
      <w:tr>
        <w:tc>
          <w:tcPr>
            <w:tcW w:type="dxa" w:w="500"/>
            <w:tcMar>
              <w:top w:type="dxa" w:w="80"/>
              <w:left w:type="dxa" w:w="100"/>
              <w:bottom w:type="dxa" w:w="80"/>
              <w:right w:type="dxa" w:w="100"/>
            </w:tcMar>
            <w:vAlign w:val="center"/>
          </w:tcPr>
          <w:p>
            <w:pPr>
              <w:jc w:val="center"/>
            </w:pPr>
            <w:r>
              <w:rPr>
                <w:b w:val="false"/>
                <w:bCs w:val="false"/>
              </w:rPr>
              <w:t xml:space="preserve">3</w:t>
            </w:r>
          </w:p>
        </w:tc>
        <w:tc>
          <w:tcPr>
            <w:tcW w:type="dxa" w:w="2000"/>
            <w:tcMar>
              <w:top w:type="dxa" w:w="80"/>
              <w:left w:type="dxa" w:w="100"/>
              <w:bottom w:type="dxa" w:w="80"/>
              <w:right w:type="dxa" w:w="100"/>
            </w:tcMar>
            <w:vAlign w:val="center"/>
          </w:tcPr>
          <w:p>
            <w:pPr>
              <w:jc w:val="left"/>
            </w:pPr>
            <w:r>
              <w:rPr>
                <w:b/>
                <w:bCs/>
              </w:rPr>
              <w:t xml:space="preserve">HC Recovery Orchestration</w:t>
            </w:r>
          </w:p>
        </w:tc>
        <w:tc>
          <w:tcPr>
            <w:tcW w:type="dxa" w:w="2850"/>
            <w:tcMar>
              <w:top w:type="dxa" w:w="80"/>
              <w:left w:type="dxa" w:w="100"/>
              <w:bottom w:type="dxa" w:w="80"/>
              <w:right w:type="dxa" w:w="100"/>
            </w:tcMar>
            <w:vAlign w:val="center"/>
          </w:tcPr>
          <w:p>
            <w:pPr>
              <w:jc w:val="left"/>
            </w:pPr>
            <w:r>
              <w:rPr>
                <w:b w:val="false"/>
                <w:bCs w:val="false"/>
              </w:rPr>
              <w:t xml:space="preserve">Nothing gets worked without evidence.</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test-hc-recovery-orchestrator.js — PASS, re-run this pass.</w:t>
            </w:r>
          </w:p>
        </w:tc>
      </w:tr>
      <w:tr>
        <w:tc>
          <w:tcPr>
            <w:tcW w:type="dxa" w:w="500"/>
            <w:tcMar>
              <w:top w:type="dxa" w:w="80"/>
              <w:left w:type="dxa" w:w="100"/>
              <w:bottom w:type="dxa" w:w="80"/>
              <w:right w:type="dxa" w:w="100"/>
            </w:tcMar>
            <w:vAlign w:val="center"/>
          </w:tcPr>
          <w:p>
            <w:pPr>
              <w:jc w:val="center"/>
            </w:pPr>
            <w:r>
              <w:rPr>
                <w:b w:val="false"/>
                <w:bCs w:val="false"/>
              </w:rPr>
              <w:t xml:space="preserve">4</w:t>
            </w:r>
          </w:p>
        </w:tc>
        <w:tc>
          <w:tcPr>
            <w:tcW w:type="dxa" w:w="2000"/>
            <w:tcMar>
              <w:top w:type="dxa" w:w="80"/>
              <w:left w:type="dxa" w:w="100"/>
              <w:bottom w:type="dxa" w:w="80"/>
              <w:right w:type="dxa" w:w="100"/>
            </w:tcMar>
            <w:vAlign w:val="center"/>
          </w:tcPr>
          <w:p>
            <w:pPr>
              <w:jc w:val="left"/>
            </w:pPr>
            <w:r>
              <w:rPr>
                <w:b/>
                <w:bCs/>
              </w:rPr>
              <w:t xml:space="preserve">BPO Handoff + Evidence Relay</w:t>
            </w:r>
          </w:p>
        </w:tc>
        <w:tc>
          <w:tcPr>
            <w:tcW w:type="dxa" w:w="2850"/>
            <w:tcMar>
              <w:top w:type="dxa" w:w="80"/>
              <w:left w:type="dxa" w:w="100"/>
              <w:bottom w:type="dxa" w:w="80"/>
              <w:right w:type="dxa" w:w="100"/>
            </w:tcMar>
            <w:vAlign w:val="center"/>
          </w:tcPr>
          <w:p>
            <w:pPr>
              <w:jc w:val="left"/>
            </w:pPr>
            <w:r>
              <w:rPr>
                <w:b w:val="false"/>
                <w:bCs w:val="false"/>
              </w:rPr>
              <w:t xml:space="preserve">Keeps the system honest about what it actually does vs. promises to clients.</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test-hc-live-handoff.js — 64 OK checks, 0 failures, re-run and re-counted this pass.</w:t>
            </w:r>
          </w:p>
        </w:tc>
      </w:tr>
      <w:tr>
        <w:tc>
          <w:tcPr>
            <w:tcW w:type="dxa" w:w="500"/>
            <w:tcMar>
              <w:top w:type="dxa" w:w="80"/>
              <w:left w:type="dxa" w:w="100"/>
              <w:bottom w:type="dxa" w:w="80"/>
              <w:right w:type="dxa" w:w="100"/>
            </w:tcMar>
            <w:vAlign w:val="center"/>
          </w:tcPr>
          <w:p>
            <w:pPr>
              <w:jc w:val="center"/>
            </w:pPr>
            <w:r>
              <w:rPr>
                <w:b w:val="false"/>
                <w:bCs w:val="false"/>
              </w:rPr>
              <w:t xml:space="preserve">5</w:t>
            </w:r>
          </w:p>
        </w:tc>
        <w:tc>
          <w:tcPr>
            <w:tcW w:type="dxa" w:w="2000"/>
            <w:tcMar>
              <w:top w:type="dxa" w:w="80"/>
              <w:left w:type="dxa" w:w="100"/>
              <w:bottom w:type="dxa" w:w="80"/>
              <w:right w:type="dxa" w:w="100"/>
            </w:tcMar>
            <w:vAlign w:val="center"/>
          </w:tcPr>
          <w:p>
            <w:pPr>
              <w:jc w:val="left"/>
            </w:pPr>
            <w:r>
              <w:rPr>
                <w:b/>
                <w:bCs/>
              </w:rPr>
              <w:t xml:space="preserve">Recovery Outcome Reconciliation</w:t>
            </w:r>
          </w:p>
        </w:tc>
        <w:tc>
          <w:tcPr>
            <w:tcW w:type="dxa" w:w="2850"/>
            <w:tcMar>
              <w:top w:type="dxa" w:w="80"/>
              <w:left w:type="dxa" w:w="100"/>
              <w:bottom w:type="dxa" w:w="80"/>
              <w:right w:type="dxa" w:w="100"/>
            </w:tcMar>
            <w:vAlign w:val="center"/>
          </w:tcPr>
          <w:p>
            <w:pPr>
              <w:jc w:val="left"/>
            </w:pPr>
            <w:r>
              <w:rPr>
                <w:b w:val="false"/>
                <w:bCs w:val="false"/>
              </w:rPr>
              <w:t xml:space="preserve">Surfaces real recovered dollars, not predictions.</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test-bpo-recovery-outcome.js — 17/0 + test-bpo-outcome-route.js — 11/0, both re-run and re-counted this pass.</w:t>
            </w:r>
          </w:p>
        </w:tc>
      </w:tr>
      <w:tr>
        <w:tc>
          <w:tcPr>
            <w:tcW w:type="dxa" w:w="500"/>
            <w:tcMar>
              <w:top w:type="dxa" w:w="80"/>
              <w:left w:type="dxa" w:w="100"/>
              <w:bottom w:type="dxa" w:w="80"/>
              <w:right w:type="dxa" w:w="100"/>
            </w:tcMar>
            <w:vAlign w:val="center"/>
          </w:tcPr>
          <w:p>
            <w:pPr>
              <w:jc w:val="center"/>
            </w:pPr>
            <w:r>
              <w:rPr>
                <w:b w:val="false"/>
                <w:bCs w:val="false"/>
              </w:rPr>
              <w:t xml:space="preserve">6</w:t>
            </w:r>
          </w:p>
        </w:tc>
        <w:tc>
          <w:tcPr>
            <w:tcW w:type="dxa" w:w="2000"/>
            <w:tcMar>
              <w:top w:type="dxa" w:w="80"/>
              <w:left w:type="dxa" w:w="100"/>
              <w:bottom w:type="dxa" w:w="80"/>
              <w:right w:type="dxa" w:w="100"/>
            </w:tcMar>
            <w:vAlign w:val="center"/>
          </w:tcPr>
          <w:p>
            <w:pPr>
              <w:jc w:val="left"/>
            </w:pPr>
            <w:r>
              <w:rPr>
                <w:b/>
                <w:bCs/>
              </w:rPr>
              <w:t xml:space="preserve">Prediction → Actual → Learning</w:t>
            </w:r>
          </w:p>
        </w:tc>
        <w:tc>
          <w:tcPr>
            <w:tcW w:type="dxa" w:w="2850"/>
            <w:tcMar>
              <w:top w:type="dxa" w:w="80"/>
              <w:left w:type="dxa" w:w="100"/>
              <w:bottom w:type="dxa" w:w="80"/>
              <w:right w:type="dxa" w:w="100"/>
            </w:tcMar>
            <w:vAlign w:val="center"/>
          </w:tcPr>
          <w:p>
            <w:pPr>
              <w:jc w:val="left"/>
            </w:pPr>
            <w:r>
              <w:rPr>
                <w:b w:val="false"/>
                <w:bCs w:val="false"/>
              </w:rPr>
              <w:t xml:space="preserve">Proves whether the AI is actually any good, with an immutable record.</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test-bpo-learning-record.js — 27/0, re-run and re-counted this pass.</w:t>
            </w:r>
          </w:p>
        </w:tc>
      </w:tr>
      <w:tr>
        <w:tc>
          <w:tcPr>
            <w:tcW w:type="dxa" w:w="500"/>
            <w:tcMar>
              <w:top w:type="dxa" w:w="80"/>
              <w:left w:type="dxa" w:w="100"/>
              <w:bottom w:type="dxa" w:w="80"/>
              <w:right w:type="dxa" w:w="100"/>
            </w:tcMar>
            <w:vAlign w:val="center"/>
          </w:tcPr>
          <w:p>
            <w:pPr>
              <w:jc w:val="center"/>
            </w:pPr>
            <w:r>
              <w:rPr>
                <w:b w:val="false"/>
                <w:bCs w:val="false"/>
              </w:rPr>
              <w:t xml:space="preserve">7</w:t>
            </w:r>
          </w:p>
        </w:tc>
        <w:tc>
          <w:tcPr>
            <w:tcW w:type="dxa" w:w="2000"/>
            <w:tcMar>
              <w:top w:type="dxa" w:w="80"/>
              <w:left w:type="dxa" w:w="100"/>
              <w:bottom w:type="dxa" w:w="80"/>
              <w:right w:type="dxa" w:w="100"/>
            </w:tcMar>
            <w:vAlign w:val="center"/>
          </w:tcPr>
          <w:p>
            <w:pPr>
              <w:jc w:val="left"/>
            </w:pPr>
            <w:r>
              <w:rPr>
                <w:b/>
                <w:bCs/>
              </w:rPr>
              <w:t xml:space="preserve">Recovery Quality &amp; Consistency Controls</w:t>
            </w:r>
          </w:p>
        </w:tc>
        <w:tc>
          <w:tcPr>
            <w:tcW w:type="dxa" w:w="2850"/>
            <w:tcMar>
              <w:top w:type="dxa" w:w="80"/>
              <w:left w:type="dxa" w:w="100"/>
              <w:bottom w:type="dxa" w:w="80"/>
              <w:right w:type="dxa" w:w="100"/>
            </w:tcMar>
            <w:vAlign w:val="center"/>
          </w:tcPr>
          <w:p>
            <w:pPr>
              <w:jc w:val="left"/>
            </w:pPr>
            <w:r>
              <w:rPr>
                <w:b w:val="false"/>
                <w:bCs w:val="false"/>
              </w:rPr>
              <w:t xml:space="preserve">Blocks mathematically impossible outcomes before they corrupt downstream reports.</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test-bpo-recovery-outcome-consistency.js — 52/0, re-run and re-counted this pass.</w:t>
            </w:r>
          </w:p>
        </w:tc>
      </w:tr>
      <w:tr>
        <w:tc>
          <w:tcPr>
            <w:tcW w:type="dxa" w:w="500"/>
            <w:tcMar>
              <w:top w:type="dxa" w:w="80"/>
              <w:left w:type="dxa" w:w="100"/>
              <w:bottom w:type="dxa" w:w="80"/>
              <w:right w:type="dxa" w:w="100"/>
            </w:tcMar>
            <w:vAlign w:val="center"/>
          </w:tcPr>
          <w:p>
            <w:pPr>
              <w:jc w:val="center"/>
            </w:pPr>
            <w:r>
              <w:rPr>
                <w:b w:val="false"/>
                <w:bCs w:val="false"/>
              </w:rPr>
              <w:t xml:space="preserve">8</w:t>
            </w:r>
          </w:p>
        </w:tc>
        <w:tc>
          <w:tcPr>
            <w:tcW w:type="dxa" w:w="2000"/>
            <w:tcMar>
              <w:top w:type="dxa" w:w="80"/>
              <w:left w:type="dxa" w:w="100"/>
              <w:bottom w:type="dxa" w:w="80"/>
              <w:right w:type="dxa" w:w="100"/>
            </w:tcMar>
            <w:vAlign w:val="center"/>
          </w:tcPr>
          <w:p>
            <w:pPr>
              <w:jc w:val="left"/>
            </w:pPr>
            <w:r>
              <w:rPr>
                <w:b/>
                <w:bCs/>
              </w:rPr>
              <w:t xml:space="preserve">HC Executive Recovery Dashboard</w:t>
            </w:r>
          </w:p>
        </w:tc>
        <w:tc>
          <w:tcPr>
            <w:tcW w:type="dxa" w:w="2850"/>
            <w:tcMar>
              <w:top w:type="dxa" w:w="80"/>
              <w:left w:type="dxa" w:w="100"/>
              <w:bottom w:type="dxa" w:w="80"/>
              <w:right w:type="dxa" w:w="100"/>
            </w:tcMar>
            <w:vAlign w:val="center"/>
          </w:tcPr>
          <w:p>
            <w:pPr>
              <w:jc w:val="left"/>
            </w:pPr>
            <w:r>
              <w:rPr>
                <w:b w:val="false"/>
                <w:bCs w:val="false"/>
              </w:rPr>
              <w:t xml:space="preserve">Gives leadership a real-time read on exposure and recovered revenue.</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test-bpo-recovery-dashboard.js — 13/0, re-run and re-counted this pass.</w:t>
            </w:r>
          </w:p>
        </w:tc>
      </w:tr>
      <w:tr>
        <w:tc>
          <w:tcPr>
            <w:tcW w:type="dxa" w:w="500"/>
            <w:tcMar>
              <w:top w:type="dxa" w:w="80"/>
              <w:left w:type="dxa" w:w="100"/>
              <w:bottom w:type="dxa" w:w="80"/>
              <w:right w:type="dxa" w:w="100"/>
            </w:tcMar>
            <w:vAlign w:val="center"/>
          </w:tcPr>
          <w:p>
            <w:pPr>
              <w:jc w:val="center"/>
            </w:pPr>
            <w:r>
              <w:rPr>
                <w:b w:val="false"/>
                <w:bCs w:val="false"/>
              </w:rPr>
              <w:t xml:space="preserve">9</w:t>
            </w:r>
          </w:p>
        </w:tc>
        <w:tc>
          <w:tcPr>
            <w:tcW w:type="dxa" w:w="2000"/>
            <w:tcMar>
              <w:top w:type="dxa" w:w="80"/>
              <w:left w:type="dxa" w:w="100"/>
              <w:bottom w:type="dxa" w:w="80"/>
              <w:right w:type="dxa" w:w="100"/>
            </w:tcMar>
            <w:vAlign w:val="center"/>
          </w:tcPr>
          <w:p>
            <w:pPr>
              <w:jc w:val="left"/>
            </w:pPr>
            <w:r>
              <w:rPr>
                <w:b/>
                <w:bCs/>
              </w:rPr>
              <w:t xml:space="preserve">Recovery Queue / BPO Ops Console</w:t>
            </w:r>
          </w:p>
        </w:tc>
        <w:tc>
          <w:tcPr>
            <w:tcW w:type="dxa" w:w="2850"/>
            <w:tcMar>
              <w:top w:type="dxa" w:w="80"/>
              <w:left w:type="dxa" w:w="100"/>
              <w:bottom w:type="dxa" w:w="80"/>
              <w:right w:type="dxa" w:w="100"/>
            </w:tcMar>
            <w:vAlign w:val="center"/>
          </w:tcPr>
          <w:p>
            <w:pPr>
              <w:jc w:val="left"/>
            </w:pPr>
            <w:r>
              <w:rPr>
                <w:b w:val="false"/>
                <w:bCs w:val="false"/>
              </w:rPr>
              <w:t xml:space="preserve">Turns "who works what next" into a governed, auditable process.</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test-bpo-recovery-queue.js — 11/0, re-run and re-counted this pass.</w:t>
            </w:r>
          </w:p>
        </w:tc>
      </w:tr>
      <w:tr>
        <w:tc>
          <w:tcPr>
            <w:tcW w:type="dxa" w:w="500"/>
            <w:tcMar>
              <w:top w:type="dxa" w:w="80"/>
              <w:left w:type="dxa" w:w="100"/>
              <w:bottom w:type="dxa" w:w="80"/>
              <w:right w:type="dxa" w:w="100"/>
            </w:tcMar>
            <w:vAlign w:val="center"/>
          </w:tcPr>
          <w:p>
            <w:pPr>
              <w:jc w:val="center"/>
            </w:pPr>
            <w:r>
              <w:rPr>
                <w:b w:val="false"/>
                <w:bCs w:val="false"/>
              </w:rPr>
              <w:t xml:space="preserve">10</w:t>
            </w:r>
          </w:p>
        </w:tc>
        <w:tc>
          <w:tcPr>
            <w:tcW w:type="dxa" w:w="2000"/>
            <w:tcMar>
              <w:top w:type="dxa" w:w="80"/>
              <w:left w:type="dxa" w:w="100"/>
              <w:bottom w:type="dxa" w:w="80"/>
              <w:right w:type="dxa" w:w="100"/>
            </w:tcMar>
            <w:vAlign w:val="center"/>
          </w:tcPr>
          <w:p>
            <w:pPr>
              <w:jc w:val="left"/>
            </w:pPr>
            <w:r>
              <w:rPr>
                <w:b/>
                <w:bCs/>
              </w:rPr>
              <w:t xml:space="preserve">Evidence &amp; Appeal Package Generation</w:t>
            </w:r>
          </w:p>
        </w:tc>
        <w:tc>
          <w:tcPr>
            <w:tcW w:type="dxa" w:w="2850"/>
            <w:tcMar>
              <w:top w:type="dxa" w:w="80"/>
              <w:left w:type="dxa" w:w="100"/>
              <w:bottom w:type="dxa" w:w="80"/>
              <w:right w:type="dxa" w:w="100"/>
            </w:tcMar>
            <w:vAlign w:val="center"/>
          </w:tcPr>
          <w:p>
            <w:pPr>
              <w:jc w:val="left"/>
            </w:pPr>
            <w:r>
              <w:rPr>
                <w:b w:val="false"/>
                <w:bCs w:val="false"/>
              </w:rPr>
              <w:t xml:space="preserve">Cuts manual assembly time for filing an appeal.</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test-bpo-evidence-package.js — 21/0, re-run and re-counted this pass.</w:t>
            </w:r>
          </w:p>
        </w:tc>
      </w:tr>
      <w:tr>
        <w:tc>
          <w:tcPr>
            <w:tcW w:type="dxa" w:w="500"/>
            <w:tcMar>
              <w:top w:type="dxa" w:w="80"/>
              <w:left w:type="dxa" w:w="100"/>
              <w:bottom w:type="dxa" w:w="80"/>
              <w:right w:type="dxa" w:w="100"/>
            </w:tcMar>
            <w:vAlign w:val="center"/>
          </w:tcPr>
          <w:p>
            <w:pPr>
              <w:jc w:val="center"/>
            </w:pPr>
            <w:r>
              <w:rPr>
                <w:b w:val="false"/>
                <w:bCs w:val="false"/>
              </w:rPr>
              <w:t xml:space="preserve">11</w:t>
            </w:r>
          </w:p>
        </w:tc>
        <w:tc>
          <w:tcPr>
            <w:tcW w:type="dxa" w:w="2000"/>
            <w:tcMar>
              <w:top w:type="dxa" w:w="80"/>
              <w:left w:type="dxa" w:w="100"/>
              <w:bottom w:type="dxa" w:w="80"/>
              <w:right w:type="dxa" w:w="100"/>
            </w:tcMar>
            <w:vAlign w:val="center"/>
          </w:tcPr>
          <w:p>
            <w:pPr>
              <w:jc w:val="left"/>
            </w:pPr>
            <w:r>
              <w:rPr>
                <w:b/>
                <w:bCs/>
              </w:rPr>
              <w:t xml:space="preserve">Recovery Analytics</w:t>
            </w:r>
          </w:p>
        </w:tc>
        <w:tc>
          <w:tcPr>
            <w:tcW w:type="dxa" w:w="2850"/>
            <w:tcMar>
              <w:top w:type="dxa" w:w="80"/>
              <w:left w:type="dxa" w:w="100"/>
              <w:bottom w:type="dxa" w:w="80"/>
              <w:right w:type="dxa" w:w="100"/>
            </w:tcMar>
            <w:vAlign w:val="center"/>
          </w:tcPr>
          <w:p>
            <w:pPr>
              <w:jc w:val="left"/>
            </w:pPr>
            <w:r>
              <w:rPr>
                <w:b w:val="false"/>
                <w:bCs w:val="false"/>
              </w:rPr>
              <w:t xml:space="preserve">Surfaces exactly where the pipeline is stuck.</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test-bpo-recovery-analytics.js — 21 passed, 0 failed (npm test, this pass).</w:t>
            </w:r>
          </w:p>
        </w:tc>
      </w:tr>
      <w:tr>
        <w:tc>
          <w:tcPr>
            <w:tcW w:type="dxa" w:w="500"/>
            <w:tcMar>
              <w:top w:type="dxa" w:w="80"/>
              <w:left w:type="dxa" w:w="100"/>
              <w:bottom w:type="dxa" w:w="80"/>
              <w:right w:type="dxa" w:w="100"/>
            </w:tcMar>
            <w:vAlign w:val="center"/>
          </w:tcPr>
          <w:p>
            <w:pPr>
              <w:jc w:val="center"/>
            </w:pPr>
            <w:r>
              <w:rPr>
                <w:b w:val="false"/>
                <w:bCs w:val="false"/>
              </w:rPr>
              <w:t xml:space="preserve">12</w:t>
            </w:r>
          </w:p>
        </w:tc>
        <w:tc>
          <w:tcPr>
            <w:tcW w:type="dxa" w:w="2000"/>
            <w:tcMar>
              <w:top w:type="dxa" w:w="80"/>
              <w:left w:type="dxa" w:w="100"/>
              <w:bottom w:type="dxa" w:w="80"/>
              <w:right w:type="dxa" w:w="100"/>
            </w:tcMar>
            <w:vAlign w:val="center"/>
          </w:tcPr>
          <w:p>
            <w:pPr>
              <w:jc w:val="left"/>
            </w:pPr>
            <w:r>
              <w:rPr>
                <w:b/>
                <w:bCs/>
              </w:rPr>
              <w:t xml:space="preserve">Strategist Learning Loop</w:t>
            </w:r>
          </w:p>
        </w:tc>
        <w:tc>
          <w:tcPr>
            <w:tcW w:type="dxa" w:w="2850"/>
            <w:tcMar>
              <w:top w:type="dxa" w:w="80"/>
              <w:left w:type="dxa" w:w="100"/>
              <w:bottom w:type="dxa" w:w="80"/>
              <w:right w:type="dxa" w:w="100"/>
            </w:tcMar>
            <w:vAlign w:val="center"/>
          </w:tcPr>
          <w:p>
            <w:pPr>
              <w:jc w:val="left"/>
            </w:pPr>
            <w:r>
              <w:rPr>
                <w:b w:val="false"/>
                <w:bCs w:val="false"/>
              </w:rPr>
              <w:t xml:space="preserve">The system improves calibration over time, only as a human-reviewed proposal.</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test-bpo-learning-loop.js — 23 passed, 0 failed (npm test, this pass); auto-apply hard-blocked.</w:t>
            </w:r>
          </w:p>
        </w:tc>
      </w:tr>
      <w:tr>
        <w:tc>
          <w:tcPr>
            <w:tcW w:type="dxa" w:w="500"/>
            <w:tcMar>
              <w:top w:type="dxa" w:w="80"/>
              <w:left w:type="dxa" w:w="100"/>
              <w:bottom w:type="dxa" w:w="80"/>
              <w:right w:type="dxa" w:w="100"/>
            </w:tcMar>
            <w:vAlign w:val="center"/>
          </w:tcPr>
          <w:p>
            <w:pPr>
              <w:jc w:val="center"/>
            </w:pPr>
            <w:r>
              <w:rPr>
                <w:b w:val="false"/>
                <w:bCs w:val="false"/>
              </w:rPr>
              <w:t xml:space="preserve">13</w:t>
            </w:r>
          </w:p>
        </w:tc>
        <w:tc>
          <w:tcPr>
            <w:tcW w:type="dxa" w:w="2000"/>
            <w:tcMar>
              <w:top w:type="dxa" w:w="80"/>
              <w:left w:type="dxa" w:w="100"/>
              <w:bottom w:type="dxa" w:w="80"/>
              <w:right w:type="dxa" w:w="100"/>
            </w:tcMar>
            <w:vAlign w:val="center"/>
          </w:tcPr>
          <w:p>
            <w:pPr>
              <w:jc w:val="left"/>
            </w:pPr>
            <w:r>
              <w:rPr>
                <w:b/>
                <w:bCs/>
              </w:rPr>
              <w:t xml:space="preserve">Provider Reporting</w:t>
            </w:r>
          </w:p>
        </w:tc>
        <w:tc>
          <w:tcPr>
            <w:tcW w:type="dxa" w:w="2850"/>
            <w:tcMar>
              <w:top w:type="dxa" w:w="80"/>
              <w:left w:type="dxa" w:w="100"/>
              <w:bottom w:type="dxa" w:w="80"/>
              <w:right w:type="dxa" w:w="100"/>
            </w:tcMar>
            <w:vAlign w:val="center"/>
          </w:tcPr>
          <w:p>
            <w:pPr>
              <w:jc w:val="left"/>
            </w:pPr>
            <w:r>
              <w:rPr>
                <w:b w:val="false"/>
                <w:bCs w:val="false"/>
              </w:rPr>
              <w:t xml:space="preserve">The client-facing proof of value, without manual report-building.</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test-bpo-provider-report.js — 36 passed, 0 failed (npm test, this pass).</w:t>
            </w:r>
          </w:p>
        </w:tc>
      </w:tr>
      <w:tr>
        <w:tc>
          <w:tcPr>
            <w:tcW w:type="dxa" w:w="500"/>
            <w:tcMar>
              <w:top w:type="dxa" w:w="80"/>
              <w:left w:type="dxa" w:w="100"/>
              <w:bottom w:type="dxa" w:w="80"/>
              <w:right w:type="dxa" w:w="100"/>
            </w:tcMar>
            <w:vAlign w:val="center"/>
          </w:tcPr>
          <w:p>
            <w:pPr>
              <w:jc w:val="center"/>
            </w:pPr>
            <w:r>
              <w:rPr>
                <w:b w:val="false"/>
                <w:bCs w:val="false"/>
              </w:rPr>
              <w:t xml:space="preserve">14</w:t>
            </w:r>
          </w:p>
        </w:tc>
        <w:tc>
          <w:tcPr>
            <w:tcW w:type="dxa" w:w="2000"/>
            <w:tcMar>
              <w:top w:type="dxa" w:w="80"/>
              <w:left w:type="dxa" w:w="100"/>
              <w:bottom w:type="dxa" w:w="80"/>
              <w:right w:type="dxa" w:w="100"/>
            </w:tcMar>
            <w:vAlign w:val="center"/>
          </w:tcPr>
          <w:p>
            <w:pPr>
              <w:jc w:val="left"/>
            </w:pPr>
            <w:r>
              <w:rPr>
                <w:b/>
                <w:bCs/>
              </w:rPr>
              <w:t xml:space="preserve">Cross-Vertical Operational OS</w:t>
            </w:r>
          </w:p>
        </w:tc>
        <w:tc>
          <w:tcPr>
            <w:tcW w:type="dxa" w:w="2850"/>
            <w:tcMar>
              <w:top w:type="dxa" w:w="80"/>
              <w:left w:type="dxa" w:w="100"/>
              <w:bottom w:type="dxa" w:w="80"/>
              <w:right w:type="dxa" w:w="100"/>
            </w:tcMar>
            <w:vAlign w:val="center"/>
          </w:tcPr>
          <w:p>
            <w:pPr>
              <w:jc w:val="left"/>
            </w:pPr>
            <w:r>
              <w:rPr>
                <w:b w:val="false"/>
                <w:bCs w:val="false"/>
              </w:rPr>
              <w:t xml:space="preserve">Shares one workflow engine across verticals instead of rebuilding it per line.</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test-bpo-os-routes.js — 52 passed, 0 failed (npm test); test-operational-os-recovery-measurement.js — 9 OK checks, 0 failures (run directly, outside npm test's filter — confirmed against run-tests.js's own /^test-(bpo|auth)-.*\.js$/ pattern).</w:t>
            </w:r>
          </w:p>
        </w:tc>
      </w:tr>
      <w:tr>
        <w:tc>
          <w:tcPr>
            <w:tcW w:type="dxa" w:w="500"/>
            <w:tcMar>
              <w:top w:type="dxa" w:w="80"/>
              <w:left w:type="dxa" w:w="100"/>
              <w:bottom w:type="dxa" w:w="80"/>
              <w:right w:type="dxa" w:w="100"/>
            </w:tcMar>
            <w:vAlign w:val="center"/>
          </w:tcPr>
          <w:p>
            <w:pPr>
              <w:jc w:val="center"/>
            </w:pPr>
            <w:r>
              <w:rPr>
                <w:b w:val="false"/>
                <w:bCs w:val="false"/>
              </w:rPr>
              <w:t xml:space="preserve">15</w:t>
            </w:r>
          </w:p>
        </w:tc>
        <w:tc>
          <w:tcPr>
            <w:tcW w:type="dxa" w:w="2000"/>
            <w:tcMar>
              <w:top w:type="dxa" w:w="80"/>
              <w:left w:type="dxa" w:w="100"/>
              <w:bottom w:type="dxa" w:w="80"/>
              <w:right w:type="dxa" w:w="100"/>
            </w:tcMar>
            <w:vAlign w:val="center"/>
          </w:tcPr>
          <w:p>
            <w:pPr>
              <w:jc w:val="left"/>
            </w:pPr>
            <w:r>
              <w:rPr>
                <w:b/>
                <w:bCs/>
              </w:rPr>
              <w:t xml:space="preserve">Governed Automation</w:t>
            </w:r>
          </w:p>
        </w:tc>
        <w:tc>
          <w:tcPr>
            <w:tcW w:type="dxa" w:w="2850"/>
            <w:tcMar>
              <w:top w:type="dxa" w:w="80"/>
              <w:left w:type="dxa" w:w="100"/>
              <w:bottom w:type="dxa" w:w="80"/>
              <w:right w:type="dxa" w:w="100"/>
            </w:tcMar>
            <w:vAlign w:val="center"/>
          </w:tcPr>
          <w:p>
            <w:pPr>
              <w:jc w:val="left"/>
            </w:pPr>
            <w:r>
              <w:rPr>
                <w:b w:val="false"/>
                <w:bCs w:val="false"/>
              </w:rPr>
              <w:t xml:space="preserve">The eventual payoff: safe automation, gated by enforced human approval.</w:t>
            </w:r>
          </w:p>
        </w:tc>
        <w:tc>
          <w:tcPr>
            <w:tcW w:type="dxa" w:w="1200"/>
            <w:tcMar>
              <w:top w:type="dxa" w:w="80"/>
              <w:left w:type="dxa" w:w="100"/>
              <w:bottom w:type="dxa" w:w="80"/>
              <w:right w:type="dxa" w:w="100"/>
            </w:tcMar>
            <w:vAlign w:val="center"/>
          </w:tcPr>
          <w:p>
            <w:pPr>
              <w:jc w:val="left"/>
            </w:pPr>
            <w:r>
              <w:rPr>
                <w:b w:val="false"/>
                <w:bCs w:val="false"/>
              </w:rPr>
              <w:t xml:space="preserve">Tested</w:t>
            </w:r>
          </w:p>
        </w:tc>
        <w:tc>
          <w:tcPr>
            <w:tcW w:type="dxa" w:w="2800"/>
            <w:tcMar>
              <w:top w:type="dxa" w:w="80"/>
              <w:left w:type="dxa" w:w="100"/>
              <w:bottom w:type="dxa" w:w="80"/>
              <w:right w:type="dxa" w:w="100"/>
            </w:tcMar>
            <w:vAlign w:val="center"/>
          </w:tcPr>
          <w:p>
            <w:pPr>
              <w:jc w:val="left"/>
            </w:pPr>
            <w:r>
              <w:rPr>
                <w:b w:val="false"/>
                <w:bCs w:val="false"/>
              </w:rPr>
              <w:t xml:space="preserve">test-bpo-governance-engine.js (19/0) + test-bpo-governance-approval.js (20/0) + test-bpo-governance-execution.js (21/0), all npm test, this pass. Milestone-1 (observe/approve/execute-gate) — no autonomous execution yet.</w:t>
            </w:r>
          </w:p>
        </w:tc>
      </w:tr>
    </w:tbl>
    <w:p>
      <w:pPr>
        <w:pStyle w:val="Heading2"/>
        <w:spacing w:after="120" w:before="240"/>
      </w:pPr>
      <w:r>
        <w:t xml:space="preserve">Recommended Next Steps</w:t>
      </w:r>
    </w:p>
    <w:p>
      <w:pPr>
        <w:pStyle w:val="ListParagraph"/>
        <w:numPr>
          <w:ilvl w:val="0"/>
          <w:numId w:val="1"/>
        </w:numPr>
        <w:spacing w:after="80"/>
      </w:pPr>
      <w:r>
        <w:t xml:space="preserve">Apply the attached patch (or pull commit 0410b071 once shared) in an environment with real push access, and open it as a pull request — this repository's branch protection requires one, and an earlier session's direct push bypassed that rule; this pass does not repeat it.</w:t>
      </w:r>
    </w:p>
    <w:p>
      <w:pPr>
        <w:pStyle w:val="ListParagraph"/>
        <w:numPr>
          <w:ilvl w:val="0"/>
          <w:numId w:val="1"/>
        </w:numPr>
        <w:spacing w:after="80"/>
      </w:pPr>
      <w:r>
        <w:t xml:space="preserve">Targeted review of the ~35 other TSMMissionStore.saveMission() call sites repo-wide, carried forward unaudited from the prior pass — this pass did not touch that scope.</w:t>
      </w:r>
    </w:p>
    <w:p>
      <w:pPr>
        <w:pStyle w:val="ListParagraph"/>
        <w:numPr>
          <w:ilvl w:val="0"/>
          <w:numId w:val="1"/>
        </w:numPr>
        <w:spacing w:after="80"/>
      </w:pPr>
      <w:r>
        <w:t xml:space="preserve">Fold scripts/test-governed-exception-relay.js and scripts/test-rcm-os-exception-relay.js into run-tests.js's filter (currently /^test-(bpo|auth)-.*\.js$/ by design, confirmed by reading the file directly this pass) so these real, passing suites run under npm test rather than requiring a direct node invocation.</w:t>
      </w:r>
    </w:p>
    <w:p>
      <w:pPr>
        <w:pStyle w:val="ListParagraph"/>
        <w:numPr>
          <w:ilvl w:val="0"/>
          <w:numId w:val="1"/>
        </w:numPr>
        <w:spacing w:after="80"/>
      </w:pPr>
      <w:r>
        <w:t xml:space="preserve">scripts/test-honeywell-live-e2e.js could not be run this pass: server.js refuses to start without TSM_SESSION_SECRET set. That's a container configuration gap, not something this pass's change exercises or fixes — flagging it rather than silently skipping it.</w:t>
      </w:r>
    </w:p>
    <w:p>
      <w:pPr>
        <w:pStyle w:val="ListParagraph"/>
        <w:numPr>
          <w:ilvl w:val="0"/>
          <w:numId w:val="1"/>
        </w:numPr>
        <w:spacing w:after="80"/>
      </w:pPr>
      <w:r>
        <w:t xml:space="preserve">Before relying on any status document again, independently check its claimed commit hashes and file existence against the real remote — this is the third time in this repository's history that check would have caught a false claim before it shipped.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2026-09-22T22:39:22.524Z</dcterms:created>
  <dcterms:modified xsi:type="dcterms:W3CDTF">2026-09-22T22:39:22.524Z</dcterms:modified>
</cp:coreProperties>
</file>

<file path=docProps/custom.xml><?xml version="1.0" encoding="utf-8"?>
<Properties xmlns="http://schemas.openxmlformats.org/officeDocument/2006/custom-properties" xmlns:vt="http://schemas.openxmlformats.org/officeDocument/2006/docPropsVTypes"/>
</file>