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mbria" w:cs="Cambria" w:eastAsia="Cambria" w:hAnsi="Cambria"/>
          <w:b/>
          <w:bCs/>
          <w:color w:val="B8791F"/>
          <w:spacing w:val="40"/>
          <w:sz w:val="24"/>
          <w:szCs w:val="24"/>
        </w:rPr>
        <w:t xml:space="preserve">TSM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E1811"/>
          <w:sz w:val="40"/>
          <w:szCs w:val="40"/>
        </w:rPr>
        <w:t xml:space="preserve">Mortgage Servicing Intelligence — Pilot Pricing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5348"/>
          <w:sz w:val="19"/>
          <w:szCs w:val="19"/>
        </w:rPr>
        <w:t xml:space="preserve">Prepared for First American  ·  Confidential</w:t>
      </w:r>
    </w:p>
    <w:p>
      <w:pPr>
        <w:pBdr>
          <w:bottom w:val="single" w:color="D9CDB8" w:sz="6" w:space="4"/>
        </w:pBdr>
        <w:spacing w:after="160"/>
      </w:pPr>
    </w:p>
    <w:p>
      <w:pPr>
        <w:spacing w:after="220"/>
      </w:pPr>
      <w:r>
        <w:rPr>
          <w:rFonts w:ascii="Calibri" w:cs="Calibri" w:eastAsia="Calibri" w:hAnsi="Calibri"/>
          <w:color w:val="1E1811"/>
          <w:sz w:val="20"/>
          <w:szCs w:val="20"/>
        </w:rPr>
        <w:t xml:space="preserve">A phased pilot structure: a flat-fee proof window first, then a scaled model priced on verified results — not a long-term commitment before either side has seen the platform work on real loan data.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8791F"/>
          <w:spacing w:val="20"/>
          <w:sz w:val="16"/>
          <w:szCs w:val="16"/>
        </w:rPr>
        <w:t xml:space="preserve">PILOT STRUCTURE</w:t>
      </w:r>
    </w:p>
    <w:tbl>
      <w:tblPr>
        <w:tblW w:type="pct" w:w="100%"/>
        <w:tblBorders>
          <w:top w:val="single" w:color="D9CDB8" w:sz="4"/>
          <w:left w:val="single" w:color="D9CDB8" w:sz="4"/>
          <w:bottom w:val="single" w:color="D9CDB8" w:sz="4"/>
          <w:right w:val="single" w:color="D9CDB8" w:sz="4"/>
          <w:insideH w:val="none"/>
          <w:insideV w:val="single" w:color="D9CDB8" w:sz="4"/>
        </w:tblBorders>
      </w:tblPr>
      <w:tblGrid>
        <w:gridCol w:w="4680"/>
        <w:gridCol w:w="4680"/>
      </w:tblGrid>
      <w:tr>
        <w:tc>
          <w:tcPr>
            <w:tcW w:type="pct" w:w="50%"/>
            <w:shd w:fill="F7E9D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791F"/>
                <w:spacing w:val="15"/>
                <w:sz w:val="16"/>
                <w:szCs w:val="16"/>
              </w:rPr>
              <w:t xml:space="preserve">PHASE 1 — PILOT</w:t>
            </w:r>
          </w:p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1E1811"/>
                <w:sz w:val="44"/>
                <w:szCs w:val="44"/>
              </w:rPr>
              <w:t xml:space="preserve">$3,750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5348"/>
                <w:sz w:val="18"/>
                <w:szCs w:val="18"/>
              </w:rPr>
              <w:t xml:space="preserve">flat, per month</w:t>
            </w:r>
          </w:p>
        </w:tc>
        <w:tc>
          <w:tcPr>
            <w:tcW w:type="pct" w:w="50%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791F"/>
                <w:spacing w:val="15"/>
                <w:sz w:val="16"/>
                <w:szCs w:val="16"/>
              </w:rPr>
              <w:t xml:space="preserve">PHASE 2 — SCALE</w:t>
            </w:r>
          </w:p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1E1811"/>
                <w:sz w:val="40"/>
                <w:szCs w:val="40"/>
              </w:rPr>
              <w:t xml:space="preserve">Tiered + 21%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5348"/>
                <w:sz w:val="18"/>
                <w:szCs w:val="18"/>
              </w:rPr>
              <w:t xml:space="preserve">branch-tiered base, plus shared-savings kicker</w:t>
            </w:r>
          </w:p>
        </w:tc>
      </w:tr>
    </w:tbl>
    <w:p>
      <w:pPr>
        <w:spacing w:after="40" w:before="240"/>
      </w:pPr>
      <w:r>
        <w:rPr>
          <w:rFonts w:ascii="Calibri" w:cs="Calibri" w:eastAsia="Calibri" w:hAnsi="Calibri"/>
          <w:b/>
          <w:bCs/>
          <w:color w:val="1E1811"/>
          <w:sz w:val="19"/>
          <w:szCs w:val="19"/>
        </w:rPr>
        <w:t xml:space="preserve">Phase 1 includes: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Full War Room → Strategist → Executive Portal chain live on First American's mortgage data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No shared-savings kicker during the pilot window — flat fee only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Success measured against jointly agreed SLA and exposure-reduction targets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1811"/>
          <w:sz w:val="19"/>
          <w:szCs w:val="19"/>
        </w:rPr>
        <w:t xml:space="preserve">Phase 2 includes: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Branch-tiered monthly base as footprint expands beyond the pilot branch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21% shared-savings kicker on verified exposure reduction — TSM only earns more when First American recovers more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Kicker capped at 2× the monthly base — no open-ended upside risk on either side</w:t>
      </w:r>
    </w:p>
    <w:p>
      <w:pPr>
        <w:pBdr>
          <w:bottom w:val="single" w:color="D9CDB8" w:sz="6" w:space="4"/>
        </w:pBd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B8791F"/>
          <w:spacing w:val="20"/>
          <w:sz w:val="16"/>
          <w:szCs w:val="16"/>
        </w:rPr>
        <w:t xml:space="preserve">WHAT THE PILOT PROVES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Real loan-level exception detection — SLA breaches and exposure flagged the moment they occur, not at month-end review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AI-prioritized action queues that quantify cost-of-inaction in dollars, not just ticket age</w:t>
      </w:r>
    </w:p>
    <w:p>
      <w:pPr>
        <w:spacing w:after="60"/>
        <w:ind w:left="288" w:hanging="259"/>
      </w:pPr>
      <w:r>
        <w:rPr>
          <w:rFonts w:ascii="Calibri" w:cs="Calibri" w:eastAsia="Calibri" w:hAnsi="Calibri"/>
          <w:b/>
          <w:bCs/>
          <w:color w:val="B8791F"/>
          <w:sz w:val="19"/>
          <w:szCs w:val="19"/>
        </w:rPr>
        <w:t xml:space="preserve">— </w:t>
      </w:r>
      <w:r>
        <w:rPr>
          <w:rFonts w:ascii="Calibri" w:cs="Calibri" w:eastAsia="Calibri" w:hAnsi="Calibri"/>
          <w:color w:val="1E1811"/>
          <w:sz w:val="19"/>
          <w:szCs w:val="19"/>
        </w:rPr>
        <w:t xml:space="preserve">Executive-level pipeline visibility without digging into individual case files</w:t>
      </w:r>
    </w:p>
    <w:p>
      <w:pPr>
        <w:pBdr>
          <w:bottom w:val="single" w:color="D9CDB8" w:sz="6" w:space="4"/>
        </w:pBdr>
        <w:spacing w:after="160"/>
      </w:pPr>
    </w:p>
    <w:p>
      <w:pPr>
        <w:spacing w:after="40"/>
      </w:pPr>
      <w:r>
        <w:rPr>
          <w:rFonts w:ascii="Calibri" w:cs="Calibri" w:eastAsia="Calibri" w:hAnsi="Calibri"/>
          <w:i/>
          <w:iCs/>
          <w:color w:val="B8791F"/>
          <w:sz w:val="19"/>
          <w:szCs w:val="19"/>
        </w:rPr>
        <w:t xml:space="preserve">Next step: scope one branch or queue, connect real loan-level data, and kick off the 30-day Phase 1 window.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E1811"/>
          <w:sz w:val="18"/>
          <w:szCs w:val="18"/>
        </w:rPr>
        <w:t xml:space="preserve">TSM Consultz LLC</w:t>
      </w:r>
    </w:p>
    <w:p>
      <w:r>
        <w:rPr>
          <w:rFonts w:ascii="Calibri" w:cs="Calibri" w:eastAsia="Calibri" w:hAnsi="Calibri"/>
          <w:color w:val="5B5348"/>
          <w:sz w:val="17"/>
          <w:szCs w:val="17"/>
        </w:rPr>
        <w:t xml:space="preserve">app.tsmatter.com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2026-08-13T19:48:48.187Z</dcterms:created>
  <dcterms:modified xsi:type="dcterms:W3CDTF">2026-08-13T19:48:48.187Z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