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EA" w:rsidRPr="00D921C3" w:rsidRDefault="00EE551E" w:rsidP="00830794">
      <w:pPr>
        <w:spacing w:after="0" w:line="240" w:lineRule="auto"/>
        <w:jc w:val="center"/>
        <w:rPr>
          <w:rFonts w:ascii="Times New Roman" w:hAnsi="Times New Roman" w:cs="Times New Roman"/>
          <w:sz w:val="48"/>
          <w:u w:val="single"/>
        </w:rPr>
      </w:pPr>
      <w:r w:rsidRPr="00D921C3">
        <w:rPr>
          <w:rFonts w:ascii="Times New Roman" w:hAnsi="Times New Roman" w:cs="Times New Roman"/>
          <w:sz w:val="48"/>
          <w:u w:val="single"/>
        </w:rPr>
        <w:t>Specification</w:t>
      </w:r>
    </w:p>
    <w:p w:rsidR="00EE551E" w:rsidRPr="00D921C3" w:rsidRDefault="00EE551E" w:rsidP="008307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51CE7" w:rsidRDefault="00EE551E" w:rsidP="00EA431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D921C3">
        <w:rPr>
          <w:rFonts w:ascii="Times New Roman" w:hAnsi="Times New Roman" w:cs="Times New Roman"/>
          <w:sz w:val="24"/>
        </w:rPr>
        <w:t>FileName</w:t>
      </w:r>
      <w:proofErr w:type="spellEnd"/>
      <w:r w:rsidRPr="00D921C3">
        <w:rPr>
          <w:rFonts w:ascii="Times New Roman" w:hAnsi="Times New Roman" w:cs="Times New Roman"/>
          <w:sz w:val="24"/>
        </w:rPr>
        <w:t xml:space="preserve">: </w:t>
      </w:r>
      <w:r w:rsidR="00C51CE7">
        <w:rPr>
          <w:rFonts w:ascii="Times New Roman" w:hAnsi="Times New Roman" w:cs="Times New Roman"/>
          <w:sz w:val="24"/>
        </w:rPr>
        <w:tab/>
        <w:t>Real Time Trade Data View.mq</w:t>
      </w:r>
      <w:r w:rsidR="00C51CE7" w:rsidRPr="00D921C3">
        <w:rPr>
          <w:rFonts w:ascii="Times New Roman" w:hAnsi="Times New Roman" w:cs="Times New Roman"/>
          <w:sz w:val="24"/>
        </w:rPr>
        <w:t>4</w:t>
      </w:r>
      <w:r w:rsidR="00C51CE7">
        <w:rPr>
          <w:rFonts w:ascii="Times New Roman" w:hAnsi="Times New Roman" w:cs="Times New Roman"/>
          <w:sz w:val="24"/>
        </w:rPr>
        <w:t xml:space="preserve"> (Source Code)</w:t>
      </w:r>
    </w:p>
    <w:p w:rsidR="00EE551E" w:rsidRPr="00D921C3" w:rsidRDefault="00EE551E" w:rsidP="00EA431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</w:rPr>
      </w:pPr>
      <w:r w:rsidRPr="00D921C3">
        <w:rPr>
          <w:rFonts w:ascii="Times New Roman" w:hAnsi="Times New Roman" w:cs="Times New Roman"/>
          <w:sz w:val="24"/>
        </w:rPr>
        <w:t>Real Time Trade Data View.ex4</w:t>
      </w:r>
      <w:r w:rsidR="00C51CE7">
        <w:rPr>
          <w:rFonts w:ascii="Times New Roman" w:hAnsi="Times New Roman" w:cs="Times New Roman"/>
          <w:sz w:val="24"/>
        </w:rPr>
        <w:t xml:space="preserve"> (Execution File)</w:t>
      </w:r>
    </w:p>
    <w:p w:rsidR="00EE551E" w:rsidRPr="00D921C3" w:rsidRDefault="00EE551E" w:rsidP="0083079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980"/>
        <w:gridCol w:w="2410"/>
        <w:gridCol w:w="7229"/>
        <w:gridCol w:w="2977"/>
      </w:tblGrid>
      <w:tr w:rsidR="0038096B" w:rsidRPr="0038096B" w:rsidTr="00BE2201">
        <w:tc>
          <w:tcPr>
            <w:tcW w:w="1980" w:type="dxa"/>
            <w:vAlign w:val="center"/>
          </w:tcPr>
          <w:p w:rsidR="00EE551E" w:rsidRPr="0038096B" w:rsidRDefault="00692FE3" w:rsidP="001F4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6B"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2410" w:type="dxa"/>
            <w:vAlign w:val="center"/>
          </w:tcPr>
          <w:p w:rsidR="00EE551E" w:rsidRPr="0038096B" w:rsidRDefault="00692FE3" w:rsidP="001F4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6B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</w:p>
        </w:tc>
        <w:tc>
          <w:tcPr>
            <w:tcW w:w="7229" w:type="dxa"/>
            <w:vAlign w:val="center"/>
          </w:tcPr>
          <w:p w:rsidR="00EE551E" w:rsidRPr="0038096B" w:rsidRDefault="00692FE3" w:rsidP="001F4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6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77" w:type="dxa"/>
            <w:vAlign w:val="center"/>
          </w:tcPr>
          <w:p w:rsidR="001F481E" w:rsidRPr="0038096B" w:rsidRDefault="00692FE3" w:rsidP="001F4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6B">
              <w:rPr>
                <w:rFonts w:ascii="Times New Roman" w:hAnsi="Times New Roman" w:cs="Times New Roman"/>
                <w:b/>
                <w:sz w:val="24"/>
                <w:szCs w:val="24"/>
              </w:rPr>
              <w:t>What to Change</w:t>
            </w:r>
          </w:p>
          <w:p w:rsidR="00EE551E" w:rsidRPr="0038096B" w:rsidRDefault="00692FE3" w:rsidP="001F4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6B">
              <w:rPr>
                <w:rFonts w:ascii="Times New Roman" w:hAnsi="Times New Roman" w:cs="Times New Roman"/>
                <w:b/>
                <w:sz w:val="24"/>
                <w:szCs w:val="24"/>
              </w:rPr>
              <w:t>(on your side)</w:t>
            </w:r>
          </w:p>
        </w:tc>
      </w:tr>
      <w:tr w:rsidR="00822C3F" w:rsidRPr="004A5916" w:rsidTr="00BE2201">
        <w:trPr>
          <w:trHeight w:val="133"/>
        </w:trPr>
        <w:tc>
          <w:tcPr>
            <w:tcW w:w="1980" w:type="dxa"/>
            <w:vMerge w:val="restart"/>
            <w:vAlign w:val="center"/>
          </w:tcPr>
          <w:p w:rsidR="00822C3F" w:rsidRPr="004A5916" w:rsidRDefault="00822C3F" w:rsidP="004A59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Features</w:t>
            </w:r>
          </w:p>
        </w:tc>
        <w:tc>
          <w:tcPr>
            <w:tcW w:w="2410" w:type="dxa"/>
            <w:vAlign w:val="center"/>
          </w:tcPr>
          <w:p w:rsidR="00822C3F" w:rsidRPr="00EB0FB8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 color</w:t>
            </w:r>
          </w:p>
        </w:tc>
        <w:tc>
          <w:tcPr>
            <w:tcW w:w="7229" w:type="dxa"/>
            <w:vAlign w:val="center"/>
          </w:tcPr>
          <w:p w:rsidR="00822C3F" w:rsidRPr="00EB0FB8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Royal Blue</w:t>
            </w:r>
          </w:p>
        </w:tc>
        <w:tc>
          <w:tcPr>
            <w:tcW w:w="2977" w:type="dxa"/>
            <w:vMerge w:val="restart"/>
            <w:vAlign w:val="center"/>
          </w:tcPr>
          <w:p w:rsidR="00822C3F" w:rsidRPr="00EB0FB8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2C3F" w:rsidRPr="004A5916" w:rsidTr="00BE2201">
        <w:trPr>
          <w:trHeight w:val="170"/>
        </w:trPr>
        <w:tc>
          <w:tcPr>
            <w:tcW w:w="1980" w:type="dxa"/>
            <w:vMerge/>
            <w:vAlign w:val="center"/>
          </w:tcPr>
          <w:p w:rsidR="00822C3F" w:rsidRDefault="00822C3F" w:rsidP="004A591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22C3F" w:rsidRPr="00EB0FB8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Foreground color</w:t>
            </w:r>
          </w:p>
        </w:tc>
        <w:tc>
          <w:tcPr>
            <w:tcW w:w="7229" w:type="dxa"/>
            <w:vAlign w:val="center"/>
          </w:tcPr>
          <w:p w:rsidR="00822C3F" w:rsidRPr="00EB0FB8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Black(chart window outline and coordinate)</w:t>
            </w:r>
          </w:p>
        </w:tc>
        <w:tc>
          <w:tcPr>
            <w:tcW w:w="2977" w:type="dxa"/>
            <w:vMerge/>
            <w:vAlign w:val="center"/>
          </w:tcPr>
          <w:p w:rsidR="00822C3F" w:rsidRPr="004A5916" w:rsidRDefault="00822C3F" w:rsidP="001F4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2C3F" w:rsidRPr="004A5916" w:rsidTr="00BE2201">
        <w:trPr>
          <w:trHeight w:val="137"/>
        </w:trPr>
        <w:tc>
          <w:tcPr>
            <w:tcW w:w="1980" w:type="dxa"/>
            <w:vMerge/>
            <w:vAlign w:val="center"/>
          </w:tcPr>
          <w:p w:rsidR="00822C3F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22C3F" w:rsidRPr="00EB0FB8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Grid</w:t>
            </w:r>
          </w:p>
        </w:tc>
        <w:tc>
          <w:tcPr>
            <w:tcW w:w="7229" w:type="dxa"/>
            <w:vAlign w:val="center"/>
          </w:tcPr>
          <w:p w:rsidR="00822C3F" w:rsidRPr="00EB0FB8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977" w:type="dxa"/>
            <w:vMerge/>
            <w:vAlign w:val="center"/>
          </w:tcPr>
          <w:p w:rsidR="00822C3F" w:rsidRPr="004A5916" w:rsidRDefault="00822C3F" w:rsidP="00EB0F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2C3F" w:rsidRPr="004A5916" w:rsidTr="00BE2201">
        <w:trPr>
          <w:trHeight w:val="182"/>
        </w:trPr>
        <w:tc>
          <w:tcPr>
            <w:tcW w:w="1980" w:type="dxa"/>
            <w:vMerge/>
            <w:vAlign w:val="center"/>
          </w:tcPr>
          <w:p w:rsidR="00822C3F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22C3F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Ask line</w:t>
            </w:r>
          </w:p>
        </w:tc>
        <w:tc>
          <w:tcPr>
            <w:tcW w:w="7229" w:type="dxa"/>
            <w:vAlign w:val="center"/>
          </w:tcPr>
          <w:p w:rsidR="00822C3F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, Yellow</w:t>
            </w:r>
          </w:p>
        </w:tc>
        <w:tc>
          <w:tcPr>
            <w:tcW w:w="2977" w:type="dxa"/>
            <w:vMerge/>
            <w:vAlign w:val="center"/>
          </w:tcPr>
          <w:p w:rsidR="00822C3F" w:rsidRPr="004A5916" w:rsidRDefault="00822C3F" w:rsidP="00EB0F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2C3F" w:rsidRPr="004A5916" w:rsidTr="00BE2201">
        <w:trPr>
          <w:trHeight w:val="185"/>
        </w:trPr>
        <w:tc>
          <w:tcPr>
            <w:tcW w:w="1980" w:type="dxa"/>
            <w:vMerge/>
            <w:vAlign w:val="center"/>
          </w:tcPr>
          <w:p w:rsidR="00822C3F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22C3F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Bid line</w:t>
            </w:r>
          </w:p>
        </w:tc>
        <w:tc>
          <w:tcPr>
            <w:tcW w:w="7229" w:type="dxa"/>
            <w:vAlign w:val="center"/>
          </w:tcPr>
          <w:p w:rsidR="00822C3F" w:rsidRDefault="00822C3F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, Yellow</w:t>
            </w:r>
          </w:p>
        </w:tc>
        <w:tc>
          <w:tcPr>
            <w:tcW w:w="2977" w:type="dxa"/>
            <w:vMerge/>
            <w:vAlign w:val="center"/>
          </w:tcPr>
          <w:p w:rsidR="00822C3F" w:rsidRPr="004A5916" w:rsidRDefault="00822C3F" w:rsidP="00EB0F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B0FB8" w:rsidRPr="0038096B" w:rsidTr="00BE2201">
        <w:tc>
          <w:tcPr>
            <w:tcW w:w="198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ASK</w:t>
            </w: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Retrieve real-time data from the server</w:t>
            </w:r>
          </w:p>
        </w:tc>
        <w:tc>
          <w:tcPr>
            <w:tcW w:w="2977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c>
          <w:tcPr>
            <w:tcW w:w="198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BID</w:t>
            </w:r>
          </w:p>
        </w:tc>
        <w:tc>
          <w:tcPr>
            <w:tcW w:w="241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Retrieve real-time data from the server</w:t>
            </w:r>
          </w:p>
        </w:tc>
        <w:tc>
          <w:tcPr>
            <w:tcW w:w="2977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932"/>
        </w:trPr>
        <w:tc>
          <w:tcPr>
            <w:tcW w:w="1980" w:type="dxa"/>
            <w:vMerge w:val="restart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Spread</w:t>
            </w: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Difference between ASK and BID price.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  <w:u w:val="single"/>
              </w:rPr>
              <w:t>Implementation</w:t>
            </w:r>
            <w:r w:rsidRPr="0038096B">
              <w:rPr>
                <w:rFonts w:ascii="Times New Roman" w:hAnsi="Times New Roman" w:cs="Times New Roman"/>
              </w:rPr>
              <w:t>: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Spread = (ASK – BID) * k</w:t>
            </w:r>
          </w:p>
        </w:tc>
        <w:tc>
          <w:tcPr>
            <w:tcW w:w="2977" w:type="dxa"/>
            <w:vMerge w:val="restart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242"/>
        </w:trPr>
        <w:tc>
          <w:tcPr>
            <w:tcW w:w="1980" w:type="dxa"/>
            <w:vMerge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  <w:b/>
              </w:rPr>
              <w:t>Digits</w:t>
            </w:r>
            <w:r w:rsidRPr="0038096B">
              <w:rPr>
                <w:rFonts w:ascii="Times New Roman" w:hAnsi="Times New Roman" w:cs="Times New Roman"/>
              </w:rPr>
              <w:t xml:space="preserve"> = 5</w:t>
            </w: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k = 10000; d = 5;</w:t>
            </w:r>
          </w:p>
        </w:tc>
        <w:tc>
          <w:tcPr>
            <w:tcW w:w="2977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182"/>
        </w:trPr>
        <w:tc>
          <w:tcPr>
            <w:tcW w:w="1980" w:type="dxa"/>
            <w:vMerge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  <w:b/>
              </w:rPr>
              <w:t>Digits</w:t>
            </w:r>
            <w:r w:rsidRPr="0038096B"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k = 10000; d = 4;</w:t>
            </w:r>
          </w:p>
        </w:tc>
        <w:tc>
          <w:tcPr>
            <w:tcW w:w="2977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303"/>
        </w:trPr>
        <w:tc>
          <w:tcPr>
            <w:tcW w:w="1980" w:type="dxa"/>
            <w:vMerge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  <w:b/>
              </w:rPr>
              <w:t>Digits</w:t>
            </w:r>
            <w:r w:rsidRPr="0038096B">
              <w:rPr>
                <w:rFonts w:ascii="Times New Roman" w:hAnsi="Times New Roman" w:cs="Times New Roman"/>
              </w:rPr>
              <w:t xml:space="preserve"> = 3</w:t>
            </w: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k = 100; d = 3;</w:t>
            </w:r>
          </w:p>
        </w:tc>
        <w:tc>
          <w:tcPr>
            <w:tcW w:w="2977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2457"/>
        </w:trPr>
        <w:tc>
          <w:tcPr>
            <w:tcW w:w="1980" w:type="dxa"/>
            <w:vMerge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 xml:space="preserve">※ In </w:t>
            </w:r>
            <w:proofErr w:type="spellStart"/>
            <w:r w:rsidRPr="0038096B">
              <w:rPr>
                <w:rFonts w:ascii="Times New Roman" w:hAnsi="Times New Roman" w:cs="Times New Roman"/>
              </w:rPr>
              <w:t>MetaTrader</w:t>
            </w:r>
            <w:proofErr w:type="spellEnd"/>
            <w:r w:rsidRPr="0038096B">
              <w:rPr>
                <w:rFonts w:ascii="Times New Roman" w:hAnsi="Times New Roman" w:cs="Times New Roman"/>
              </w:rPr>
              <w:t>, "</w:t>
            </w:r>
            <w:r w:rsidRPr="0038096B">
              <w:rPr>
                <w:rFonts w:ascii="Times New Roman" w:hAnsi="Times New Roman" w:cs="Times New Roman"/>
                <w:b/>
              </w:rPr>
              <w:t>Digits</w:t>
            </w:r>
            <w:r w:rsidRPr="0038096B">
              <w:rPr>
                <w:rFonts w:ascii="Times New Roman" w:hAnsi="Times New Roman" w:cs="Times New Roman"/>
              </w:rPr>
              <w:t>" refers to the number of decimal places used to quote currency pairs or other financial instruments. It represents the precision of the price quotes displayed on the platform.</w:t>
            </w:r>
          </w:p>
          <w:p w:rsidR="00483F88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For example, if a currency pair has 5 digits, such as EUR/USD with a price of 1.23456, it means that the price is q</w:t>
            </w:r>
            <w:r w:rsidR="00483F88">
              <w:rPr>
                <w:rFonts w:ascii="Times New Roman" w:hAnsi="Times New Roman" w:cs="Times New Roman"/>
              </w:rPr>
              <w:t>uoted with five decimal places.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lastRenderedPageBreak/>
              <w:t xml:space="preserve">In this case, the last digit (6) is known as a "pipette" and represents the smallest possible price movement. 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The number of digits can vary depending on the specific financial instrument and the broker's pricing convention. Some currency pairs may have 4 digits, while others can have 5 or even 3 digits.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※Here “d” is used to display ASK, BID price.</w:t>
            </w:r>
          </w:p>
        </w:tc>
        <w:tc>
          <w:tcPr>
            <w:tcW w:w="2977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934"/>
        </w:trPr>
        <w:tc>
          <w:tcPr>
            <w:tcW w:w="198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HOD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(High Of Day)</w:t>
            </w:r>
          </w:p>
        </w:tc>
        <w:tc>
          <w:tcPr>
            <w:tcW w:w="241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Highest price at which a currency has traded during  a particular trading day.</w:t>
            </w:r>
          </w:p>
        </w:tc>
        <w:tc>
          <w:tcPr>
            <w:tcW w:w="2977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1118"/>
        </w:trPr>
        <w:tc>
          <w:tcPr>
            <w:tcW w:w="198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LOD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(Low Of Day)</w:t>
            </w: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Lowest price at which a currency has traded during  a particular trading day.</w:t>
            </w:r>
          </w:p>
        </w:tc>
        <w:tc>
          <w:tcPr>
            <w:tcW w:w="2977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1686"/>
        </w:trPr>
        <w:tc>
          <w:tcPr>
            <w:tcW w:w="198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TDR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(Today Daily Rate)</w:t>
            </w:r>
          </w:p>
        </w:tc>
        <w:tc>
          <w:tcPr>
            <w:tcW w:w="241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It refers to the range between highest and lowest price of a currency pair within a single trading day.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38096B">
              <w:rPr>
                <w:rFonts w:ascii="Times New Roman" w:hAnsi="Times New Roman" w:cs="Times New Roman"/>
                <w:u w:val="single"/>
              </w:rPr>
              <w:t>Implementation: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TDR = (HOD - LOD) * k</w:t>
            </w:r>
          </w:p>
        </w:tc>
        <w:tc>
          <w:tcPr>
            <w:tcW w:w="2977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3681"/>
        </w:trPr>
        <w:tc>
          <w:tcPr>
            <w:tcW w:w="198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YDR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(Yearly Daily Rate)</w:t>
            </w: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It refers to the range between highest and lowest price of a currency pair over the course of a year.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38096B">
              <w:rPr>
                <w:rFonts w:ascii="Times New Roman" w:hAnsi="Times New Roman" w:cs="Times New Roman"/>
                <w:u w:val="single"/>
              </w:rPr>
              <w:t>Implementation: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• first, calculate difference between highest price and lowest price everyday only for the days during the year when trade took place</w:t>
            </w:r>
            <w:r>
              <w:rPr>
                <w:rFonts w:ascii="Times New Roman" w:hAnsi="Times New Roman" w:cs="Times New Roman"/>
              </w:rPr>
              <w:t xml:space="preserve"> except Saturday and Sunday</w:t>
            </w:r>
            <w:r w:rsidRPr="0038096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(※Also leap years must be</w:t>
            </w:r>
            <w:r w:rsidRPr="0027066E">
              <w:rPr>
                <w:rFonts w:ascii="Times New Roman" w:hAnsi="Times New Roman" w:cs="Times New Roman"/>
              </w:rPr>
              <w:t xml:space="preserve"> considered.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096B">
              <w:rPr>
                <w:rFonts w:ascii="Times New Roman" w:hAnsi="Times New Roman" w:cs="Times New Roman"/>
              </w:rPr>
              <w:t xml:space="preserve">For example, number of trading days from 01/01/2023 to </w:t>
            </w:r>
            <w:proofErr w:type="gramStart"/>
            <w:r w:rsidRPr="0038096B">
              <w:rPr>
                <w:rFonts w:ascii="Times New Roman" w:hAnsi="Times New Roman" w:cs="Times New Roman"/>
              </w:rPr>
              <w:t>today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11/14/2023)  are</w:t>
            </w:r>
            <w:r w:rsidRPr="0038096B">
              <w:rPr>
                <w:rFonts w:ascii="Times New Roman" w:hAnsi="Times New Roman" w:cs="Times New Roman"/>
              </w:rPr>
              <w:t xml:space="preserve"> 227 days)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•then, sum of the all differences divide number of trading days(in this case 227days)</w:t>
            </w:r>
          </w:p>
        </w:tc>
        <w:tc>
          <w:tcPr>
            <w:tcW w:w="2977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605"/>
        </w:trPr>
        <w:tc>
          <w:tcPr>
            <w:tcW w:w="1980" w:type="dxa"/>
            <w:vMerge w:val="restart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lastRenderedPageBreak/>
              <w:t>WADR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(Weekly Average Daily Rate)</w:t>
            </w:r>
          </w:p>
        </w:tc>
        <w:tc>
          <w:tcPr>
            <w:tcW w:w="241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It represents the average range of price movement on a daily basis over a specific period, but calculated on a weekly basis.</w:t>
            </w:r>
          </w:p>
        </w:tc>
        <w:tc>
          <w:tcPr>
            <w:tcW w:w="2977" w:type="dxa"/>
            <w:vMerge w:val="restart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1297"/>
        </w:trPr>
        <w:tc>
          <w:tcPr>
            <w:tcW w:w="1980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38096B">
              <w:rPr>
                <w:rFonts w:ascii="Times New Roman" w:hAnsi="Times New Roman" w:cs="Times New Roman"/>
                <w:u w:val="single"/>
              </w:rPr>
              <w:t>Implementation: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• first, calculate average true range(ATR) everyday only for the days during the week when trade took place</w:t>
            </w:r>
            <w:r>
              <w:rPr>
                <w:rFonts w:ascii="Times New Roman" w:hAnsi="Times New Roman" w:cs="Times New Roman"/>
              </w:rPr>
              <w:t xml:space="preserve"> except Saturday and Sunday</w:t>
            </w:r>
            <w:r w:rsidRPr="0038096B">
              <w:rPr>
                <w:rFonts w:ascii="Times New Roman" w:hAnsi="Times New Roman" w:cs="Times New Roman"/>
              </w:rPr>
              <w:t xml:space="preserve">. (For example, </w:t>
            </w:r>
            <w:r>
              <w:rPr>
                <w:rFonts w:ascii="Times New Roman" w:hAnsi="Times New Roman" w:cs="Times New Roman"/>
              </w:rPr>
              <w:t>number of</w:t>
            </w:r>
            <w:r w:rsidRPr="0038096B">
              <w:rPr>
                <w:rFonts w:ascii="Times New Roman" w:hAnsi="Times New Roman" w:cs="Times New Roman"/>
              </w:rPr>
              <w:t xml:space="preserve"> trading days from </w:t>
            </w:r>
            <w:r>
              <w:rPr>
                <w:rFonts w:ascii="Times New Roman" w:hAnsi="Times New Roman" w:cs="Times New Roman"/>
              </w:rPr>
              <w:t>11/12</w:t>
            </w:r>
            <w:r w:rsidRPr="0038096B">
              <w:rPr>
                <w:rFonts w:ascii="Times New Roman" w:hAnsi="Times New Roman" w:cs="Times New Roman"/>
              </w:rPr>
              <w:t>/2023 to today</w:t>
            </w:r>
            <w:r>
              <w:rPr>
                <w:rFonts w:ascii="Times New Roman" w:hAnsi="Times New Roman" w:cs="Times New Roman"/>
              </w:rPr>
              <w:t xml:space="preserve"> are 2 days)</w:t>
            </w:r>
          </w:p>
        </w:tc>
        <w:tc>
          <w:tcPr>
            <w:tcW w:w="2977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610"/>
        </w:trPr>
        <w:tc>
          <w:tcPr>
            <w:tcW w:w="1980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 xml:space="preserve">If current day is Sunday </w:t>
            </w:r>
          </w:p>
        </w:tc>
        <w:tc>
          <w:tcPr>
            <w:tcW w:w="7229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Calculate previous week’s WADR</w:t>
            </w:r>
            <w:r>
              <w:rPr>
                <w:rFonts w:ascii="Times New Roman" w:hAnsi="Times New Roman" w:cs="Times New Roman"/>
              </w:rPr>
              <w:t xml:space="preserve">(in this case </w:t>
            </w:r>
            <w:r w:rsidRPr="0038096B">
              <w:rPr>
                <w:rFonts w:ascii="Times New Roman" w:hAnsi="Times New Roman" w:cs="Times New Roman"/>
              </w:rPr>
              <w:t>number of trading</w:t>
            </w:r>
            <w:r>
              <w:rPr>
                <w:rFonts w:ascii="Times New Roman" w:hAnsi="Times New Roman" w:cs="Times New Roman"/>
              </w:rPr>
              <w:t xml:space="preserve"> days - 5)</w:t>
            </w:r>
          </w:p>
        </w:tc>
        <w:tc>
          <w:tcPr>
            <w:tcW w:w="2977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503"/>
        </w:trPr>
        <w:tc>
          <w:tcPr>
            <w:tcW w:w="1980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EB0FB8" w:rsidRPr="0038096B" w:rsidRDefault="00EB0FB8" w:rsidP="00EB0FB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7229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 xml:space="preserve">Calculate current week’s WADR </w:t>
            </w:r>
            <w:r>
              <w:rPr>
                <w:rFonts w:ascii="Times New Roman" w:hAnsi="Times New Roman" w:cs="Times New Roman"/>
              </w:rPr>
              <w:t xml:space="preserve">(in this case </w:t>
            </w:r>
            <w:r w:rsidRPr="0038096B">
              <w:rPr>
                <w:rFonts w:ascii="Times New Roman" w:hAnsi="Times New Roman" w:cs="Times New Roman"/>
              </w:rPr>
              <w:t>number of trading</w:t>
            </w:r>
            <w:r>
              <w:rPr>
                <w:rFonts w:ascii="Times New Roman" w:hAnsi="Times New Roman" w:cs="Times New Roman"/>
              </w:rPr>
              <w:t xml:space="preserve"> days - 2)</w:t>
            </w:r>
          </w:p>
        </w:tc>
        <w:tc>
          <w:tcPr>
            <w:tcW w:w="2977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418"/>
        </w:trPr>
        <w:tc>
          <w:tcPr>
            <w:tcW w:w="1980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•then, sum of the all ATR divide number of trading days</w:t>
            </w:r>
          </w:p>
        </w:tc>
        <w:tc>
          <w:tcPr>
            <w:tcW w:w="2977" w:type="dxa"/>
            <w:vMerge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2656"/>
        </w:trPr>
        <w:tc>
          <w:tcPr>
            <w:tcW w:w="198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38096B">
              <w:rPr>
                <w:rFonts w:ascii="Times New Roman" w:hAnsi="Times New Roman" w:cs="Times New Roman"/>
              </w:rPr>
              <w:t>ADR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(Month</w:t>
            </w:r>
            <w:r w:rsidRPr="0038096B">
              <w:rPr>
                <w:rFonts w:ascii="Times New Roman" w:hAnsi="Times New Roman" w:cs="Times New Roman"/>
              </w:rPr>
              <w:t>ly Average Daily Rate)</w:t>
            </w:r>
          </w:p>
        </w:tc>
        <w:tc>
          <w:tcPr>
            <w:tcW w:w="2410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 xml:space="preserve">It represents the average range of price movement on a daily basis over a specific </w:t>
            </w:r>
            <w:r>
              <w:rPr>
                <w:rFonts w:ascii="Times New Roman" w:hAnsi="Times New Roman" w:cs="Times New Roman"/>
              </w:rPr>
              <w:t>period, but calculated on a month</w:t>
            </w:r>
            <w:r w:rsidRPr="0038096B">
              <w:rPr>
                <w:rFonts w:ascii="Times New Roman" w:hAnsi="Times New Roman" w:cs="Times New Roman"/>
              </w:rPr>
              <w:t>ly basis.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38096B">
              <w:rPr>
                <w:rFonts w:ascii="Times New Roman" w:hAnsi="Times New Roman" w:cs="Times New Roman"/>
                <w:u w:val="single"/>
              </w:rPr>
              <w:t>Implementation: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 xml:space="preserve">• first, calculate average true range(ATR) everyday only for the days during the </w:t>
            </w:r>
            <w:r>
              <w:rPr>
                <w:rFonts w:ascii="Times New Roman" w:hAnsi="Times New Roman" w:cs="Times New Roman"/>
              </w:rPr>
              <w:t>month</w:t>
            </w:r>
            <w:r w:rsidRPr="0038096B">
              <w:rPr>
                <w:rFonts w:ascii="Times New Roman" w:hAnsi="Times New Roman" w:cs="Times New Roman"/>
              </w:rPr>
              <w:t xml:space="preserve"> when trade took place</w:t>
            </w:r>
            <w:r>
              <w:rPr>
                <w:rFonts w:ascii="Times New Roman" w:hAnsi="Times New Roman" w:cs="Times New Roman"/>
              </w:rPr>
              <w:t xml:space="preserve"> except Saturday and Sunday</w:t>
            </w:r>
            <w:r w:rsidRPr="0038096B">
              <w:rPr>
                <w:rFonts w:ascii="Times New Roman" w:hAnsi="Times New Roman" w:cs="Times New Roman"/>
              </w:rPr>
              <w:t xml:space="preserve">. (For example, </w:t>
            </w:r>
            <w:r>
              <w:rPr>
                <w:rFonts w:ascii="Times New Roman" w:hAnsi="Times New Roman" w:cs="Times New Roman"/>
              </w:rPr>
              <w:t>number of</w:t>
            </w:r>
            <w:r w:rsidRPr="0038096B">
              <w:rPr>
                <w:rFonts w:ascii="Times New Roman" w:hAnsi="Times New Roman" w:cs="Times New Roman"/>
              </w:rPr>
              <w:t xml:space="preserve"> trading days from </w:t>
            </w:r>
            <w:r>
              <w:rPr>
                <w:rFonts w:ascii="Times New Roman" w:hAnsi="Times New Roman" w:cs="Times New Roman"/>
              </w:rPr>
              <w:t>11/01</w:t>
            </w:r>
            <w:r w:rsidRPr="0038096B">
              <w:rPr>
                <w:rFonts w:ascii="Times New Roman" w:hAnsi="Times New Roman" w:cs="Times New Roman"/>
              </w:rPr>
              <w:t>/2023 to today</w:t>
            </w:r>
            <w:r>
              <w:rPr>
                <w:rFonts w:ascii="Times New Roman" w:hAnsi="Times New Roman" w:cs="Times New Roman"/>
              </w:rPr>
              <w:t xml:space="preserve"> are 10 days)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•then, sum of the all ATR divide number of trading days</w:t>
            </w:r>
          </w:p>
        </w:tc>
        <w:tc>
          <w:tcPr>
            <w:tcW w:w="2977" w:type="dxa"/>
            <w:shd w:val="clear" w:color="auto" w:fill="E7E6E6" w:themeFill="background2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0FB8" w:rsidRPr="0038096B" w:rsidTr="00BE2201">
        <w:trPr>
          <w:trHeight w:val="3006"/>
        </w:trPr>
        <w:tc>
          <w:tcPr>
            <w:tcW w:w="1980" w:type="dxa"/>
            <w:shd w:val="clear" w:color="auto" w:fill="FFFFFF" w:themeFill="background1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38096B">
              <w:rPr>
                <w:rFonts w:ascii="Times New Roman" w:hAnsi="Times New Roman" w:cs="Times New Roman"/>
              </w:rPr>
              <w:t>ADR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(High</w:t>
            </w:r>
            <w:r w:rsidRPr="0038096B">
              <w:rPr>
                <w:rFonts w:ascii="Times New Roman" w:hAnsi="Times New Roman" w:cs="Times New Roman"/>
              </w:rPr>
              <w:t>ly</w:t>
            </w:r>
            <w:r>
              <w:rPr>
                <w:rFonts w:ascii="Times New Roman" w:hAnsi="Times New Roman" w:cs="Times New Roman"/>
              </w:rPr>
              <w:t xml:space="preserve"> Yearly</w:t>
            </w:r>
            <w:r w:rsidRPr="0038096B">
              <w:rPr>
                <w:rFonts w:ascii="Times New Roman" w:hAnsi="Times New Roman" w:cs="Times New Roman"/>
              </w:rPr>
              <w:t xml:space="preserve"> Average Daily Rate)</w:t>
            </w:r>
          </w:p>
        </w:tc>
        <w:tc>
          <w:tcPr>
            <w:tcW w:w="2410" w:type="dxa"/>
            <w:shd w:val="clear" w:color="auto" w:fill="FFFFFF" w:themeFill="background1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  <w:shd w:val="clear" w:color="auto" w:fill="FFFFFF" w:themeFill="background1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 xml:space="preserve">It represents the average range of price movement on a daily basis over a specific </w:t>
            </w:r>
            <w:r>
              <w:rPr>
                <w:rFonts w:ascii="Times New Roman" w:hAnsi="Times New Roman" w:cs="Times New Roman"/>
              </w:rPr>
              <w:t>period, but calculated on a year</w:t>
            </w:r>
            <w:r w:rsidRPr="0038096B">
              <w:rPr>
                <w:rFonts w:ascii="Times New Roman" w:hAnsi="Times New Roman" w:cs="Times New Roman"/>
              </w:rPr>
              <w:t>ly basis.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38096B">
              <w:rPr>
                <w:rFonts w:ascii="Times New Roman" w:hAnsi="Times New Roman" w:cs="Times New Roman"/>
                <w:u w:val="single"/>
              </w:rPr>
              <w:t>Implementation:</w:t>
            </w:r>
          </w:p>
          <w:p w:rsidR="00EB0FB8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 xml:space="preserve">• first, calculate average true range(ATR) everyday only for the days during the </w:t>
            </w:r>
            <w:r>
              <w:rPr>
                <w:rFonts w:ascii="Times New Roman" w:hAnsi="Times New Roman" w:cs="Times New Roman"/>
              </w:rPr>
              <w:t>year</w:t>
            </w:r>
            <w:r w:rsidRPr="0038096B">
              <w:rPr>
                <w:rFonts w:ascii="Times New Roman" w:hAnsi="Times New Roman" w:cs="Times New Roman"/>
              </w:rPr>
              <w:t xml:space="preserve"> when trade took place</w:t>
            </w:r>
            <w:r>
              <w:rPr>
                <w:rFonts w:ascii="Times New Roman" w:hAnsi="Times New Roman" w:cs="Times New Roman"/>
              </w:rPr>
              <w:t xml:space="preserve"> except Saturday and Sunday</w:t>
            </w:r>
            <w:r w:rsidRPr="0038096B">
              <w:rPr>
                <w:rFonts w:ascii="Times New Roman" w:hAnsi="Times New Roman" w:cs="Times New Roman"/>
              </w:rPr>
              <w:t>.</w:t>
            </w:r>
          </w:p>
          <w:p w:rsidR="00EB0FB8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(※Also leap years must be</w:t>
            </w:r>
            <w:r w:rsidRPr="0027066E">
              <w:rPr>
                <w:rFonts w:ascii="Times New Roman" w:hAnsi="Times New Roman" w:cs="Times New Roman"/>
              </w:rPr>
              <w:t xml:space="preserve"> considered.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 xml:space="preserve">(For example, </w:t>
            </w:r>
            <w:r>
              <w:rPr>
                <w:rFonts w:ascii="Times New Roman" w:hAnsi="Times New Roman" w:cs="Times New Roman"/>
              </w:rPr>
              <w:t>number of</w:t>
            </w:r>
            <w:r w:rsidRPr="0038096B">
              <w:rPr>
                <w:rFonts w:ascii="Times New Roman" w:hAnsi="Times New Roman" w:cs="Times New Roman"/>
              </w:rPr>
              <w:t xml:space="preserve"> trading days from </w:t>
            </w:r>
            <w:r>
              <w:rPr>
                <w:rFonts w:ascii="Times New Roman" w:hAnsi="Times New Roman" w:cs="Times New Roman"/>
              </w:rPr>
              <w:t>01/01</w:t>
            </w:r>
            <w:r w:rsidRPr="0038096B">
              <w:rPr>
                <w:rFonts w:ascii="Times New Roman" w:hAnsi="Times New Roman" w:cs="Times New Roman"/>
              </w:rPr>
              <w:t>/2023 to today</w:t>
            </w:r>
            <w:r>
              <w:rPr>
                <w:rFonts w:ascii="Times New Roman" w:hAnsi="Times New Roman" w:cs="Times New Roman"/>
              </w:rPr>
              <w:t xml:space="preserve"> are 227 days)</w:t>
            </w:r>
          </w:p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096B">
              <w:rPr>
                <w:rFonts w:ascii="Times New Roman" w:hAnsi="Times New Roman" w:cs="Times New Roman"/>
              </w:rPr>
              <w:t>•then, sum of the all ATR divide number of trading days</w:t>
            </w:r>
          </w:p>
        </w:tc>
        <w:tc>
          <w:tcPr>
            <w:tcW w:w="2977" w:type="dxa"/>
            <w:shd w:val="clear" w:color="auto" w:fill="FFFFFF" w:themeFill="background1"/>
          </w:tcPr>
          <w:p w:rsidR="00EB0FB8" w:rsidRPr="0038096B" w:rsidRDefault="00EB0FB8" w:rsidP="00EB0F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EE551E" w:rsidRPr="00D921C3" w:rsidRDefault="00BB5834" w:rsidP="00EE551E">
      <w:pPr>
        <w:spacing w:line="240" w:lineRule="auto"/>
        <w:rPr>
          <w:rFonts w:ascii="Times New Roman" w:hAnsi="Times New Roman" w:cs="Times New Roman"/>
          <w:sz w:val="24"/>
        </w:rPr>
      </w:pPr>
      <w:r w:rsidRPr="00EC474B">
        <w:rPr>
          <w:rFonts w:ascii="Times New Roman" w:hAnsi="Times New Roman" w:cs="Times New Roman"/>
          <w:sz w:val="24"/>
          <w:highlight w:val="yellow"/>
        </w:rPr>
        <w:t>※Finally I added current ope</w:t>
      </w:r>
      <w:bookmarkStart w:id="0" w:name="_GoBack"/>
      <w:bookmarkEnd w:id="0"/>
      <w:r w:rsidRPr="00EC474B">
        <w:rPr>
          <w:rFonts w:ascii="Times New Roman" w:hAnsi="Times New Roman" w:cs="Times New Roman"/>
          <w:sz w:val="24"/>
          <w:highlight w:val="yellow"/>
        </w:rPr>
        <w:t xml:space="preserve">n currency pair and timeframes </w:t>
      </w:r>
      <w:proofErr w:type="gramStart"/>
      <w:r w:rsidRPr="00EC474B">
        <w:rPr>
          <w:rFonts w:ascii="Times New Roman" w:hAnsi="Times New Roman" w:cs="Times New Roman"/>
          <w:sz w:val="24"/>
          <w:highlight w:val="yellow"/>
        </w:rPr>
        <w:t>view(</w:t>
      </w:r>
      <w:proofErr w:type="gramEnd"/>
      <w:r w:rsidRPr="00EC474B">
        <w:rPr>
          <w:rFonts w:ascii="Times New Roman" w:hAnsi="Times New Roman" w:cs="Times New Roman"/>
          <w:sz w:val="24"/>
          <w:highlight w:val="yellow"/>
        </w:rPr>
        <w:t xml:space="preserve">color: Red) after the last line </w:t>
      </w:r>
      <w:proofErr w:type="spellStart"/>
      <w:r w:rsidRPr="00EC474B">
        <w:rPr>
          <w:rFonts w:ascii="Times New Roman" w:hAnsi="Times New Roman" w:cs="Times New Roman"/>
          <w:sz w:val="24"/>
          <w:highlight w:val="yellow"/>
        </w:rPr>
        <w:t>betweens</w:t>
      </w:r>
      <w:proofErr w:type="spellEnd"/>
      <w:r w:rsidRPr="00EC474B">
        <w:rPr>
          <w:rFonts w:ascii="Times New Roman" w:hAnsi="Times New Roman" w:cs="Times New Roman"/>
          <w:sz w:val="24"/>
          <w:highlight w:val="yellow"/>
        </w:rPr>
        <w:t>.(It’s for the test. Can be deleted on your mind.)</w:t>
      </w:r>
    </w:p>
    <w:sectPr w:rsidR="00EE551E" w:rsidRPr="00D921C3" w:rsidSect="00063813">
      <w:footerReference w:type="default" r:id="rId6"/>
      <w:pgSz w:w="16840" w:h="11907" w:orient="landscape" w:code="9"/>
      <w:pgMar w:top="851" w:right="1134" w:bottom="851" w:left="1134" w:header="22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111" w:rsidRDefault="007C0111" w:rsidP="00063813">
      <w:pPr>
        <w:spacing w:after="0" w:line="240" w:lineRule="auto"/>
      </w:pPr>
      <w:r>
        <w:separator/>
      </w:r>
    </w:p>
  </w:endnote>
  <w:endnote w:type="continuationSeparator" w:id="0">
    <w:p w:rsidR="007C0111" w:rsidRDefault="007C0111" w:rsidP="0006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021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3813" w:rsidRDefault="000638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7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3813" w:rsidRDefault="00063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111" w:rsidRDefault="007C0111" w:rsidP="00063813">
      <w:pPr>
        <w:spacing w:after="0" w:line="240" w:lineRule="auto"/>
      </w:pPr>
      <w:r>
        <w:separator/>
      </w:r>
    </w:p>
  </w:footnote>
  <w:footnote w:type="continuationSeparator" w:id="0">
    <w:p w:rsidR="007C0111" w:rsidRDefault="007C0111" w:rsidP="00063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1E"/>
    <w:rsid w:val="00063813"/>
    <w:rsid w:val="000B1E79"/>
    <w:rsid w:val="001D08CB"/>
    <w:rsid w:val="001F481E"/>
    <w:rsid w:val="00204CD8"/>
    <w:rsid w:val="0027066E"/>
    <w:rsid w:val="002D7A77"/>
    <w:rsid w:val="00301E10"/>
    <w:rsid w:val="0038096B"/>
    <w:rsid w:val="003D27BB"/>
    <w:rsid w:val="003F71A6"/>
    <w:rsid w:val="004660E3"/>
    <w:rsid w:val="00483F88"/>
    <w:rsid w:val="00490559"/>
    <w:rsid w:val="004A5916"/>
    <w:rsid w:val="004A6B37"/>
    <w:rsid w:val="00561598"/>
    <w:rsid w:val="005D06EA"/>
    <w:rsid w:val="005E3C05"/>
    <w:rsid w:val="00641231"/>
    <w:rsid w:val="00645E13"/>
    <w:rsid w:val="00692FE3"/>
    <w:rsid w:val="007A3600"/>
    <w:rsid w:val="007C0111"/>
    <w:rsid w:val="007E7AF4"/>
    <w:rsid w:val="00822C3F"/>
    <w:rsid w:val="00830794"/>
    <w:rsid w:val="00A63E96"/>
    <w:rsid w:val="00AA77A4"/>
    <w:rsid w:val="00B14C01"/>
    <w:rsid w:val="00BB5834"/>
    <w:rsid w:val="00BE2201"/>
    <w:rsid w:val="00C201E3"/>
    <w:rsid w:val="00C51CE7"/>
    <w:rsid w:val="00D01476"/>
    <w:rsid w:val="00D319D3"/>
    <w:rsid w:val="00D921C3"/>
    <w:rsid w:val="00D93978"/>
    <w:rsid w:val="00E035C6"/>
    <w:rsid w:val="00EA32A2"/>
    <w:rsid w:val="00EA431E"/>
    <w:rsid w:val="00EB0FB8"/>
    <w:rsid w:val="00EC474B"/>
    <w:rsid w:val="00EC654E"/>
    <w:rsid w:val="00ED6AAF"/>
    <w:rsid w:val="00EE551E"/>
    <w:rsid w:val="00F4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5093"/>
  <w15:chartTrackingRefBased/>
  <w15:docId w15:val="{E5E24B9A-5780-4A6F-BC40-00A0809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13"/>
  </w:style>
  <w:style w:type="paragraph" w:styleId="Footer">
    <w:name w:val="footer"/>
    <w:basedOn w:val="Normal"/>
    <w:link w:val="FooterChar"/>
    <w:uiPriority w:val="99"/>
    <w:unhideWhenUsed/>
    <w:rsid w:val="0006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bruce</cp:lastModifiedBy>
  <cp:revision>49</cp:revision>
  <dcterms:created xsi:type="dcterms:W3CDTF">2023-11-14T10:14:00Z</dcterms:created>
  <dcterms:modified xsi:type="dcterms:W3CDTF">2023-11-14T12:44:00Z</dcterms:modified>
</cp:coreProperties>
</file>