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i w:val="0"/>
          <w:color w:val="111827"/>
          <w:sz w:val="46"/>
        </w:rPr>
        <w:t>Retrieval Design for Real-World RAG</w:t>
      </w:r>
    </w:p>
    <w:p>
      <w:pPr>
        <w:spacing w:before="0" w:after="80"/>
      </w:pPr>
      <w:r>
        <w:rPr>
          <w:rFonts w:ascii="Calibri" w:hAnsi="Calibri"/>
          <w:b w:val="0"/>
          <w:i w:val="0"/>
          <w:color w:val="5B6573"/>
          <w:sz w:val="25"/>
        </w:rPr>
        <w:t>Malawi Integrated Disease Surveillance and Response dataset</w:t>
      </w:r>
    </w:p>
    <w:p>
      <w:pPr>
        <w:spacing w:before="0" w:after="240"/>
      </w:pPr>
      <w:r>
        <w:rPr>
          <w:rFonts w:ascii="Calibri" w:hAnsi="Calibri"/>
          <w:b/>
          <w:i w:val="0"/>
          <w:color w:val="5B6573"/>
          <w:sz w:val="19"/>
        </w:rPr>
        <w:t>Assignment Q1  |  Local-only pipeline  |  September 2026</w:t>
      </w:r>
    </w:p>
    <w:p>
      <w:pPr>
        <w:spacing w:before="80" w:after="200"/>
        <w:ind w:left="216" w:right="216"/>
        <w:shd w:fill="EAF2F8"/>
      </w:pPr>
      <w:r>
        <w:rPr>
          <w:rFonts w:ascii="Calibri" w:hAnsi="Calibri"/>
          <w:b/>
          <w:i w:val="0"/>
          <w:color w:val="1F4D78"/>
          <w:sz w:val="22"/>
        </w:rPr>
        <w:t xml:space="preserve">Design decision. </w:t>
      </w:r>
      <w:r>
        <w:rPr>
          <w:rFonts w:ascii="Calibri" w:hAnsi="Calibri"/>
          <w:b w:val="0"/>
          <w:i w:val="0"/>
          <w:color w:val="1F2937"/>
          <w:sz w:val="21"/>
        </w:rPr>
        <w:t>Use structure-aware chunks and hybrid BM25 + vector retrieval, then fuse the two ranked lists locally. This protects exact disease terminology and paragraph references while still matching paraphrased questions.</w:t>
      </w:r>
    </w:p>
    <w:p>
      <w:pPr>
        <w:pStyle w:val="Heading1"/>
      </w:pPr>
      <w:r>
        <w:t>1. Dataset and retrieval objective</w:t>
      </w:r>
    </w:p>
    <w:p>
      <w:pPr/>
      <w:r>
        <w:rPr>
          <w:rFonts w:ascii="Calibri" w:hAnsi="Calibri"/>
          <w:b w:val="0"/>
          <w:i w:val="0"/>
          <w:color w:val="1F2937"/>
          <w:sz w:val="22"/>
        </w:rPr>
        <w:t>The corpus contains six Excel workbooks derived from Malawi IDSR training guides. Column A holds a stable paragraph number and column B holds the corresponding guideline text. The retrieval layer should return the smallest evidence set that fully answers a question while preserving enough provenance for a reviewer to locate the statement in the original booklet.</w:t>
      </w:r>
    </w:p>
    <w:p>
      <w:pPr/>
      <w:r>
        <w:rPr>
          <w:rFonts w:ascii="Calibri" w:hAnsi="Calibri"/>
          <w:b w:val="0"/>
          <w:i w:val="0"/>
          <w:color w:val="1F2937"/>
          <w:sz w:val="22"/>
        </w:rPr>
        <w:t>The current ingestion produces 1,036 chunks from the six workbooks. Chunk lengths are validated during ingestion; the current maximum complete chunk is 4,868 characters. These observations support paragraph-aware splitting rather than a fixed token window over flattened workbook text.</w:t>
      </w:r>
    </w:p>
    <w:p>
      <w:pPr>
        <w:pStyle w:val="Heading1"/>
      </w:pPr>
      <w:r>
        <w:t>2. Structure-aware chunking</w:t>
      </w:r>
    </w:p>
    <w:p>
      <w:pPr/>
      <w:r>
        <w:rPr>
          <w:rFonts w:ascii="Calibri" w:hAnsi="Calibri"/>
          <w:b/>
          <w:i w:val="0"/>
          <w:color w:val="1F4D78"/>
          <w:sz w:val="22"/>
        </w:rPr>
        <w:t xml:space="preserve">Headings. </w:t>
      </w:r>
      <w:r>
        <w:rPr>
          <w:rFonts w:ascii="Calibri" w:hAnsi="Calibri"/>
          <w:b w:val="0"/>
          <w:i w:val="0"/>
          <w:color w:val="1F2937"/>
          <w:sz w:val="22"/>
        </w:rPr>
        <w:t>Detect numbered headings, SECTION/CHAPTER/ANNEX labels, and short uppercase headings. A chunk never crosses a detected section boundary, and the active heading is prepended to its text so the embedding retains topic context.</w:t>
      </w:r>
    </w:p>
    <w:p>
      <w:pPr/>
      <w:r>
        <w:rPr>
          <w:rFonts w:ascii="Calibri" w:hAnsi="Calibri"/>
          <w:b/>
          <w:i w:val="0"/>
          <w:color w:val="1F4D78"/>
          <w:sz w:val="22"/>
        </w:rPr>
        <w:t xml:space="preserve">Lists and small sections. </w:t>
      </w:r>
      <w:r>
        <w:rPr>
          <w:rFonts w:ascii="Calibri" w:hAnsi="Calibri"/>
          <w:b w:val="0"/>
          <w:i w:val="0"/>
          <w:color w:val="1F2937"/>
          <w:sz w:val="22"/>
        </w:rPr>
        <w:t>Keep each workbook row as an atomic paragraph whenever possible. Consecutive short rows, bullets, and list items remain together under their heading; this prevents a list marker or condition from being separated from the statement it qualifies.</w:t>
      </w:r>
    </w:p>
    <w:p>
      <w:pPr/>
      <w:r>
        <w:rPr>
          <w:rFonts w:ascii="Calibri" w:hAnsi="Calibri"/>
          <w:b/>
          <w:i w:val="0"/>
          <w:color w:val="1F4D78"/>
          <w:sz w:val="22"/>
        </w:rPr>
        <w:t xml:space="preserve">Long sections. </w:t>
      </w:r>
      <w:r>
        <w:rPr>
          <w:rFonts w:ascii="Calibri" w:hAnsi="Calibri"/>
          <w:b w:val="0"/>
          <w:i w:val="0"/>
          <w:color w:val="1F2937"/>
          <w:sz w:val="22"/>
        </w:rPr>
        <w:t>Accumulate rows toward approximately 1,800 characters and cap source content near 2,600 characters. Split an oversized cell at sentence boundaries and carry one source paragraph into the next long-section chunk when needed for local continuity. Preserve the original paragraph number even when one cell becomes multiple chunks.</w:t>
      </w:r>
    </w:p>
    <w:p>
      <w:pPr>
        <w:pStyle w:val="Heading1"/>
      </w:pPr>
      <w:r>
        <w:t>3. Indexing and metadata</w:t>
      </w:r>
    </w:p>
    <w:p>
      <w:pPr/>
      <w:r>
        <w:rPr>
          <w:rFonts w:ascii="Calibri" w:hAnsi="Calibri"/>
          <w:b w:val="0"/>
          <w:i w:val="0"/>
          <w:color w:val="1F2937"/>
          <w:sz w:val="22"/>
        </w:rPr>
        <w:t>Index the same normalized chunks in two stores: normalized MiniLM embeddings in a persistent Chroma cosine collection and token statistics in a local BM25 index. Keeping one shared chunk identity makes fusion, filtering, tracing, and citation validation deterministic.</w:t>
      </w:r>
    </w:p>
    <w:tbl>
      <w:tblPr>
        <w:tblStyle w:val="TableGrid"/>
        <w:tblW w:type="dxa" w:w="9360"/>
        <w:jc w:val="left"/>
        <w:tblLayout w:type="fixed"/>
        <w:tblLook w:firstColumn="1" w:firstRow="1" w:lastColumn="0" w:lastRow="0" w:noHBand="0" w:noVBand="1" w:val="04A0"/>
        <w:tblInd w:w="120" w:type="dxa"/>
      </w:tblPr>
      <w:tblGrid>
        <w:gridCol w:w="2448"/>
        <w:gridCol w:w="6912"/>
      </w:tblGrid>
      <w:tr>
        <w:tc>
          <w:tcPr>
            <w:tcW w:type="dxa" w:w="2448"/>
            <w:tcMar>
              <w:top w:w="80" w:type="dxa"/>
              <w:start w:w="120" w:type="dxa"/>
              <w:bottom w:w="80" w:type="dxa"/>
              <w:end w:w="120" w:type="dxa"/>
            </w:tcMar>
            <w:vAlign w:val="center"/>
            <w:shd w:fill="F2F4F7"/>
          </w:tcPr>
          <w:p>
            <w:pPr>
              <w:spacing w:before="0" w:after="40" w:line="252" w:lineRule="auto"/>
            </w:pPr>
            <w:r>
              <w:rPr>
                <w:rFonts w:ascii="Calibri" w:hAnsi="Calibri"/>
                <w:b/>
                <w:i w:val="0"/>
                <w:color w:val="1F4D78"/>
                <w:sz w:val="19"/>
              </w:rPr>
              <w:t>Metadata field</w:t>
            </w:r>
          </w:p>
        </w:tc>
        <w:tc>
          <w:tcPr>
            <w:tcW w:type="dxa" w:w="6912"/>
            <w:tcMar>
              <w:top w:w="80" w:type="dxa"/>
              <w:start w:w="120" w:type="dxa"/>
              <w:bottom w:w="80" w:type="dxa"/>
              <w:end w:w="120" w:type="dxa"/>
            </w:tcMar>
            <w:vAlign w:val="center"/>
            <w:shd w:fill="F2F4F7"/>
          </w:tcPr>
          <w:p>
            <w:pPr>
              <w:spacing w:before="0" w:after="40" w:line="252" w:lineRule="auto"/>
            </w:pPr>
            <w:r>
              <w:rPr>
                <w:rFonts w:ascii="Calibri" w:hAnsi="Calibri"/>
                <w:b/>
                <w:i w:val="0"/>
                <w:color w:val="1F4D78"/>
                <w:sz w:val="19"/>
              </w:rPr>
              <w:t>Purpose</w:t>
            </w:r>
          </w:p>
        </w:tc>
      </w:tr>
      <w:tr>
        <w:tc>
          <w:tcPr>
            <w:tcW w:type="dxa" w:w="2448"/>
            <w:tcMar>
              <w:top w:w="80" w:type="dxa"/>
              <w:start w:w="120" w:type="dxa"/>
              <w:bottom w:w="80" w:type="dxa"/>
              <w:end w:w="120" w:type="dxa"/>
            </w:tcMar>
            <w:vAlign w:val="center"/>
          </w:tcPr>
          <w:p>
            <w:pPr>
              <w:spacing w:before="0" w:after="40" w:line="252" w:lineRule="auto"/>
            </w:pPr>
            <w:r>
              <w:rPr>
                <w:rFonts w:ascii="Calibri" w:hAnsi="Calibri"/>
                <w:b/>
                <w:i w:val="0"/>
                <w:color w:val="1F2937"/>
                <w:sz w:val="19"/>
              </w:rPr>
              <w:t>chunk_id</w:t>
            </w:r>
          </w:p>
        </w:tc>
        <w:tc>
          <w:tcPr>
            <w:tcW w:type="dxa" w:w="6912"/>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Stable citation key: booklet + paragraph range + sequence.</w:t>
            </w:r>
          </w:p>
        </w:tc>
      </w:tr>
      <w:tr>
        <w:tc>
          <w:tcPr>
            <w:tcW w:type="dxa" w:w="2448"/>
            <w:tcMar>
              <w:top w:w="80" w:type="dxa"/>
              <w:start w:w="120" w:type="dxa"/>
              <w:bottom w:w="80" w:type="dxa"/>
              <w:end w:w="120" w:type="dxa"/>
            </w:tcMar>
            <w:vAlign w:val="center"/>
          </w:tcPr>
          <w:p>
            <w:pPr>
              <w:spacing w:before="0" w:after="40" w:line="252" w:lineRule="auto"/>
            </w:pPr>
            <w:r>
              <w:rPr>
                <w:rFonts w:ascii="Calibri" w:hAnsi="Calibri"/>
                <w:b/>
                <w:i w:val="0"/>
                <w:color w:val="1F2937"/>
                <w:sz w:val="19"/>
              </w:rPr>
              <w:t>doc_id / source_file</w:t>
            </w:r>
          </w:p>
        </w:tc>
        <w:tc>
          <w:tcPr>
            <w:tcW w:type="dxa" w:w="6912"/>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Booklet filter and original workbook provenance.</w:t>
            </w:r>
          </w:p>
        </w:tc>
      </w:tr>
      <w:tr>
        <w:tc>
          <w:tcPr>
            <w:tcW w:type="dxa" w:w="2448"/>
            <w:tcMar>
              <w:top w:w="80" w:type="dxa"/>
              <w:start w:w="120" w:type="dxa"/>
              <w:bottom w:w="80" w:type="dxa"/>
              <w:end w:w="120" w:type="dxa"/>
            </w:tcMar>
            <w:vAlign w:val="center"/>
          </w:tcPr>
          <w:p>
            <w:pPr>
              <w:spacing w:before="0" w:after="40" w:line="252" w:lineRule="auto"/>
            </w:pPr>
            <w:r>
              <w:rPr>
                <w:rFonts w:ascii="Calibri" w:hAnsi="Calibri"/>
                <w:b/>
                <w:i w:val="0"/>
                <w:color w:val="1F2937"/>
                <w:sz w:val="19"/>
              </w:rPr>
              <w:t>section / topic</w:t>
            </w:r>
          </w:p>
        </w:tc>
        <w:tc>
          <w:tcPr>
            <w:tcW w:type="dxa" w:w="6912"/>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Heading context, display label, and topical filtering.</w:t>
            </w:r>
          </w:p>
        </w:tc>
      </w:tr>
      <w:tr>
        <w:tc>
          <w:tcPr>
            <w:tcW w:type="dxa" w:w="2448"/>
            <w:tcMar>
              <w:top w:w="80" w:type="dxa"/>
              <w:start w:w="120" w:type="dxa"/>
              <w:bottom w:w="80" w:type="dxa"/>
              <w:end w:w="120" w:type="dxa"/>
            </w:tcMar>
            <w:vAlign w:val="center"/>
          </w:tcPr>
          <w:p>
            <w:pPr>
              <w:spacing w:before="0" w:after="40" w:line="252" w:lineRule="auto"/>
            </w:pPr>
            <w:r>
              <w:rPr>
                <w:rFonts w:ascii="Calibri" w:hAnsi="Calibri"/>
                <w:b/>
                <w:i w:val="0"/>
                <w:color w:val="1F2937"/>
                <w:sz w:val="19"/>
              </w:rPr>
              <w:t>paragraph_start / end</w:t>
            </w:r>
          </w:p>
        </w:tc>
        <w:tc>
          <w:tcPr>
            <w:tcW w:type="dxa" w:w="6912"/>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Exact evidence location and trace display.</w:t>
            </w:r>
          </w:p>
        </w:tc>
      </w:tr>
      <w:tr>
        <w:tc>
          <w:tcPr>
            <w:tcW w:type="dxa" w:w="2448"/>
            <w:tcMar>
              <w:top w:w="80" w:type="dxa"/>
              <w:start w:w="120" w:type="dxa"/>
              <w:bottom w:w="80" w:type="dxa"/>
              <w:end w:w="120" w:type="dxa"/>
            </w:tcMar>
            <w:vAlign w:val="center"/>
          </w:tcPr>
          <w:p>
            <w:pPr>
              <w:spacing w:before="0" w:after="40" w:line="252" w:lineRule="auto"/>
            </w:pPr>
            <w:r>
              <w:rPr>
                <w:rFonts w:ascii="Calibri" w:hAnsi="Calibri"/>
                <w:b/>
                <w:i w:val="0"/>
                <w:color w:val="1F2937"/>
                <w:sz w:val="19"/>
              </w:rPr>
              <w:t>text</w:t>
            </w:r>
          </w:p>
        </w:tc>
        <w:tc>
          <w:tcPr>
            <w:tcW w:type="dxa" w:w="6912"/>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Normalized heading plus source paragraphs used for retrieval.</w:t>
            </w:r>
          </w:p>
        </w:tc>
      </w:tr>
    </w:tbl>
    <w:p>
      <w:r>
        <w:br w:type="page"/>
      </w:r>
    </w:p>
    <w:p>
      <w:pPr>
        <w:pStyle w:val="Heading1"/>
      </w:pPr>
      <w:r>
        <w:t>4. Retrieval and local reranking</w:t>
      </w:r>
    </w:p>
    <w:p>
      <w:pPr/>
      <w:r>
        <w:rPr>
          <w:rFonts w:ascii="Calibri" w:hAnsi="Calibri"/>
          <w:b w:val="0"/>
          <w:i w:val="0"/>
          <w:color w:val="1F2937"/>
          <w:sz w:val="22"/>
        </w:rPr>
        <w:t>Run semantic and lexical retrieval in parallel. Vector search captures paraphrases such as “community reporting” versus “community-based surveillance.” BM25 protects exact matches for disease names, acronyms, case definitions, specimen terms, and paragraph language. Vector-only retrieval is therefore insufficient for this mixed technical corpus; hybrid search improves robustness without requiring an external service.</w:t>
      </w:r>
    </w:p>
    <w:p>
      <w:pPr/>
      <w:r>
        <w:rPr>
          <w:rFonts w:ascii="Calibri" w:hAnsi="Calibri"/>
          <w:b/>
          <w:i w:val="0"/>
          <w:color w:val="1F4D78"/>
          <w:sz w:val="22"/>
        </w:rPr>
        <w:t xml:space="preserve">Candidate fusion. </w:t>
      </w:r>
      <w:r>
        <w:rPr>
          <w:rFonts w:ascii="Calibri" w:hAnsi="Calibri"/>
          <w:b w:val="0"/>
          <w:i w:val="0"/>
          <w:color w:val="1F2937"/>
          <w:sz w:val="22"/>
        </w:rPr>
        <w:t>Retrieve at least 20 candidates from each index. Apply any doc_id, section, or topic filters before ranking. Fuse the lists using reciprocal-rank fusion: RRF(d) = sum over retrievers of 1 / (60 + rank(d)). RRF is the local reranker: it rewards chunks supported by both retrieval signals without pretending cosine and BM25 scores share a calibrated scale.</w:t>
      </w:r>
    </w:p>
    <w:p>
      <w:pPr/>
      <w:r>
        <w:rPr>
          <w:rFonts w:ascii="Calibri" w:hAnsi="Calibri"/>
          <w:b/>
          <w:i w:val="0"/>
          <w:color w:val="1F4D78"/>
          <w:sz w:val="22"/>
        </w:rPr>
        <w:t xml:space="preserve">Choosing top_k. </w:t>
      </w:r>
      <w:r>
        <w:rPr>
          <w:rFonts w:ascii="Calibri" w:hAnsi="Calibri"/>
          <w:b w:val="0"/>
          <w:i w:val="0"/>
          <w:color w:val="1F2937"/>
          <w:sz w:val="22"/>
        </w:rPr>
        <w:t>Use k = 6 chunks for answer generation as the current operating point, while each retriever produces at least 20 candidates before fusion. Calibrate the value on the golden set against recall, context size, latency, and faithfulness; increase k for comparisons and reduce it for narrow definitions. Select the final value on a 15–20 question golden set by plotting Recall@k against context size, latency, and faithfulness, choosing the smallest k that reaches the recall target.</w:t>
      </w:r>
    </w:p>
    <w:p>
      <w:pPr/>
      <w:r>
        <w:rPr>
          <w:rFonts w:ascii="Calibri" w:hAnsi="Calibri"/>
          <w:b/>
          <w:i w:val="0"/>
          <w:color w:val="1F4D78"/>
          <w:sz w:val="22"/>
        </w:rPr>
        <w:t xml:space="preserve">Optional second stage. </w:t>
      </w:r>
      <w:r>
        <w:rPr>
          <w:rFonts w:ascii="Calibri" w:hAnsi="Calibri"/>
          <w:b w:val="0"/>
          <w:i w:val="0"/>
          <w:color w:val="1F2937"/>
          <w:sz w:val="22"/>
        </w:rPr>
        <w:t>If evaluation shows that fusion alone leaves ambiguous near-duplicates, rerank only the top 12–20 candidates with a small local cross-encoder and pass the best four onward. This is a second-stage option, not the default: reciprocal-rank fusion is faster, fully local, transparent in trace mode, and already implemented.</w:t>
      </w:r>
    </w:p>
    <w:p>
      <w:pPr>
        <w:pStyle w:val="Heading1"/>
      </w:pPr>
      <w:r>
        <w:t>5. Correctness controls</w:t>
      </w:r>
    </w:p>
    <w:p>
      <w:pPr/>
      <w:r>
        <w:rPr>
          <w:rFonts w:ascii="Calibri" w:hAnsi="Calibri"/>
          <w:b w:val="0"/>
          <w:i w:val="0"/>
          <w:color w:val="1F2937"/>
          <w:sz w:val="22"/>
        </w:rPr>
        <w:t>Gate generation on both semantic similarity and lexical query coverage. The current starting thresholds are cosine similarity &gt;= 0.28 and query-token coverage &gt;= 0.12; they must be calibrated on relevant and deliberately unanswerable questions. When the gate fails, return “cannot find in sources” without calling the LLM.</w:t>
      </w:r>
    </w:p>
    <w:p>
      <w:pPr/>
      <w:r>
        <w:rPr>
          <w:rFonts w:ascii="Calibri" w:hAnsi="Calibri"/>
          <w:b w:val="0"/>
          <w:i w:val="0"/>
          <w:color w:val="1F2937"/>
          <w:sz w:val="22"/>
        </w:rPr>
        <w:t>Send only the selected chunks to the local answer model and require exact bracketed chunk IDs for every factual claim. Reject missing or unknown citations deterministically. Trace mode should expose rank, semantic similarity, BM25 score, fused score, section, paragraph range, and retrieved text so incorrect answers can be traced back to retrieval rather than hidden in generation.</w:t>
      </w:r>
    </w:p>
    <w:p>
      <w:pPr>
        <w:pStyle w:val="Heading1"/>
      </w:pPr>
      <w:r>
        <w:t>6. End-to-end pipeline</w:t>
      </w:r>
    </w:p>
    <w:p>
      <w:pPr>
        <w:spacing w:before="80" w:after="200"/>
        <w:ind w:left="216" w:right="216"/>
        <w:shd w:fill="EAF2F8"/>
      </w:pPr>
      <w:r>
        <w:rPr>
          <w:rFonts w:ascii="Calibri" w:hAnsi="Calibri"/>
          <w:b/>
          <w:i w:val="0"/>
          <w:color w:val="1F4D78"/>
          <w:sz w:val="22"/>
        </w:rPr>
        <w:t xml:space="preserve">Flow. </w:t>
      </w:r>
      <w:r>
        <w:rPr>
          <w:rFonts w:ascii="Calibri" w:hAnsi="Calibri"/>
          <w:b w:val="0"/>
          <w:i w:val="0"/>
          <w:color w:val="1F2937"/>
          <w:sz w:val="21"/>
        </w:rPr>
        <w:t>Workbook rows -&gt; normalized sections -&gt; paragraph-aware chunks -&gt; Chroma + BM25 -&gt; metadata filters -&gt; reciprocal-rank fusion -&gt; evidence gate -&gt; top-k context -&gt; cited answer or abstention.</w:t>
      </w:r>
    </w:p>
    <w:p>
      <w:pPr/>
      <w:r>
        <w:rPr>
          <w:rFonts w:ascii="Calibri" w:hAnsi="Calibri"/>
          <w:b w:val="0"/>
          <w:i w:val="0"/>
          <w:color w:val="1F2937"/>
          <w:sz w:val="22"/>
        </w:rPr>
        <w:t>The accompanying snippets_q1.py provides the required chunk_documents(docs), build_index(chunks), and retrieve(query, filters, k) interfaces. They call the same modules used by the working Q2 demo, keeping the design and implementation consistent.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573"/>
        <w:sz w:val="18"/>
      </w:rPr>
      <w:t xml:space="preserve">Page </w:t>
    </w:r>
    <w:r>
      <w:rPr>
        <w:rFonts w:ascii="Calibri" w:hAnsi="Calibri"/>
        <w:b w:val="0"/>
        <w:i w:val="0"/>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i w:val="0"/>
        <w:color w:val="5B6573"/>
        <w:sz w:val="18"/>
      </w:rPr>
      <w:t>Q1  |  RETRIEVAL DESIGN</w:t>
    </w:r>
    <w:r>
      <w:rPr>
        <w:rFonts w:ascii="Calibri" w:hAnsi="Calibri"/>
        <w:b w:val="0"/>
        <w:i w:val="0"/>
        <w:color w:val="5B6573"/>
        <w:sz w:val="18"/>
      </w:rPr>
      <w:tab/>
      <w:t>MALAWI PUBLIC HEALTH RAG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Retrieval Design for Real-World RAG</dc:title>
  <dc:subject>Assignment Q1 - Malawi public health dataset</dc:subject>
  <dc:creator>Malawi RAG Project</dc:creator>
  <cp:keywords>RAG, retrieval, BM25, embeddings, Malawi, IDSR</cp:keywords>
  <dc:description>generated by python-docx</dc:description>
  <cp:lastModifiedBy/>
  <cp:revision>1</cp:revision>
  <dcterms:created xsi:type="dcterms:W3CDTF">2013-12-23T23:15:00Z</dcterms:created>
  <dcterms:modified xsi:type="dcterms:W3CDTF">2013-12-23T23:15:00Z</dcterms:modified>
  <cp:category/>
</cp:coreProperties>
</file>