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jc w:val="center"/>
      </w:pPr>
      <w:r>
        <w:rPr>
          <w:rFonts w:ascii="Calibri" w:hAnsi="Calibri"/>
          <w:b/>
          <w:color w:val="C47A14"/>
          <w:sz w:val="22"/>
        </w:rPr>
        <w:t>DRAFT V2 • EVIDENCE-BASED REPORT</w:t>
      </w:r>
    </w:p>
    <w:p>
      <w:pPr>
        <w:spacing w:after="240"/>
        <w:jc w:val="center"/>
      </w:pPr>
      <w:r>
        <w:rPr>
          <w:rFonts w:ascii="Calibri" w:hAnsi="Calibri"/>
          <w:b/>
          <w:color w:val="17324D"/>
          <w:sz w:val="60"/>
        </w:rPr>
        <w:t>Client-Centric Consistency</w:t>
        <w:br/>
        <w:t>in Apache Cassandra</w:t>
      </w:r>
    </w:p>
    <w:p>
      <w:pPr>
        <w:spacing w:after="680"/>
        <w:jc w:val="center"/>
      </w:pPr>
      <w:r>
        <w:rPr>
          <w:rFonts w:ascii="Calibri" w:hAnsi="Calibri"/>
          <w:color w:val="1F4D78"/>
          <w:sz w:val="30"/>
        </w:rPr>
        <w:t>Randomized coordinators versus Cassandra token-aware driver routing</w:t>
      </w:r>
    </w:p>
    <w:p>
      <w:pPr>
        <w:spacing w:after="560"/>
        <w:jc w:val="center"/>
      </w:pPr>
      <w:r>
        <w:rPr>
          <w:rFonts w:ascii="Calibri" w:hAnsi="Calibri"/>
          <w:color w:val="607386"/>
          <w:sz w:val="23"/>
        </w:rPr>
        <w:t>Three-node Docker cluster • RF=3 • ONE / QUORUM / ALL</w:t>
        <w:br/>
        <w:t>Normal operation • node failure • 2|1 network partition</w:t>
      </w:r>
    </w:p>
    <w:p>
      <w:pPr>
        <w:pStyle w:val="Callout"/>
        <w:shd w:fill="EAF5FB"/>
        <w:pBdr>
          <w:top w:val="single" w:sz="8" w:color="1779BA" w:space="5"/>
          <w:left w:val="single" w:sz="8" w:color="1779BA" w:space="5"/>
          <w:bottom w:val="single" w:sz="8" w:color="1779BA" w:space="5"/>
          <w:right w:val="single" w:sz="8" w:color="1779BA" w:space="5"/>
        </w:pBdr>
      </w:pPr>
      <w:r>
        <w:rPr>
          <w:rFonts w:ascii="Calibri" w:hAnsi="Calibri"/>
          <w:b/>
          <w:color w:val="1779BA"/>
          <w:sz w:val="21"/>
        </w:rPr>
        <w:t xml:space="preserve">Evidence snapshot  </w:t>
      </w:r>
      <w:r>
        <w:rPr>
          <w:rFonts w:ascii="Calibri" w:hAnsi="Calibri"/>
          <w:color w:val="17324D"/>
          <w:sz w:val="21"/>
        </w:rPr>
        <w:t>57,168 structurally eligible main histories from 19 completed runs. The 13 randomized runs are full-profile evidence; the six token-aware runs are reported as exploratory because their saved profile is smoke.</w:t>
      </w:r>
    </w:p>
    <w:p>
      <w:pPr>
        <w:spacing w:before="640"/>
        <w:jc w:val="center"/>
      </w:pPr>
      <w:r>
        <w:rPr>
          <w:rFonts w:ascii="Calibri" w:hAnsi="Calibri"/>
          <w:b/>
          <w:color w:val="17324D"/>
          <w:sz w:val="24"/>
        </w:rPr>
        <w:t>NUS DSA508 – Scalable Distributed Computing</w:t>
      </w:r>
    </w:p>
    <w:p>
      <w:pPr>
        <w:jc w:val="center"/>
      </w:pPr>
      <w:r>
        <w:rPr>
          <w:rFonts w:ascii="Calibri" w:hAnsi="Calibri"/>
          <w:color w:val="607386"/>
          <w:sz w:val="21"/>
        </w:rPr>
        <w:t>Project group • Member details to be completed before submission</w:t>
      </w:r>
    </w:p>
    <w:p>
      <w:pPr>
        <w:spacing w:before="720"/>
        <w:jc w:val="center"/>
      </w:pPr>
      <w:r>
        <w:rPr>
          <w:rFonts w:ascii="Calibri" w:hAnsi="Calibri"/>
          <w:color w:val="607386"/>
          <w:sz w:val="21"/>
        </w:rPr>
        <w:t>24 September 2026</w:t>
      </w:r>
    </w:p>
    <w:p>
      <w:r>
        <w:br w:type="page"/>
      </w:r>
    </w:p>
    <w:p>
      <w:pPr>
        <w:pStyle w:val="Heading1"/>
      </w:pPr>
      <w:r>
        <w:t>Executive summary</w:t>
      </w:r>
    </w:p>
    <w:p>
      <w:r>
        <w:rPr>
          <w:rFonts w:ascii="Calibri" w:hAnsi="Calibri"/>
          <w:color w:val="243746"/>
          <w:sz w:val="21"/>
        </w:rPr>
        <w:t>This project examined whether finite application histories exhibited read-your-writes (RYW), monotonic-reads (MR), monotonic-writes (MW), and writes-follow-reads (WFR) violations on a three-node Apache Cassandra 5.0.9 cluster. The workload varied write and read consistency levels independently across ONE, QUORUM, and ALL, and ran under normal operation, an established node failure, and a bilateral 2|1 internode network partition.</w:t>
      </w:r>
    </w:p>
    <w:p>
      <w:r>
        <w:rPr>
          <w:rFonts w:ascii="Calibri" w:hAnsi="Calibri"/>
          <w:color w:val="243746"/>
          <w:sz w:val="21"/>
        </w:rPr>
        <w:t>Two coordinator-selection designs were compared without pooling their result populations. The earlier design independently selected a random Cassandra coordinator for each operation. The later design supplied the partition routing key and allowed the Python driver's TokenAwarePolicy(DCAwareRoundRobinPolicy(local_dc="dc1")) to create the query plan. In both designs, the receiving Cassandra node was the coordinator for that request; the coordinator was never a separate service.</w:t>
      </w:r>
    </w:p>
    <w:p>
      <w:pPr>
        <w:pStyle w:val="Callout"/>
        <w:shd w:fill="EAF7F1"/>
        <w:pBdr>
          <w:top w:val="single" w:sz="8" w:color="2E8B68" w:space="5"/>
          <w:left w:val="single" w:sz="8" w:color="2E8B68" w:space="5"/>
          <w:bottom w:val="single" w:sz="8" w:color="2E8B68" w:space="5"/>
          <w:right w:val="single" w:sz="8" w:color="2E8B68" w:space="5"/>
        </w:pBdr>
      </w:pPr>
      <w:r>
        <w:rPr>
          <w:rFonts w:ascii="Calibri" w:hAnsi="Calibri"/>
          <w:b/>
          <w:color w:val="2E8B68"/>
          <w:sz w:val="21"/>
        </w:rPr>
        <w:t xml:space="preserve">Main finding  </w:t>
      </w:r>
      <w:r>
        <w:rPr>
          <w:rFonts w:ascii="Calibri" w:hAnsi="Calibri"/>
          <w:color w:val="17324D"/>
          <w:sz w:val="21"/>
        </w:rPr>
        <w:t>The full-profile randomized evidence contained 194 violations among 7,231 evaluable histories (2.68%), while the exploratory token-aware evidence contained 6 among 26,222 (0.023%). Every observed violation occurred during a network partition. This difference cannot be attributed to stronger consistency from token awareness: 80.58% of randomized histories changed coordinator, compared with 0.77% of token-aware histories.</w:t>
      </w:r>
    </w:p>
    <w:p>
      <w:pPr>
        <w:pStyle w:val="ListBullet"/>
      </w:pPr>
      <w:r>
        <w:rPr>
          <w:rFonts w:ascii="Calibri" w:hAnsi="Calibri"/>
          <w:color w:val="243746"/>
          <w:sz w:val="21"/>
        </w:rPr>
        <w:t>Randomized full-profile evidence: 12,780 histories; 7,037 no violation observed, 194 violation, and 5,549 inconclusive.</w:t>
      </w:r>
    </w:p>
    <w:p>
      <w:pPr>
        <w:pStyle w:val="ListBullet"/>
      </w:pPr>
      <w:r>
        <w:rPr>
          <w:rFonts w:ascii="Calibri" w:hAnsi="Calibri"/>
          <w:color w:val="243746"/>
          <w:sz w:val="21"/>
        </w:rPr>
        <w:t>Token-aware exploratory evidence: 44,388 histories; 26,216 no violation observed, 6 violation, and 18,166 inconclusive.</w:t>
      </w:r>
    </w:p>
    <w:p>
      <w:pPr>
        <w:pStyle w:val="ListBullet"/>
      </w:pPr>
      <w:r>
        <w:rPr>
          <w:rFonts w:ascii="Calibri" w:hAnsi="Calibri"/>
          <w:color w:val="243746"/>
          <w:sz w:val="21"/>
        </w:rPr>
        <w:t>Normal operation produced no violations. Node failure produced no violations but many unavailable histories. Network partitions produced all violations and the largest inconclusive populations.</w:t>
      </w:r>
    </w:p>
    <w:p>
      <w:pPr>
        <w:pStyle w:val="ListBullet"/>
      </w:pPr>
      <w:r>
        <w:rPr>
          <w:rFonts w:ascii="Calibri" w:hAnsi="Calibri"/>
          <w:color w:val="243746"/>
          <w:sz w:val="21"/>
        </w:rPr>
        <w:t>Operation errors were classified as inconclusive rather than violations. Unavailable was the dominant error class, matching the replica-response requirements of ALL and minority-side QUORUM requests.</w:t>
      </w:r>
    </w:p>
    <w:p>
      <w:pPr>
        <w:pStyle w:val="ListBullet"/>
      </w:pPr>
      <w:r>
        <w:rPr>
          <w:rFonts w:ascii="Calibri" w:hAnsi="Calibri"/>
          <w:color w:val="243746"/>
          <w:sz w:val="21"/>
        </w:rPr>
        <w:t>A no-violation outcome is evidence about one saved history, not proof that Cassandra guarantees the corresponding client-centric model.</w:t>
      </w:r>
    </w:p>
    <w:p>
      <w:pPr>
        <w:pStyle w:val="Callout"/>
        <w:shd w:fill="FFF4DD"/>
        <w:pBdr>
          <w:top w:val="single" w:sz="8" w:color="C47A14" w:space="5"/>
          <w:left w:val="single" w:sz="8" w:color="C47A14" w:space="5"/>
          <w:bottom w:val="single" w:sz="8" w:color="C47A14" w:space="5"/>
          <w:right w:val="single" w:sz="8" w:color="C47A14" w:space="5"/>
        </w:pBdr>
      </w:pPr>
      <w:r>
        <w:rPr>
          <w:rFonts w:ascii="Calibri" w:hAnsi="Calibri"/>
          <w:b/>
          <w:color w:val="C47A14"/>
          <w:sz w:val="21"/>
        </w:rPr>
        <w:t xml:space="preserve">Evidence-status note  </w:t>
      </w:r>
      <w:r>
        <w:rPr>
          <w:rFonts w:ascii="Calibri" w:hAnsi="Calibri"/>
          <w:color w:val="17324D"/>
          <w:sz w:val="21"/>
        </w:rPr>
        <w:t>The CSV exporter marks 19 completed runs as structurally eligible. The action plan separately requires smoke tests to be excluded from confirmatory claims. Because all six token-aware runs retain profile=smoke, this V2 report treats their measurements as exploratory and identifies the need for at least one verified full-profile token-aware run before final submission.</w:t>
      </w:r>
    </w:p>
    <w:p>
      <w:r>
        <w:br w:type="page"/>
      </w:r>
    </w:p>
    <w:p>
      <w:pPr>
        <w:pStyle w:val="Heading1"/>
      </w:pPr>
      <w:r>
        <w:t>Contents</w:t>
      </w:r>
    </w:p>
    <w:p>
      <w:pPr>
        <w:spacing w:after="100"/>
      </w:pPr>
      <w:r>
        <w:rPr>
          <w:rFonts w:ascii="Calibri" w:hAnsi="Calibri"/>
          <w:b/>
          <w:color w:val="1779BA"/>
          <w:sz w:val="22"/>
        </w:rPr>
        <w:t xml:space="preserve">1  </w:t>
      </w:r>
      <w:r>
        <w:rPr>
          <w:rFonts w:ascii="Calibri" w:hAnsi="Calibri"/>
          <w:color w:val="17324D"/>
          <w:sz w:val="22"/>
        </w:rPr>
        <w:t>Objectives and research questions</w:t>
      </w:r>
    </w:p>
    <w:p>
      <w:pPr>
        <w:spacing w:after="100"/>
      </w:pPr>
      <w:r>
        <w:rPr>
          <w:rFonts w:ascii="Calibri" w:hAnsi="Calibri"/>
          <w:b/>
          <w:color w:val="1779BA"/>
          <w:sz w:val="22"/>
        </w:rPr>
        <w:t xml:space="preserve">2  </w:t>
      </w:r>
      <w:r>
        <w:rPr>
          <w:rFonts w:ascii="Calibri" w:hAnsi="Calibri"/>
          <w:color w:val="17324D"/>
          <w:sz w:val="22"/>
        </w:rPr>
        <w:t>Cassandra and client-centric consistency</w:t>
      </w:r>
    </w:p>
    <w:p>
      <w:pPr>
        <w:spacing w:after="100"/>
      </w:pPr>
      <w:r>
        <w:rPr>
          <w:rFonts w:ascii="Calibri" w:hAnsi="Calibri"/>
          <w:b/>
          <w:color w:val="1779BA"/>
          <w:sz w:val="22"/>
        </w:rPr>
        <w:t xml:space="preserve">3  </w:t>
      </w:r>
      <w:r>
        <w:rPr>
          <w:rFonts w:ascii="Calibri" w:hAnsi="Calibri"/>
          <w:color w:val="17324D"/>
          <w:sz w:val="22"/>
        </w:rPr>
        <w:t>Deployment architecture</w:t>
      </w:r>
    </w:p>
    <w:p>
      <w:pPr>
        <w:spacing w:after="100"/>
      </w:pPr>
      <w:r>
        <w:rPr>
          <w:rFonts w:ascii="Calibri" w:hAnsi="Calibri"/>
          <w:b/>
          <w:color w:val="1779BA"/>
          <w:sz w:val="22"/>
        </w:rPr>
        <w:t xml:space="preserve">4  </w:t>
      </w:r>
      <w:r>
        <w:rPr>
          <w:rFonts w:ascii="Calibri" w:hAnsi="Calibri"/>
          <w:color w:val="17324D"/>
          <w:sz w:val="22"/>
        </w:rPr>
        <w:t>Experimental designs</w:t>
      </w:r>
    </w:p>
    <w:p>
      <w:pPr>
        <w:spacing w:after="100"/>
      </w:pPr>
      <w:r>
        <w:rPr>
          <w:rFonts w:ascii="Calibri" w:hAnsi="Calibri"/>
          <w:b/>
          <w:color w:val="1779BA"/>
          <w:sz w:val="22"/>
        </w:rPr>
        <w:t xml:space="preserve">5  </w:t>
      </w:r>
      <w:r>
        <w:rPr>
          <w:rFonts w:ascii="Calibri" w:hAnsi="Calibri"/>
          <w:color w:val="17324D"/>
          <w:sz w:val="22"/>
        </w:rPr>
        <w:t>Predictions</w:t>
      </w:r>
    </w:p>
    <w:p>
      <w:pPr>
        <w:spacing w:after="100"/>
      </w:pPr>
      <w:r>
        <w:rPr>
          <w:rFonts w:ascii="Calibri" w:hAnsi="Calibri"/>
          <w:b/>
          <w:color w:val="1779BA"/>
          <w:sz w:val="22"/>
        </w:rPr>
        <w:t xml:space="preserve">6  </w:t>
      </w:r>
      <w:r>
        <w:rPr>
          <w:rFonts w:ascii="Calibri" w:hAnsi="Calibri"/>
          <w:color w:val="17324D"/>
          <w:sz w:val="22"/>
        </w:rPr>
        <w:t>Method</w:t>
      </w:r>
    </w:p>
    <w:p>
      <w:pPr>
        <w:spacing w:after="100"/>
      </w:pPr>
      <w:r>
        <w:rPr>
          <w:rFonts w:ascii="Calibri" w:hAnsi="Calibri"/>
          <w:b/>
          <w:color w:val="1779BA"/>
          <w:sz w:val="22"/>
        </w:rPr>
        <w:t xml:space="preserve">7  </w:t>
      </w:r>
      <w:r>
        <w:rPr>
          <w:rFonts w:ascii="Calibri" w:hAnsi="Calibri"/>
          <w:color w:val="17324D"/>
          <w:sz w:val="22"/>
        </w:rPr>
        <w:t>Evidence and analysis method</w:t>
      </w:r>
    </w:p>
    <w:p>
      <w:pPr>
        <w:spacing w:after="100"/>
      </w:pPr>
      <w:r>
        <w:rPr>
          <w:rFonts w:ascii="Calibri" w:hAnsi="Calibri"/>
          <w:b/>
          <w:color w:val="1779BA"/>
          <w:sz w:val="22"/>
        </w:rPr>
        <w:t xml:space="preserve">8  </w:t>
      </w:r>
      <w:r>
        <w:rPr>
          <w:rFonts w:ascii="Calibri" w:hAnsi="Calibri"/>
          <w:color w:val="17324D"/>
          <w:sz w:val="22"/>
        </w:rPr>
        <w:t>Results</w:t>
      </w:r>
    </w:p>
    <w:p>
      <w:pPr>
        <w:spacing w:after="100"/>
      </w:pPr>
      <w:r>
        <w:rPr>
          <w:rFonts w:ascii="Calibri" w:hAnsi="Calibri"/>
          <w:b/>
          <w:color w:val="1779BA"/>
          <w:sz w:val="22"/>
        </w:rPr>
        <w:t xml:space="preserve">9  </w:t>
      </w:r>
      <w:r>
        <w:rPr>
          <w:rFonts w:ascii="Calibri" w:hAnsi="Calibri"/>
          <w:color w:val="17324D"/>
          <w:sz w:val="22"/>
        </w:rPr>
        <w:t>Trace case studies</w:t>
      </w:r>
    </w:p>
    <w:p>
      <w:pPr>
        <w:spacing w:after="100"/>
      </w:pPr>
      <w:r>
        <w:rPr>
          <w:rFonts w:ascii="Calibri" w:hAnsi="Calibri"/>
          <w:b/>
          <w:color w:val="1779BA"/>
          <w:sz w:val="22"/>
        </w:rPr>
        <w:t xml:space="preserve">10  </w:t>
      </w:r>
      <w:r>
        <w:rPr>
          <w:rFonts w:ascii="Calibri" w:hAnsi="Calibri"/>
          <w:color w:val="17324D"/>
          <w:sz w:val="22"/>
        </w:rPr>
        <w:t>Cross-design discussion</w:t>
      </w:r>
    </w:p>
    <w:p>
      <w:pPr>
        <w:spacing w:after="100"/>
      </w:pPr>
      <w:r>
        <w:rPr>
          <w:rFonts w:ascii="Calibri" w:hAnsi="Calibri"/>
          <w:b/>
          <w:color w:val="1779BA"/>
          <w:sz w:val="22"/>
        </w:rPr>
        <w:t xml:space="preserve">11  </w:t>
      </w:r>
      <w:r>
        <w:rPr>
          <w:rFonts w:ascii="Calibri" w:hAnsi="Calibri"/>
          <w:color w:val="17324D"/>
          <w:sz w:val="22"/>
        </w:rPr>
        <w:t>Limitations and validity</w:t>
      </w:r>
    </w:p>
    <w:p>
      <w:pPr>
        <w:spacing w:after="100"/>
      </w:pPr>
      <w:r>
        <w:rPr>
          <w:rFonts w:ascii="Calibri" w:hAnsi="Calibri"/>
          <w:b/>
          <w:color w:val="1779BA"/>
          <w:sz w:val="22"/>
        </w:rPr>
        <w:t xml:space="preserve">12  </w:t>
      </w:r>
      <w:r>
        <w:rPr>
          <w:rFonts w:ascii="Calibri" w:hAnsi="Calibri"/>
          <w:color w:val="17324D"/>
          <w:sz w:val="22"/>
        </w:rPr>
        <w:t>Reproduction</w:t>
      </w:r>
    </w:p>
    <w:p>
      <w:pPr>
        <w:spacing w:after="100"/>
      </w:pPr>
      <w:r>
        <w:rPr>
          <w:rFonts w:ascii="Calibri" w:hAnsi="Calibri"/>
          <w:b/>
          <w:color w:val="1779BA"/>
          <w:sz w:val="22"/>
        </w:rPr>
        <w:t xml:space="preserve">13  </w:t>
      </w:r>
      <w:r>
        <w:rPr>
          <w:rFonts w:ascii="Calibri" w:hAnsi="Calibri"/>
          <w:color w:val="17324D"/>
          <w:sz w:val="22"/>
        </w:rPr>
        <w:t>Conclusion</w:t>
      </w:r>
    </w:p>
    <w:p>
      <w:pPr>
        <w:spacing w:after="100"/>
      </w:pPr>
      <w:r>
        <w:rPr>
          <w:rFonts w:ascii="Calibri" w:hAnsi="Calibri"/>
          <w:b/>
          <w:color w:val="1779BA"/>
          <w:sz w:val="22"/>
        </w:rPr>
      </w:r>
      <w:r>
        <w:rPr>
          <w:rFonts w:ascii="Calibri" w:hAnsi="Calibri"/>
          <w:color w:val="17324D"/>
          <w:sz w:val="22"/>
        </w:rPr>
        <w:t>References and AI-use disclosure</w:t>
      </w:r>
    </w:p>
    <w:p>
      <w:pPr>
        <w:spacing w:after="100"/>
      </w:pPr>
      <w:r>
        <w:rPr>
          <w:rFonts w:ascii="Calibri" w:hAnsi="Calibri"/>
          <w:b/>
          <w:color w:val="1779BA"/>
          <w:sz w:val="22"/>
        </w:rPr>
        <w:t xml:space="preserve">A  </w:t>
      </w:r>
      <w:r>
        <w:rPr>
          <w:rFonts w:ascii="Calibri" w:hAnsi="Calibri"/>
          <w:color w:val="17324D"/>
          <w:sz w:val="22"/>
        </w:rPr>
        <w:t>Included and excluded runs</w:t>
      </w:r>
    </w:p>
    <w:p>
      <w:pPr>
        <w:spacing w:after="100"/>
      </w:pPr>
      <w:r>
        <w:rPr>
          <w:rFonts w:ascii="Calibri" w:hAnsi="Calibri"/>
          <w:b/>
          <w:color w:val="1779BA"/>
          <w:sz w:val="22"/>
        </w:rPr>
        <w:t xml:space="preserve">B  </w:t>
      </w:r>
      <w:r>
        <w:rPr>
          <w:rFonts w:ascii="Calibri" w:hAnsi="Calibri"/>
          <w:color w:val="17324D"/>
          <w:sz w:val="22"/>
        </w:rPr>
        <w:t>Evidence schema and file map</w:t>
      </w:r>
    </w:p>
    <w:p>
      <w:pPr>
        <w:pStyle w:val="Callout"/>
        <w:shd w:fill="F6F9FC"/>
        <w:pBdr>
          <w:top w:val="single" w:sz="8" w:color="B8C7D3" w:space="5"/>
          <w:left w:val="single" w:sz="8" w:color="B8C7D3" w:space="5"/>
          <w:bottom w:val="single" w:sz="8" w:color="B8C7D3" w:space="5"/>
          <w:right w:val="single" w:sz="8" w:color="B8C7D3" w:space="5"/>
        </w:pBdr>
      </w:pPr>
      <w:r>
        <w:rPr>
          <w:rFonts w:ascii="Calibri" w:hAnsi="Calibri"/>
          <w:b/>
          <w:color w:val="B8C7D3"/>
          <w:sz w:val="21"/>
        </w:rPr>
        <w:t xml:space="preserve">Reading convention  </w:t>
      </w:r>
      <w:r>
        <w:rPr>
          <w:rFonts w:ascii="Calibri" w:hAnsi="Calibri"/>
          <w:color w:val="17324D"/>
          <w:sz w:val="21"/>
        </w:rPr>
        <w:t>Configuration labels are always write consistency/read consistency. Thus ONE/QUORUM means a ONE write followed by a QUORUM read.</w:t>
      </w:r>
    </w:p>
    <w:p>
      <w:r>
        <w:br w:type="page"/>
      </w:r>
    </w:p>
    <w:p>
      <w:pPr>
        <w:pStyle w:val="Heading1"/>
      </w:pPr>
      <w:r>
        <w:t>1. Objectives and research questions</w:t>
      </w:r>
    </w:p>
    <w:p>
      <w:r>
        <w:rPr>
          <w:rFonts w:ascii="Calibri" w:hAnsi="Calibri"/>
          <w:color w:val="243746"/>
          <w:sz w:val="21"/>
        </w:rPr>
        <w:t>The project asks how Cassandra's tunable consistency, failure topology, and client routing affect the consistency histories visible to an application. The application supplies data, a partition key, and a consistency level. It does not select a storage node in the token-aware design.</w:t>
      </w:r>
    </w:p>
    <w:p>
      <w:pPr>
        <w:pStyle w:val="ListBullet"/>
      </w:pPr>
      <w:r>
        <w:rPr>
          <w:rFonts w:ascii="Calibri" w:hAnsi="Calibri"/>
          <w:color w:val="243746"/>
          <w:sz w:val="21"/>
        </w:rPr>
        <w:t>RQ1. Under which write/read consistency combinations were RYW, MR, MW, or WFR counterexamples observed?</w:t>
      </w:r>
    </w:p>
    <w:p>
      <w:pPr>
        <w:pStyle w:val="ListBullet"/>
      </w:pPr>
      <w:r>
        <w:rPr>
          <w:rFonts w:ascii="Calibri" w:hAnsi="Calibri"/>
          <w:color w:val="243746"/>
          <w:sz w:val="21"/>
        </w:rPr>
        <w:t>RQ2. How did node failure and a 2|1 internode partition change evaluability and operation availability?</w:t>
      </w:r>
    </w:p>
    <w:p>
      <w:pPr>
        <w:pStyle w:val="ListBullet"/>
      </w:pPr>
      <w:r>
        <w:rPr>
          <w:rFonts w:ascii="Calibri" w:hAnsi="Calibri"/>
          <w:color w:val="243746"/>
          <w:sz w:val="21"/>
        </w:rPr>
        <w:t>RQ3. How did independent random coordinator selection differ from Cassandra-driver token-aware and data-center-aware routing?</w:t>
      </w:r>
    </w:p>
    <w:p>
      <w:pPr>
        <w:pStyle w:val="ListBullet"/>
      </w:pPr>
      <w:r>
        <w:rPr>
          <w:rFonts w:ascii="Calibri" w:hAnsi="Calibri"/>
          <w:color w:val="243746"/>
          <w:sz w:val="21"/>
        </w:rPr>
        <w:t>RQ4. Did measured observations agree with predictions derived from RF=3 replica acknowledgement and quorum intersection?</w:t>
      </w:r>
    </w:p>
    <w:p>
      <w:pPr>
        <w:pStyle w:val="ListBullet"/>
      </w:pPr>
      <w:r>
        <w:rPr>
          <w:rFonts w:ascii="Calibri" w:hAnsi="Calibri"/>
          <w:color w:val="243746"/>
          <w:sz w:val="21"/>
        </w:rPr>
        <w:t>RQ5. What can the recorded finite histories establish, and what remains outside the experiment's observational reach?</w:t>
      </w:r>
    </w:p>
    <w:p>
      <w:r>
        <w:rPr>
          <w:rFonts w:ascii="Calibri" w:hAnsi="Calibri"/>
          <w:color w:val="243746"/>
          <w:sz w:val="21"/>
        </w:rPr>
        <w:t>The unit of analysis was one ordered history over a run-scoped key. A history received exactly one primary verdict: violation, no violation observed, or inconclusive. Low-level exceptions were retained as explanatory evidence and did not create additional trial outcomes.</w:t>
      </w:r>
    </w:p>
    <w:p>
      <w:pPr>
        <w:keepNext/>
        <w:jc w:val="center"/>
      </w:pPr>
      <w:r>
        <w:drawing>
          <wp:inline xmlns:a="http://schemas.openxmlformats.org/drawingml/2006/main" xmlns:pic="http://schemas.openxmlformats.org/drawingml/2006/picture">
            <wp:extent cx="5806440" cy="3549186"/>
            <wp:docPr id="1" name="Picture 1" descr="Four cards defining RYW, MR, MW, and WFR with ordered operations and violation criteria." title="Figure 1"/>
            <wp:cNvGraphicFramePr>
              <a:graphicFrameLocks noChangeAspect="1"/>
            </wp:cNvGraphicFramePr>
            <a:graphic>
              <a:graphicData uri="http://schemas.openxmlformats.org/drawingml/2006/picture">
                <pic:pic>
                  <pic:nvPicPr>
                    <pic:cNvPr id="0" name="06_client_centric_models.png"/>
                    <pic:cNvPicPr/>
                  </pic:nvPicPr>
                  <pic:blipFill>
                    <a:blip r:embed="rId11"/>
                    <a:stretch>
                      <a:fillRect/>
                    </a:stretch>
                  </pic:blipFill>
                  <pic:spPr>
                    <a:xfrm>
                      <a:off x="0" y="0"/>
                      <a:ext cx="5806440" cy="3549186"/>
                    </a:xfrm>
                    <a:prstGeom prst="rect"/>
                  </pic:spPr>
                </pic:pic>
              </a:graphicData>
            </a:graphic>
          </wp:inline>
        </w:drawing>
      </w:r>
    </w:p>
    <w:p>
      <w:pPr>
        <w:pStyle w:val="Caption"/>
      </w:pPr>
      <w:r>
        <w:t>Figure 1. Client-centric consistency models and the finite-history violation witnesses used by the experiment.</w:t>
      </w:r>
    </w:p>
    <w:p>
      <w:pPr>
        <w:pStyle w:val="EvidenceTag"/>
        <w:jc w:val="center"/>
      </w:pPr>
      <w:r>
        <w:t>Source: Project workload definitions and src/checks.py</w:t>
      </w:r>
    </w:p>
    <w:p>
      <w:pPr>
        <w:pStyle w:val="Heading1"/>
      </w:pPr>
      <w:r>
        <w:t>2. Cassandra and client-centric consistency</w:t>
      </w:r>
    </w:p>
    <w:p>
      <w:pPr>
        <w:pStyle w:val="Heading2"/>
      </w:pPr>
      <w:r>
        <w:t>2.1 Replication and the request coordinator</w:t>
      </w:r>
    </w:p>
    <w:p>
      <w:r>
        <w:rPr>
          <w:rFonts w:ascii="Calibri" w:hAnsi="Calibri"/>
          <w:color w:val="243746"/>
          <w:sz w:val="21"/>
        </w:rPr>
        <w:t>Apache Cassandra partitions data by token and replicates each partition according to the keyspace replication strategy. Any Cassandra node receiving a client request may coordinate it. The coordinator identifies replicas, forwards reads or mutations, and waits for the number of responses required by the selected consistency level [1]. The coordinator is therefore a per-request role, not a permanent leader or fourth service.</w:t>
      </w:r>
    </w:p>
    <w:p>
      <w:r>
        <w:rPr>
          <w:rFonts w:ascii="Calibri" w:hAnsi="Calibri"/>
          <w:color w:val="243746"/>
          <w:sz w:val="21"/>
        </w:rPr>
        <w:t>The lab keyspace used NetworkTopologyStrategy with replication factor 3 in dc1. Since the cluster also had three nodes, every node was a replica for each experiment key. Cassandra documentation recommends NetworkTopologyStrategy even for a single datacenter [1].</w:t>
      </w:r>
    </w:p>
    <w:p>
      <w:pPr>
        <w:pStyle w:val="Heading2"/>
      </w:pPr>
      <w:r>
        <w:t>2.2 Tunable consistency</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tblHeader w:val="true"/>
        </w:trPr>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Consistency level</w:t>
            </w:r>
          </w:p>
        </w:tc>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RF=3 responses</w:t>
            </w:r>
          </w:p>
        </w:tc>
        <w:tc>
          <w:tcPr>
            <w:tcW w:type="dxa" w:w="55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Experimental meaning</w:t>
            </w:r>
          </w:p>
        </w:tc>
      </w:tr>
      <w:tr>
        <w:tc>
          <w:tcPr>
            <w:tcW w:type="dxa" w:w="1900"/>
          </w:tcPr>
          <w:p>
            <w:pPr>
              <w:spacing w:before="0" w:after="0" w:line="259" w:lineRule="auto"/>
              <w:jc w:val="center"/>
            </w:pPr>
            <w:r/>
            <w:r>
              <w:rPr>
                <w:rFonts w:ascii="Calibri" w:hAnsi="Calibri"/>
                <w:b/>
                <w:color w:val="243746"/>
                <w:sz w:val="17"/>
              </w:rPr>
              <w:t>ONE</w:t>
            </w:r>
          </w:p>
        </w:tc>
        <w:tc>
          <w:tcPr>
            <w:tcW w:type="dxa" w:w="1900"/>
          </w:tcPr>
          <w:p>
            <w:pPr>
              <w:spacing w:before="0" w:after="0" w:line="259" w:lineRule="auto"/>
              <w:jc w:val="center"/>
            </w:pPr>
            <w:r/>
            <w:r>
              <w:rPr>
                <w:rFonts w:ascii="Calibri" w:hAnsi="Calibri"/>
                <w:b w:val="0"/>
                <w:color w:val="243746"/>
                <w:sz w:val="17"/>
              </w:rPr>
              <w:t>1 replica</w:t>
            </w:r>
          </w:p>
        </w:tc>
        <w:tc>
          <w:tcPr>
            <w:tcW w:type="dxa" w:w="5560"/>
          </w:tcPr>
          <w:p>
            <w:pPr>
              <w:spacing w:before="0" w:after="0" w:line="259" w:lineRule="auto"/>
              <w:jc w:val="left"/>
            </w:pPr>
            <w:r/>
            <w:r>
              <w:rPr>
                <w:rFonts w:ascii="Calibri" w:hAnsi="Calibri"/>
                <w:b w:val="0"/>
                <w:color w:val="243746"/>
                <w:sz w:val="17"/>
              </w:rPr>
              <w:t>Highest fault tolerance among tested levels; may expose a minority-side view.</w:t>
            </w:r>
          </w:p>
        </w:tc>
      </w:tr>
      <w:tr>
        <w:tc>
          <w:tcPr>
            <w:tcW w:type="dxa" w:w="1900"/>
            <w:shd w:fill="F6F9FC"/>
          </w:tcPr>
          <w:p>
            <w:pPr>
              <w:spacing w:before="0" w:after="0" w:line="259" w:lineRule="auto"/>
              <w:jc w:val="center"/>
            </w:pPr>
            <w:r/>
            <w:r>
              <w:rPr>
                <w:rFonts w:ascii="Calibri" w:hAnsi="Calibri"/>
                <w:b/>
                <w:color w:val="243746"/>
                <w:sz w:val="17"/>
              </w:rPr>
              <w:t>QUORUM</w:t>
            </w:r>
          </w:p>
        </w:tc>
        <w:tc>
          <w:tcPr>
            <w:tcW w:type="dxa" w:w="1900"/>
            <w:shd w:fill="F6F9FC"/>
          </w:tcPr>
          <w:p>
            <w:pPr>
              <w:spacing w:before="0" w:after="0" w:line="259" w:lineRule="auto"/>
              <w:jc w:val="center"/>
            </w:pPr>
            <w:r/>
            <w:r>
              <w:rPr>
                <w:rFonts w:ascii="Calibri" w:hAnsi="Calibri"/>
                <w:b w:val="0"/>
                <w:color w:val="243746"/>
                <w:sz w:val="17"/>
              </w:rPr>
              <w:t>2 replicas</w:t>
            </w:r>
          </w:p>
        </w:tc>
        <w:tc>
          <w:tcPr>
            <w:tcW w:type="dxa" w:w="5560"/>
            <w:shd w:fill="F6F9FC"/>
          </w:tcPr>
          <w:p>
            <w:pPr>
              <w:spacing w:before="0" w:after="0" w:line="259" w:lineRule="auto"/>
              <w:jc w:val="left"/>
            </w:pPr>
            <w:r/>
            <w:r>
              <w:rPr>
                <w:rFonts w:ascii="Calibri" w:hAnsi="Calibri"/>
                <w:b w:val="0"/>
                <w:color w:val="243746"/>
                <w:sz w:val="17"/>
              </w:rPr>
              <w:t>Survives one unavailable replica when two replicas remain mutually reachable.</w:t>
            </w:r>
          </w:p>
        </w:tc>
      </w:tr>
      <w:tr>
        <w:tc>
          <w:tcPr>
            <w:tcW w:type="dxa" w:w="1900"/>
          </w:tcPr>
          <w:p>
            <w:pPr>
              <w:spacing w:before="0" w:after="0" w:line="259" w:lineRule="auto"/>
              <w:jc w:val="center"/>
            </w:pPr>
            <w:r/>
            <w:r>
              <w:rPr>
                <w:rFonts w:ascii="Calibri" w:hAnsi="Calibri"/>
                <w:b/>
                <w:color w:val="243746"/>
                <w:sz w:val="17"/>
              </w:rPr>
              <w:t>ALL</w:t>
            </w:r>
          </w:p>
        </w:tc>
        <w:tc>
          <w:tcPr>
            <w:tcW w:type="dxa" w:w="1900"/>
          </w:tcPr>
          <w:p>
            <w:pPr>
              <w:spacing w:before="0" w:after="0" w:line="259" w:lineRule="auto"/>
              <w:jc w:val="center"/>
            </w:pPr>
            <w:r/>
            <w:r>
              <w:rPr>
                <w:rFonts w:ascii="Calibri" w:hAnsi="Calibri"/>
                <w:b w:val="0"/>
                <w:color w:val="243746"/>
                <w:sz w:val="17"/>
              </w:rPr>
              <w:t>3 replicas</w:t>
            </w:r>
          </w:p>
        </w:tc>
        <w:tc>
          <w:tcPr>
            <w:tcW w:type="dxa" w:w="5560"/>
          </w:tcPr>
          <w:p>
            <w:pPr>
              <w:spacing w:before="0" w:after="0" w:line="259" w:lineRule="auto"/>
              <w:jc w:val="left"/>
            </w:pPr>
            <w:r/>
            <w:r>
              <w:rPr>
                <w:rFonts w:ascii="Calibri" w:hAnsi="Calibri"/>
                <w:b w:val="0"/>
                <w:color w:val="243746"/>
                <w:sz w:val="17"/>
              </w:rPr>
              <w:t>Requires every replica; unavailable during an established one-node failure or 2|1 cut.</w:t>
            </w:r>
          </w:p>
        </w:tc>
      </w:tr>
    </w:tbl>
    <w:p>
      <w:pPr>
        <w:spacing w:after="60"/>
      </w:pPr>
    </w:p>
    <w:p>
      <w:pPr>
        <w:pStyle w:val="EvidenceTag"/>
        <w:spacing w:before="80" w:after="80"/>
      </w:pPr>
      <w:r>
        <w:t>Table 1 source: Apache Cassandra tunable-consistency documentation [1, 2].</w:t>
      </w:r>
    </w:p>
    <w:p>
      <w:r>
        <w:rPr>
          <w:rFonts w:ascii="Calibri" w:hAnsi="Calibri"/>
          <w:color w:val="243746"/>
          <w:sz w:val="21"/>
        </w:rPr>
        <w:t>For RF=3, a write and read acknowledgement set must overlap when W + R &gt; 3. QUORUM/QUORUM therefore intersects, while ONE/QUORUM sums to 3 and does not force intersection. This arithmetic supports visibility predictions for acknowledged operations, but it does not by itself prove every causal or session guarantee. Cassandra also sends writes to all replicas; the write consistency level controls how many responses the coordinator waits for [1].</w:t>
      </w:r>
    </w:p>
    <w:p>
      <w:pPr>
        <w:pStyle w:val="Heading2"/>
      </w:pPr>
      <w:r>
        <w:t>2.3 Conflict resolution and repair</w:t>
      </w:r>
    </w:p>
    <w:p>
      <w:r>
        <w:rPr>
          <w:rFonts w:ascii="Calibri" w:hAnsi="Calibri"/>
          <w:color w:val="243746"/>
          <w:sz w:val="21"/>
        </w:rPr>
        <w:t>Cassandra resolves ordinary conflicting mutations by timestamp. The experiment supplied explicit increasing timestamps for main histories and used a decreasing-timestamp control to isolate this rule. Read repair was evaluated separately with BLOCKING and NONE tables. Hinted handoff was disabled, so post-fault cluster health could not be treated as proof that a previously missed mutation converged; convergence would require direct data evidence or repair [3, 4].</w:t>
      </w:r>
    </w:p>
    <w:p>
      <w:r>
        <w:br w:type="page"/>
      </w:r>
    </w:p>
    <w:p>
      <w:pPr>
        <w:pStyle w:val="Heading1"/>
      </w:pPr>
      <w:r>
        <w:t>3. Deployment architecture</w:t>
      </w:r>
    </w:p>
    <w:p>
      <w:r>
        <w:rPr>
          <w:rFonts w:ascii="Calibri" w:hAnsi="Calibri"/>
          <w:color w:val="243746"/>
          <w:sz w:val="21"/>
        </w:rPr>
        <w:t>The common deployment consisted of three Cassandra services (n1, n2, n3), one client container, one private Docker network named lab, and three persistent Cassandra volumes. Host-side Python orchestration controlled Docker Compose and fault injection. CQL traffic used port 9042; Cassandra internode traffic used ports 7000 and 7001.</w:t>
      </w:r>
    </w:p>
    <w:p>
      <w:pPr>
        <w:keepNext/>
        <w:jc w:val="center"/>
      </w:pPr>
      <w:r>
        <w:drawing>
          <wp:inline xmlns:a="http://schemas.openxmlformats.org/drawingml/2006/main" xmlns:pic="http://schemas.openxmlformats.org/drawingml/2006/picture">
            <wp:extent cx="5806440" cy="3549186"/>
            <wp:docPr id="2" name="Picture 2" descr="Nested Windows, WSL2, and Docker boundaries showing controller, client container, three Cassandra nodes, volumes, traffic types, and evidence output." title="Figure 2"/>
            <wp:cNvGraphicFramePr>
              <a:graphicFrameLocks noChangeAspect="1"/>
            </wp:cNvGraphicFramePr>
            <a:graphic>
              <a:graphicData uri="http://schemas.openxmlformats.org/drawingml/2006/picture">
                <pic:pic>
                  <pic:nvPicPr>
                    <pic:cNvPr id="0" name="01_windows_deployment_architecture.png"/>
                    <pic:cNvPicPr/>
                  </pic:nvPicPr>
                  <pic:blipFill>
                    <a:blip r:embed="rId12"/>
                    <a:stretch>
                      <a:fillRect/>
                    </a:stretch>
                  </pic:blipFill>
                  <pic:spPr>
                    <a:xfrm>
                      <a:off x="0" y="0"/>
                      <a:ext cx="5806440" cy="3549186"/>
                    </a:xfrm>
                    <a:prstGeom prst="rect"/>
                  </pic:spPr>
                </pic:pic>
              </a:graphicData>
            </a:graphic>
          </wp:inline>
        </w:drawing>
      </w:r>
    </w:p>
    <w:p>
      <w:pPr>
        <w:pStyle w:val="Caption"/>
      </w:pPr>
      <w:r>
        <w:t>Figure 2. Windows deployment architecture.</w:t>
      </w:r>
    </w:p>
    <w:p>
      <w:pPr>
        <w:pStyle w:val="EvidenceTag"/>
        <w:jc w:val="center"/>
      </w:pPr>
      <w:r>
        <w:t>Source: compose.yaml and experiment orchestration source</w:t>
      </w:r>
    </w:p>
    <w:p>
      <w:r>
        <w:rPr>
          <w:rFonts w:ascii="Calibri" w:hAnsi="Calibri"/>
          <w:color w:val="243746"/>
          <w:sz w:val="21"/>
        </w:rPr>
        <w:t>On Windows, Docker Desktop can use WSL2 as the Linux container environment. The host controller invokes Compose and writes evidence through the mounted repository. The client process that issues CQL still executes inside the client container.</w:t>
      </w:r>
    </w:p>
    <w:p>
      <w:pPr>
        <w:keepNext/>
        <w:jc w:val="center"/>
      </w:pPr>
      <w:r>
        <w:drawing>
          <wp:inline xmlns:a="http://schemas.openxmlformats.org/drawingml/2006/main" xmlns:pic="http://schemas.openxmlformats.org/drawingml/2006/picture">
            <wp:extent cx="5806440" cy="3549186"/>
            <wp:docPr id="3" name="Picture 3" descr="macOS host with experiment controller and mounted workspace surrounding Docker Desktop's managed Linux VM, client container, and Cassandra cluster." title="Figure 3"/>
            <wp:cNvGraphicFramePr>
              <a:graphicFrameLocks noChangeAspect="1"/>
            </wp:cNvGraphicFramePr>
            <a:graphic>
              <a:graphicData uri="http://schemas.openxmlformats.org/drawingml/2006/picture">
                <pic:pic>
                  <pic:nvPicPr>
                    <pic:cNvPr id="0" name="02_macos_deployment_architecture.png"/>
                    <pic:cNvPicPr/>
                  </pic:nvPicPr>
                  <pic:blipFill>
                    <a:blip r:embed="rId13"/>
                    <a:stretch>
                      <a:fillRect/>
                    </a:stretch>
                  </pic:blipFill>
                  <pic:spPr>
                    <a:xfrm>
                      <a:off x="0" y="0"/>
                      <a:ext cx="5806440" cy="3549186"/>
                    </a:xfrm>
                    <a:prstGeom prst="rect"/>
                  </pic:spPr>
                </pic:pic>
              </a:graphicData>
            </a:graphic>
          </wp:inline>
        </w:drawing>
      </w:r>
    </w:p>
    <w:p>
      <w:pPr>
        <w:pStyle w:val="Caption"/>
      </w:pPr>
      <w:r>
        <w:t>Figure 3. macOS deployment architecture.</w:t>
      </w:r>
    </w:p>
    <w:p>
      <w:pPr>
        <w:pStyle w:val="EvidenceTag"/>
        <w:jc w:val="center"/>
      </w:pPr>
      <w:r>
        <w:t>Source: compose.yaml and Docker Desktop architecture [6]</w:t>
      </w:r>
    </w:p>
    <w:p>
      <w:r>
        <w:rPr>
          <w:rFonts w:ascii="Calibri" w:hAnsi="Calibri"/>
          <w:color w:val="243746"/>
          <w:sz w:val="21"/>
        </w:rPr>
        <w:t>On macOS, Docker Desktop runs the Docker Engine and Linux containers inside a managed Linux VM. The command begins on macOS, while the CQL client and Cassandra processes execute inside Docker's Linux environment [6].</w:t>
      </w:r>
    </w:p>
    <w:p>
      <w:r>
        <w:br w:type="page"/>
      </w:r>
    </w:p>
    <w:p>
      <w:pPr>
        <w:pStyle w:val="Heading1"/>
      </w:pPr>
      <w:r>
        <w:t>4. Experimental designs</w:t>
      </w:r>
    </w:p>
    <w:p>
      <w:pPr>
        <w:pStyle w:val="Heading2"/>
      </w:pPr>
      <w:r>
        <w:t>4.1 Design A: harness-controlled random coordinator</w:t>
      </w:r>
    </w:p>
    <w:p>
      <w:r>
        <w:rPr>
          <w:rFonts w:ascii="Calibri" w:hAnsi="Calibri"/>
          <w:color w:val="243746"/>
          <w:sz w:val="21"/>
        </w:rPr>
        <w:t>The earlier design independently sampled an eligible Cassandra node for each operation. This deliberately increased route diversity and the chance that successive operations crossed a network partition. It is useful as a counterexample search but gives the experiment harness control that ordinary applications typically delegate to the driver.</w:t>
      </w:r>
    </w:p>
    <w:p>
      <w:pPr>
        <w:pStyle w:val="Heading2"/>
      </w:pPr>
      <w:r>
        <w:t>4.2 Design B: Cassandra driver policy</w:t>
      </w:r>
    </w:p>
    <w:p>
      <w:r>
        <w:rPr>
          <w:rFonts w:ascii="Calibri" w:hAnsi="Calibri"/>
          <w:color w:val="243746"/>
          <w:sz w:val="21"/>
        </w:rPr>
        <w:t>The later design supplied the keyspace and encoded partition routing key on each SimpleStatement. TokenAwarePolicy ranked replicas and DCAwareRoundRobinPolicy(local_dc="dc1") ordered local hosts. The application API could not name a Cassandra node. Retries, consistency downgrades, and speculative execution were disabled, and the actual coordinator and attempted hosts were recorded for each operation. DataStax describes token-aware routing as prioritizing replicas and the load-balancing policy as producing an ordered per-query host plan [5].</w:t>
      </w:r>
    </w:p>
    <w:p>
      <w:pPr>
        <w:keepNext/>
        <w:jc w:val="center"/>
      </w:pPr>
      <w:r>
        <w:drawing>
          <wp:inline xmlns:a="http://schemas.openxmlformats.org/drawingml/2006/main" xmlns:pic="http://schemas.openxmlformats.org/drawingml/2006/picture">
            <wp:extent cx="5806440" cy="3549186"/>
            <wp:docPr id="4" name="Picture 4" descr="Two panels comparing independent harness-selected coordinators with token-aware driver routing to an ordinary Cassandra coordinator node." title="Figure 4"/>
            <wp:cNvGraphicFramePr>
              <a:graphicFrameLocks noChangeAspect="1"/>
            </wp:cNvGraphicFramePr>
            <a:graphic>
              <a:graphicData uri="http://schemas.openxmlformats.org/drawingml/2006/picture">
                <pic:pic>
                  <pic:nvPicPr>
                    <pic:cNvPr id="0" name="03_routing_policy_comparison.png"/>
                    <pic:cNvPicPr/>
                  </pic:nvPicPr>
                  <pic:blipFill>
                    <a:blip r:embed="rId14"/>
                    <a:stretch>
                      <a:fillRect/>
                    </a:stretch>
                  </pic:blipFill>
                  <pic:spPr>
                    <a:xfrm>
                      <a:off x="0" y="0"/>
                      <a:ext cx="5806440" cy="3549186"/>
                    </a:xfrm>
                    <a:prstGeom prst="rect"/>
                  </pic:spPr>
                </pic:pic>
              </a:graphicData>
            </a:graphic>
          </wp:inline>
        </w:drawing>
      </w:r>
    </w:p>
    <w:p>
      <w:pPr>
        <w:pStyle w:val="Caption"/>
      </w:pPr>
      <w:r>
        <w:t>Figure 4. Coordinator-selection designs compared.</w:t>
      </w:r>
    </w:p>
    <w:p>
      <w:pPr>
        <w:pStyle w:val="EvidenceTag"/>
        <w:jc w:val="center"/>
      </w:pPr>
      <w:r>
        <w:t>Source: random-coordinator-v2 and cassandra-driver-policy-v3 implementations</w:t>
      </w:r>
    </w:p>
    <w:p>
      <w:pPr>
        <w:keepNext/>
        <w:jc w:val="center"/>
      </w:pPr>
      <w:r>
        <w:drawing>
          <wp:inline xmlns:a="http://schemas.openxmlformats.org/drawingml/2006/main" xmlns:pic="http://schemas.openxmlformats.org/drawingml/2006/picture">
            <wp:extent cx="5806440" cy="3549186"/>
            <wp:docPr id="5" name="Picture 5" descr="Application routing key flows through token calculation and replica-aware ranking to a query plan and Cassandra coordinator." title="Figure 5"/>
            <wp:cNvGraphicFramePr>
              <a:graphicFrameLocks noChangeAspect="1"/>
            </wp:cNvGraphicFramePr>
            <a:graphic>
              <a:graphicData uri="http://schemas.openxmlformats.org/drawingml/2006/picture">
                <pic:pic>
                  <pic:nvPicPr>
                    <pic:cNvPr id="0" name="07_token_aware_driver_policy_detail.png"/>
                    <pic:cNvPicPr/>
                  </pic:nvPicPr>
                  <pic:blipFill>
                    <a:blip r:embed="rId15"/>
                    <a:stretch>
                      <a:fillRect/>
                    </a:stretch>
                  </pic:blipFill>
                  <pic:spPr>
                    <a:xfrm>
                      <a:off x="0" y="0"/>
                      <a:ext cx="5806440" cy="3549186"/>
                    </a:xfrm>
                    <a:prstGeom prst="rect"/>
                  </pic:spPr>
                </pic:pic>
              </a:graphicData>
            </a:graphic>
          </wp:inline>
        </w:drawing>
      </w:r>
    </w:p>
    <w:p>
      <w:pPr>
        <w:pStyle w:val="Caption"/>
      </w:pPr>
      <w:r>
        <w:t>Figure 5. Token-aware driver coordinator selection in detail.</w:t>
      </w:r>
    </w:p>
    <w:p>
      <w:pPr>
        <w:pStyle w:val="EvidenceTag"/>
        <w:jc w:val="center"/>
      </w:pPr>
      <w:r>
        <w:t>Source: src/worker.py, src/routing.py, and DataStax driver documentation [5]</w:t>
      </w:r>
    </w:p>
    <w:p>
      <w:pPr>
        <w:pStyle w:val="Callout"/>
        <w:shd w:fill="EAF5FB"/>
        <w:pBdr>
          <w:top w:val="single" w:sz="8" w:color="1779BA" w:space="5"/>
          <w:left w:val="single" w:sz="8" w:color="1779BA" w:space="5"/>
          <w:bottom w:val="single" w:sz="8" w:color="1779BA" w:space="5"/>
          <w:right w:val="single" w:sz="8" w:color="1779BA" w:space="5"/>
        </w:pBdr>
      </w:pPr>
      <w:r>
        <w:rPr>
          <w:rFonts w:ascii="Calibri" w:hAnsi="Calibri"/>
          <w:b/>
          <w:color w:val="1779BA"/>
          <w:sz w:val="21"/>
        </w:rPr>
        <w:t xml:space="preserve">Interpretation  </w:t>
      </w:r>
      <w:r>
        <w:rPr>
          <w:rFonts w:ascii="Calibri" w:hAnsi="Calibri"/>
          <w:color w:val="17324D"/>
          <w:sz w:val="21"/>
        </w:rPr>
        <w:t>Routing changes which histories are sampled and which failure domains successive operations traverse. It does not change the acknowledgement rule for ONE, QUORUM, or ALL.</w:t>
      </w:r>
    </w:p>
    <w:p>
      <w:r>
        <w:br w:type="page"/>
      </w:r>
    </w:p>
    <w:p>
      <w:pPr>
        <w:pStyle w:val="Heading1"/>
      </w:pPr>
      <w:r>
        <w:t>5. Predictions</w:t>
      </w:r>
    </w:p>
    <w:p>
      <w:r>
        <w:rPr>
          <w:rFonts w:ascii="Calibri" w:hAnsi="Calibri"/>
          <w:color w:val="243746"/>
          <w:sz w:val="21"/>
        </w:rPr>
        <w:t>Predictions were registered before interpreting the saved outcomes. They assume one writer per key, no TTL or deletion, explicit increasing timestamps, retries disabled, and the finite-history oracles described in Section 6.</w:t>
      </w:r>
    </w:p>
    <w:tbl>
      <w:tblPr>
        <w:tblStyle w:val="TableGrid"/>
        <w:tblW w:type="dxa" w:w="9360"/>
        <w:jc w:val="left"/>
        <w:tblLayout w:type="fixed"/>
        <w:tblLook w:firstColumn="1" w:firstRow="1" w:lastColumn="0" w:lastRow="0" w:noHBand="0" w:noVBand="1" w:val="04A0"/>
        <w:tblInd w:w="120" w:type="dxa"/>
      </w:tblPr>
      <w:tblGrid>
        <w:gridCol w:w="1450"/>
        <w:gridCol w:w="1150"/>
        <w:gridCol w:w="2150"/>
        <w:gridCol w:w="2200"/>
        <w:gridCol w:w="2410"/>
      </w:tblGrid>
      <w:tr>
        <w:trPr>
          <w:tblHeader w:val="true"/>
        </w:trPr>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Write/read</w:t>
            </w:r>
          </w:p>
        </w:tc>
        <w:tc>
          <w:tcPr>
            <w:tcW w:type="dxa" w:w="11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W+R&gt;3</w:t>
            </w:r>
          </w:p>
        </w:tc>
        <w:tc>
          <w:tcPr>
            <w:tcW w:type="dxa" w:w="21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RYW</w:t>
            </w:r>
          </w:p>
        </w:tc>
        <w:tc>
          <w:tcPr>
            <w:tcW w:type="dxa" w:w="22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MR</w:t>
            </w:r>
          </w:p>
        </w:tc>
        <w:tc>
          <w:tcPr>
            <w:tcW w:type="dxa" w:w="24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MW/WFR</w:t>
            </w:r>
          </w:p>
        </w:tc>
      </w:tr>
      <w:tr>
        <w:tc>
          <w:tcPr>
            <w:tcW w:type="dxa" w:w="1450"/>
          </w:tcPr>
          <w:p>
            <w:pPr>
              <w:spacing w:before="0" w:after="0" w:line="259" w:lineRule="auto"/>
              <w:jc w:val="center"/>
            </w:pPr>
            <w:r/>
            <w:r>
              <w:rPr>
                <w:rFonts w:ascii="Calibri" w:hAnsi="Calibri"/>
                <w:b/>
                <w:color w:val="243746"/>
                <w:sz w:val="16"/>
              </w:rPr>
              <w:t>ONE/ONE</w:t>
            </w:r>
          </w:p>
        </w:tc>
        <w:tc>
          <w:tcPr>
            <w:tcW w:type="dxa" w:w="1150"/>
          </w:tcPr>
          <w:p>
            <w:pPr>
              <w:spacing w:before="0" w:after="0" w:line="259" w:lineRule="auto"/>
              <w:jc w:val="center"/>
            </w:pPr>
            <w:r/>
            <w:r>
              <w:rPr>
                <w:rFonts w:ascii="Calibri" w:hAnsi="Calibri"/>
                <w:b w:val="0"/>
                <w:color w:val="243746"/>
                <w:sz w:val="16"/>
              </w:rPr>
              <w:t>No</w:t>
            </w:r>
          </w:p>
        </w:tc>
        <w:tc>
          <w:tcPr>
            <w:tcW w:type="dxa" w:w="2150"/>
          </w:tcPr>
          <w:p>
            <w:pPr>
              <w:spacing w:before="0" w:after="0" w:line="259" w:lineRule="auto"/>
              <w:jc w:val="left"/>
            </w:pPr>
            <w:r/>
            <w:r>
              <w:rPr>
                <w:rFonts w:ascii="Calibri" w:hAnsi="Calibri"/>
                <w:b w:val="0"/>
                <w:color w:val="243746"/>
                <w:sz w:val="16"/>
              </w:rPr>
              <w:t>May fail</w:t>
            </w:r>
          </w:p>
        </w:tc>
        <w:tc>
          <w:tcPr>
            <w:tcW w:type="dxa" w:w="2200"/>
          </w:tcPr>
          <w:p>
            <w:pPr>
              <w:spacing w:before="0" w:after="0" w:line="259" w:lineRule="auto"/>
              <w:jc w:val="left"/>
            </w:pPr>
            <w:r/>
            <w:r>
              <w:rPr>
                <w:rFonts w:ascii="Calibri" w:hAnsi="Calibri"/>
                <w:b w:val="0"/>
                <w:color w:val="243746"/>
                <w:sz w:val="16"/>
              </w:rPr>
              <w:t>May regress</w:t>
            </w:r>
          </w:p>
        </w:tc>
        <w:tc>
          <w:tcPr>
            <w:tcW w:type="dxa" w:w="2410"/>
          </w:tcPr>
          <w:p>
            <w:pPr>
              <w:spacing w:before="0" w:after="0" w:line="259" w:lineRule="auto"/>
              <w:jc w:val="left"/>
            </w:pPr>
            <w:r/>
            <w:r>
              <w:rPr>
                <w:rFonts w:ascii="Calibri" w:hAnsi="Calibri"/>
                <w:b w:val="0"/>
                <w:color w:val="243746"/>
                <w:sz w:val="16"/>
              </w:rPr>
              <w:t>Dependency visibility may fail</w:t>
            </w:r>
          </w:p>
        </w:tc>
      </w:tr>
      <w:tr>
        <w:tc>
          <w:tcPr>
            <w:tcW w:type="dxa" w:w="1450"/>
            <w:shd w:fill="F6F9FC"/>
          </w:tcPr>
          <w:p>
            <w:pPr>
              <w:spacing w:before="0" w:after="0" w:line="259" w:lineRule="auto"/>
              <w:jc w:val="center"/>
            </w:pPr>
            <w:r/>
            <w:r>
              <w:rPr>
                <w:rFonts w:ascii="Calibri" w:hAnsi="Calibri"/>
                <w:b/>
                <w:color w:val="243746"/>
                <w:sz w:val="16"/>
              </w:rPr>
              <w:t>ONE/QUORUM</w:t>
            </w:r>
          </w:p>
        </w:tc>
        <w:tc>
          <w:tcPr>
            <w:tcW w:type="dxa" w:w="1150"/>
            <w:shd w:fill="F6F9FC"/>
          </w:tcPr>
          <w:p>
            <w:pPr>
              <w:spacing w:before="0" w:after="0" w:line="259" w:lineRule="auto"/>
              <w:jc w:val="center"/>
            </w:pPr>
            <w:r/>
            <w:r>
              <w:rPr>
                <w:rFonts w:ascii="Calibri" w:hAnsi="Calibri"/>
                <w:b w:val="0"/>
                <w:color w:val="243746"/>
                <w:sz w:val="16"/>
              </w:rPr>
              <w:t>No</w:t>
            </w:r>
          </w:p>
        </w:tc>
        <w:tc>
          <w:tcPr>
            <w:tcW w:type="dxa" w:w="2150"/>
            <w:shd w:fill="F6F9FC"/>
          </w:tcPr>
          <w:p>
            <w:pPr>
              <w:spacing w:before="0" w:after="0" w:line="259" w:lineRule="auto"/>
              <w:jc w:val="left"/>
            </w:pPr>
            <w:r/>
            <w:r>
              <w:rPr>
                <w:rFonts w:ascii="Calibri" w:hAnsi="Calibri"/>
                <w:b w:val="0"/>
                <w:color w:val="243746"/>
                <w:sz w:val="16"/>
              </w:rPr>
              <w:t>May fail</w:t>
            </w:r>
          </w:p>
        </w:tc>
        <w:tc>
          <w:tcPr>
            <w:tcW w:type="dxa" w:w="2200"/>
            <w:shd w:fill="F6F9FC"/>
          </w:tcPr>
          <w:p>
            <w:pPr>
              <w:spacing w:before="0" w:after="0" w:line="259" w:lineRule="auto"/>
              <w:jc w:val="left"/>
            </w:pPr>
            <w:r/>
            <w:r>
              <w:rPr>
                <w:rFonts w:ascii="Calibri" w:hAnsi="Calibri"/>
                <w:b w:val="0"/>
                <w:color w:val="243746"/>
                <w:sz w:val="16"/>
              </w:rPr>
              <w:t>Quorum reads should resist regression</w:t>
            </w:r>
          </w:p>
        </w:tc>
        <w:tc>
          <w:tcPr>
            <w:tcW w:type="dxa" w:w="2410"/>
            <w:shd w:fill="F6F9FC"/>
          </w:tcPr>
          <w:p>
            <w:pPr>
              <w:spacing w:before="0" w:after="0" w:line="259" w:lineRule="auto"/>
              <w:jc w:val="left"/>
            </w:pPr>
            <w:r/>
            <w:r>
              <w:rPr>
                <w:rFonts w:ascii="Calibri" w:hAnsi="Calibri"/>
                <w:b w:val="0"/>
                <w:color w:val="243746"/>
                <w:sz w:val="16"/>
              </w:rPr>
              <w:t>No general causal guarantee</w:t>
            </w:r>
          </w:p>
        </w:tc>
      </w:tr>
      <w:tr>
        <w:tc>
          <w:tcPr>
            <w:tcW w:type="dxa" w:w="1450"/>
          </w:tcPr>
          <w:p>
            <w:pPr>
              <w:spacing w:before="0" w:after="0" w:line="259" w:lineRule="auto"/>
              <w:jc w:val="center"/>
            </w:pPr>
            <w:r/>
            <w:r>
              <w:rPr>
                <w:rFonts w:ascii="Calibri" w:hAnsi="Calibri"/>
                <w:b/>
                <w:color w:val="243746"/>
                <w:sz w:val="16"/>
              </w:rPr>
              <w:t>ONE/ALL</w:t>
            </w:r>
          </w:p>
        </w:tc>
        <w:tc>
          <w:tcPr>
            <w:tcW w:type="dxa" w:w="1150"/>
          </w:tcPr>
          <w:p>
            <w:pPr>
              <w:spacing w:before="0" w:after="0" w:line="259" w:lineRule="auto"/>
              <w:jc w:val="center"/>
            </w:pPr>
            <w:r/>
            <w:r>
              <w:rPr>
                <w:rFonts w:ascii="Calibri" w:hAnsi="Calibri"/>
                <w:b w:val="0"/>
                <w:color w:val="243746"/>
                <w:sz w:val="16"/>
              </w:rPr>
              <w:t>Yes</w:t>
            </w:r>
          </w:p>
        </w:tc>
        <w:tc>
          <w:tcPr>
            <w:tcW w:type="dxa" w:w="2150"/>
          </w:tcPr>
          <w:p>
            <w:pPr>
              <w:spacing w:before="0" w:after="0" w:line="259" w:lineRule="auto"/>
              <w:jc w:val="left"/>
            </w:pPr>
            <w:r/>
            <w:r>
              <w:rPr>
                <w:rFonts w:ascii="Calibri" w:hAnsi="Calibri"/>
                <w:b w:val="0"/>
                <w:color w:val="243746"/>
                <w:sz w:val="16"/>
              </w:rPr>
              <w:t>Expected if operations complete</w:t>
            </w:r>
          </w:p>
        </w:tc>
        <w:tc>
          <w:tcPr>
            <w:tcW w:type="dxa" w:w="2200"/>
          </w:tcPr>
          <w:p>
            <w:pPr>
              <w:spacing w:before="0" w:after="0" w:line="259" w:lineRule="auto"/>
              <w:jc w:val="left"/>
            </w:pPr>
            <w:r/>
            <w:r>
              <w:rPr>
                <w:rFonts w:ascii="Calibri" w:hAnsi="Calibri"/>
                <w:b w:val="0"/>
                <w:color w:val="243746"/>
                <w:sz w:val="16"/>
              </w:rPr>
              <w:t>Expected if reads complete</w:t>
            </w:r>
          </w:p>
        </w:tc>
        <w:tc>
          <w:tcPr>
            <w:tcW w:type="dxa" w:w="2410"/>
          </w:tcPr>
          <w:p>
            <w:pPr>
              <w:spacing w:before="0" w:after="0" w:line="259" w:lineRule="auto"/>
              <w:jc w:val="left"/>
            </w:pPr>
            <w:r/>
            <w:r>
              <w:rPr>
                <w:rFonts w:ascii="Calibri" w:hAnsi="Calibri"/>
                <w:b w:val="0"/>
                <w:color w:val="243746"/>
                <w:sz w:val="16"/>
              </w:rPr>
              <w:t>No general causal guarantee</w:t>
            </w:r>
          </w:p>
        </w:tc>
      </w:tr>
      <w:tr>
        <w:tc>
          <w:tcPr>
            <w:tcW w:type="dxa" w:w="1450"/>
            <w:shd w:fill="F6F9FC"/>
          </w:tcPr>
          <w:p>
            <w:pPr>
              <w:spacing w:before="0" w:after="0" w:line="259" w:lineRule="auto"/>
              <w:jc w:val="center"/>
            </w:pPr>
            <w:r/>
            <w:r>
              <w:rPr>
                <w:rFonts w:ascii="Calibri" w:hAnsi="Calibri"/>
                <w:b/>
                <w:color w:val="243746"/>
                <w:sz w:val="16"/>
              </w:rPr>
              <w:t>QUORUM/ONE</w:t>
            </w:r>
          </w:p>
        </w:tc>
        <w:tc>
          <w:tcPr>
            <w:tcW w:type="dxa" w:w="1150"/>
            <w:shd w:fill="F6F9FC"/>
          </w:tcPr>
          <w:p>
            <w:pPr>
              <w:spacing w:before="0" w:after="0" w:line="259" w:lineRule="auto"/>
              <w:jc w:val="center"/>
            </w:pPr>
            <w:r/>
            <w:r>
              <w:rPr>
                <w:rFonts w:ascii="Calibri" w:hAnsi="Calibri"/>
                <w:b w:val="0"/>
                <w:color w:val="243746"/>
                <w:sz w:val="16"/>
              </w:rPr>
              <w:t>No</w:t>
            </w:r>
          </w:p>
        </w:tc>
        <w:tc>
          <w:tcPr>
            <w:tcW w:type="dxa" w:w="2150"/>
            <w:shd w:fill="F6F9FC"/>
          </w:tcPr>
          <w:p>
            <w:pPr>
              <w:spacing w:before="0" w:after="0" w:line="259" w:lineRule="auto"/>
              <w:jc w:val="left"/>
            </w:pPr>
            <w:r/>
            <w:r>
              <w:rPr>
                <w:rFonts w:ascii="Calibri" w:hAnsi="Calibri"/>
                <w:b w:val="0"/>
                <w:color w:val="243746"/>
                <w:sz w:val="16"/>
              </w:rPr>
              <w:t>May fail</w:t>
            </w:r>
          </w:p>
        </w:tc>
        <w:tc>
          <w:tcPr>
            <w:tcW w:type="dxa" w:w="2200"/>
            <w:shd w:fill="F6F9FC"/>
          </w:tcPr>
          <w:p>
            <w:pPr>
              <w:spacing w:before="0" w:after="0" w:line="259" w:lineRule="auto"/>
              <w:jc w:val="left"/>
            </w:pPr>
            <w:r/>
            <w:r>
              <w:rPr>
                <w:rFonts w:ascii="Calibri" w:hAnsi="Calibri"/>
                <w:b w:val="0"/>
                <w:color w:val="243746"/>
                <w:sz w:val="16"/>
              </w:rPr>
              <w:t>May regress</w:t>
            </w:r>
          </w:p>
        </w:tc>
        <w:tc>
          <w:tcPr>
            <w:tcW w:type="dxa" w:w="2410"/>
            <w:shd w:fill="F6F9FC"/>
          </w:tcPr>
          <w:p>
            <w:pPr>
              <w:spacing w:before="0" w:after="0" w:line="259" w:lineRule="auto"/>
              <w:jc w:val="left"/>
            </w:pPr>
            <w:r/>
            <w:r>
              <w:rPr>
                <w:rFonts w:ascii="Calibri" w:hAnsi="Calibri"/>
                <w:b w:val="0"/>
                <w:color w:val="243746"/>
                <w:sz w:val="16"/>
              </w:rPr>
              <w:t>No general causal guarantee</w:t>
            </w:r>
          </w:p>
        </w:tc>
      </w:tr>
      <w:tr>
        <w:tc>
          <w:tcPr>
            <w:tcW w:type="dxa" w:w="1450"/>
          </w:tcPr>
          <w:p>
            <w:pPr>
              <w:spacing w:before="0" w:after="0" w:line="259" w:lineRule="auto"/>
              <w:jc w:val="center"/>
            </w:pPr>
            <w:r/>
            <w:r>
              <w:rPr>
                <w:rFonts w:ascii="Calibri" w:hAnsi="Calibri"/>
                <w:b/>
                <w:color w:val="243746"/>
                <w:sz w:val="16"/>
              </w:rPr>
              <w:t>QUORUM/QUORUM</w:t>
            </w:r>
          </w:p>
        </w:tc>
        <w:tc>
          <w:tcPr>
            <w:tcW w:type="dxa" w:w="1150"/>
          </w:tcPr>
          <w:p>
            <w:pPr>
              <w:spacing w:before="0" w:after="0" w:line="259" w:lineRule="auto"/>
              <w:jc w:val="center"/>
            </w:pPr>
            <w:r/>
            <w:r>
              <w:rPr>
                <w:rFonts w:ascii="Calibri" w:hAnsi="Calibri"/>
                <w:b w:val="0"/>
                <w:color w:val="243746"/>
                <w:sz w:val="16"/>
              </w:rPr>
              <w:t>Yes</w:t>
            </w:r>
          </w:p>
        </w:tc>
        <w:tc>
          <w:tcPr>
            <w:tcW w:type="dxa" w:w="2150"/>
          </w:tcPr>
          <w:p>
            <w:pPr>
              <w:spacing w:before="0" w:after="0" w:line="259" w:lineRule="auto"/>
              <w:jc w:val="left"/>
            </w:pPr>
            <w:r/>
            <w:r>
              <w:rPr>
                <w:rFonts w:ascii="Calibri" w:hAnsi="Calibri"/>
                <w:b w:val="0"/>
                <w:color w:val="243746"/>
                <w:sz w:val="16"/>
              </w:rPr>
              <w:t>Expected for acknowledged write/read</w:t>
            </w:r>
          </w:p>
        </w:tc>
        <w:tc>
          <w:tcPr>
            <w:tcW w:type="dxa" w:w="2200"/>
          </w:tcPr>
          <w:p>
            <w:pPr>
              <w:spacing w:before="0" w:after="0" w:line="259" w:lineRule="auto"/>
              <w:jc w:val="left"/>
            </w:pPr>
            <w:r/>
            <w:r>
              <w:rPr>
                <w:rFonts w:ascii="Calibri" w:hAnsi="Calibri"/>
                <w:b w:val="0"/>
                <w:color w:val="243746"/>
                <w:sz w:val="16"/>
              </w:rPr>
              <w:t>Quorum reads should resist regression</w:t>
            </w:r>
          </w:p>
        </w:tc>
        <w:tc>
          <w:tcPr>
            <w:tcW w:type="dxa" w:w="2410"/>
          </w:tcPr>
          <w:p>
            <w:pPr>
              <w:spacing w:before="0" w:after="0" w:line="259" w:lineRule="auto"/>
              <w:jc w:val="left"/>
            </w:pPr>
            <w:r/>
            <w:r>
              <w:rPr>
                <w:rFonts w:ascii="Calibri" w:hAnsi="Calibri"/>
                <w:b w:val="0"/>
                <w:color w:val="243746"/>
                <w:sz w:val="16"/>
              </w:rPr>
              <w:t>No general causal guarantee</w:t>
            </w:r>
          </w:p>
        </w:tc>
      </w:tr>
      <w:tr>
        <w:tc>
          <w:tcPr>
            <w:tcW w:type="dxa" w:w="1450"/>
            <w:shd w:fill="F6F9FC"/>
          </w:tcPr>
          <w:p>
            <w:pPr>
              <w:spacing w:before="0" w:after="0" w:line="259" w:lineRule="auto"/>
              <w:jc w:val="center"/>
            </w:pPr>
            <w:r/>
            <w:r>
              <w:rPr>
                <w:rFonts w:ascii="Calibri" w:hAnsi="Calibri"/>
                <w:b/>
                <w:color w:val="243746"/>
                <w:sz w:val="16"/>
              </w:rPr>
              <w:t>QUORUM/ALL</w:t>
            </w:r>
          </w:p>
        </w:tc>
        <w:tc>
          <w:tcPr>
            <w:tcW w:type="dxa" w:w="1150"/>
            <w:shd w:fill="F6F9FC"/>
          </w:tcPr>
          <w:p>
            <w:pPr>
              <w:spacing w:before="0" w:after="0" w:line="259" w:lineRule="auto"/>
              <w:jc w:val="center"/>
            </w:pPr>
            <w:r/>
            <w:r>
              <w:rPr>
                <w:rFonts w:ascii="Calibri" w:hAnsi="Calibri"/>
                <w:b w:val="0"/>
                <w:color w:val="243746"/>
                <w:sz w:val="16"/>
              </w:rPr>
              <w:t>Yes</w:t>
            </w:r>
          </w:p>
        </w:tc>
        <w:tc>
          <w:tcPr>
            <w:tcW w:type="dxa" w:w="2150"/>
            <w:shd w:fill="F6F9FC"/>
          </w:tcPr>
          <w:p>
            <w:pPr>
              <w:spacing w:before="0" w:after="0" w:line="259" w:lineRule="auto"/>
              <w:jc w:val="left"/>
            </w:pPr>
            <w:r/>
            <w:r>
              <w:rPr>
                <w:rFonts w:ascii="Calibri" w:hAnsi="Calibri"/>
                <w:b w:val="0"/>
                <w:color w:val="243746"/>
                <w:sz w:val="16"/>
              </w:rPr>
              <w:t>Expected if operations complete</w:t>
            </w:r>
          </w:p>
        </w:tc>
        <w:tc>
          <w:tcPr>
            <w:tcW w:type="dxa" w:w="2200"/>
            <w:shd w:fill="F6F9FC"/>
          </w:tcPr>
          <w:p>
            <w:pPr>
              <w:spacing w:before="0" w:after="0" w:line="259" w:lineRule="auto"/>
              <w:jc w:val="left"/>
            </w:pPr>
            <w:r/>
            <w:r>
              <w:rPr>
                <w:rFonts w:ascii="Calibri" w:hAnsi="Calibri"/>
                <w:b w:val="0"/>
                <w:color w:val="243746"/>
                <w:sz w:val="16"/>
              </w:rPr>
              <w:t>Expected if reads complete</w:t>
            </w:r>
          </w:p>
        </w:tc>
        <w:tc>
          <w:tcPr>
            <w:tcW w:type="dxa" w:w="2410"/>
            <w:shd w:fill="F6F9FC"/>
          </w:tcPr>
          <w:p>
            <w:pPr>
              <w:spacing w:before="0" w:after="0" w:line="259" w:lineRule="auto"/>
              <w:jc w:val="left"/>
            </w:pPr>
            <w:r/>
            <w:r>
              <w:rPr>
                <w:rFonts w:ascii="Calibri" w:hAnsi="Calibri"/>
                <w:b w:val="0"/>
                <w:color w:val="243746"/>
                <w:sz w:val="16"/>
              </w:rPr>
              <w:t>No general causal guarantee</w:t>
            </w:r>
          </w:p>
        </w:tc>
      </w:tr>
      <w:tr>
        <w:tc>
          <w:tcPr>
            <w:tcW w:type="dxa" w:w="1450"/>
          </w:tcPr>
          <w:p>
            <w:pPr>
              <w:spacing w:before="0" w:after="0" w:line="259" w:lineRule="auto"/>
              <w:jc w:val="center"/>
            </w:pPr>
            <w:r/>
            <w:r>
              <w:rPr>
                <w:rFonts w:ascii="Calibri" w:hAnsi="Calibri"/>
                <w:b/>
                <w:color w:val="243746"/>
                <w:sz w:val="16"/>
              </w:rPr>
              <w:t>ALL/ONE</w:t>
            </w:r>
          </w:p>
        </w:tc>
        <w:tc>
          <w:tcPr>
            <w:tcW w:type="dxa" w:w="1150"/>
          </w:tcPr>
          <w:p>
            <w:pPr>
              <w:spacing w:before="0" w:after="0" w:line="259" w:lineRule="auto"/>
              <w:jc w:val="center"/>
            </w:pPr>
            <w:r/>
            <w:r>
              <w:rPr>
                <w:rFonts w:ascii="Calibri" w:hAnsi="Calibri"/>
                <w:b w:val="0"/>
                <w:color w:val="243746"/>
                <w:sz w:val="16"/>
              </w:rPr>
              <w:t>Yes</w:t>
            </w:r>
          </w:p>
        </w:tc>
        <w:tc>
          <w:tcPr>
            <w:tcW w:type="dxa" w:w="2150"/>
          </w:tcPr>
          <w:p>
            <w:pPr>
              <w:spacing w:before="0" w:after="0" w:line="259" w:lineRule="auto"/>
              <w:jc w:val="left"/>
            </w:pPr>
            <w:r/>
            <w:r>
              <w:rPr>
                <w:rFonts w:ascii="Calibri" w:hAnsi="Calibri"/>
                <w:b w:val="0"/>
                <w:color w:val="243746"/>
                <w:sz w:val="16"/>
              </w:rPr>
              <w:t>Expected if write completes</w:t>
            </w:r>
          </w:p>
        </w:tc>
        <w:tc>
          <w:tcPr>
            <w:tcW w:type="dxa" w:w="2200"/>
          </w:tcPr>
          <w:p>
            <w:pPr>
              <w:spacing w:before="0" w:after="0" w:line="259" w:lineRule="auto"/>
              <w:jc w:val="left"/>
            </w:pPr>
            <w:r/>
            <w:r>
              <w:rPr>
                <w:rFonts w:ascii="Calibri" w:hAnsi="Calibri"/>
                <w:b w:val="0"/>
                <w:color w:val="243746"/>
                <w:sz w:val="16"/>
              </w:rPr>
              <w:t>Stronger visibility</w:t>
            </w:r>
          </w:p>
        </w:tc>
        <w:tc>
          <w:tcPr>
            <w:tcW w:type="dxa" w:w="2410"/>
          </w:tcPr>
          <w:p>
            <w:pPr>
              <w:spacing w:before="0" w:after="0" w:line="259" w:lineRule="auto"/>
              <w:jc w:val="left"/>
            </w:pPr>
            <w:r/>
            <w:r>
              <w:rPr>
                <w:rFonts w:ascii="Calibri" w:hAnsi="Calibri"/>
                <w:b w:val="0"/>
                <w:color w:val="243746"/>
                <w:sz w:val="16"/>
              </w:rPr>
              <w:t>No general causal guarantee</w:t>
            </w:r>
          </w:p>
        </w:tc>
      </w:tr>
      <w:tr>
        <w:tc>
          <w:tcPr>
            <w:tcW w:type="dxa" w:w="1450"/>
            <w:shd w:fill="F6F9FC"/>
          </w:tcPr>
          <w:p>
            <w:pPr>
              <w:spacing w:before="0" w:after="0" w:line="259" w:lineRule="auto"/>
              <w:jc w:val="center"/>
            </w:pPr>
            <w:r/>
            <w:r>
              <w:rPr>
                <w:rFonts w:ascii="Calibri" w:hAnsi="Calibri"/>
                <w:b/>
                <w:color w:val="243746"/>
                <w:sz w:val="16"/>
              </w:rPr>
              <w:t>ALL/QUORUM</w:t>
            </w:r>
          </w:p>
        </w:tc>
        <w:tc>
          <w:tcPr>
            <w:tcW w:type="dxa" w:w="1150"/>
            <w:shd w:fill="F6F9FC"/>
          </w:tcPr>
          <w:p>
            <w:pPr>
              <w:spacing w:before="0" w:after="0" w:line="259" w:lineRule="auto"/>
              <w:jc w:val="center"/>
            </w:pPr>
            <w:r/>
            <w:r>
              <w:rPr>
                <w:rFonts w:ascii="Calibri" w:hAnsi="Calibri"/>
                <w:b w:val="0"/>
                <w:color w:val="243746"/>
                <w:sz w:val="16"/>
              </w:rPr>
              <w:t>Yes</w:t>
            </w:r>
          </w:p>
        </w:tc>
        <w:tc>
          <w:tcPr>
            <w:tcW w:type="dxa" w:w="2150"/>
            <w:shd w:fill="F6F9FC"/>
          </w:tcPr>
          <w:p>
            <w:pPr>
              <w:spacing w:before="0" w:after="0" w:line="259" w:lineRule="auto"/>
              <w:jc w:val="left"/>
            </w:pPr>
            <w:r/>
            <w:r>
              <w:rPr>
                <w:rFonts w:ascii="Calibri" w:hAnsi="Calibri"/>
                <w:b w:val="0"/>
                <w:color w:val="243746"/>
                <w:sz w:val="16"/>
              </w:rPr>
              <w:t>Expected if write completes</w:t>
            </w:r>
          </w:p>
        </w:tc>
        <w:tc>
          <w:tcPr>
            <w:tcW w:type="dxa" w:w="2200"/>
            <w:shd w:fill="F6F9FC"/>
          </w:tcPr>
          <w:p>
            <w:pPr>
              <w:spacing w:before="0" w:after="0" w:line="259" w:lineRule="auto"/>
              <w:jc w:val="left"/>
            </w:pPr>
            <w:r/>
            <w:r>
              <w:rPr>
                <w:rFonts w:ascii="Calibri" w:hAnsi="Calibri"/>
                <w:b w:val="0"/>
                <w:color w:val="243746"/>
                <w:sz w:val="16"/>
              </w:rPr>
              <w:t>Stronger visibility</w:t>
            </w:r>
          </w:p>
        </w:tc>
        <w:tc>
          <w:tcPr>
            <w:tcW w:type="dxa" w:w="2410"/>
            <w:shd w:fill="F6F9FC"/>
          </w:tcPr>
          <w:p>
            <w:pPr>
              <w:spacing w:before="0" w:after="0" w:line="259" w:lineRule="auto"/>
              <w:jc w:val="left"/>
            </w:pPr>
            <w:r/>
            <w:r>
              <w:rPr>
                <w:rFonts w:ascii="Calibri" w:hAnsi="Calibri"/>
                <w:b w:val="0"/>
                <w:color w:val="243746"/>
                <w:sz w:val="16"/>
              </w:rPr>
              <w:t>No general causal guarantee</w:t>
            </w:r>
          </w:p>
        </w:tc>
      </w:tr>
      <w:tr>
        <w:tc>
          <w:tcPr>
            <w:tcW w:type="dxa" w:w="1450"/>
          </w:tcPr>
          <w:p>
            <w:pPr>
              <w:spacing w:before="0" w:after="0" w:line="259" w:lineRule="auto"/>
              <w:jc w:val="center"/>
            </w:pPr>
            <w:r/>
            <w:r>
              <w:rPr>
                <w:rFonts w:ascii="Calibri" w:hAnsi="Calibri"/>
                <w:b/>
                <w:color w:val="243746"/>
                <w:sz w:val="16"/>
              </w:rPr>
              <w:t>ALL/ALL</w:t>
            </w:r>
          </w:p>
        </w:tc>
        <w:tc>
          <w:tcPr>
            <w:tcW w:type="dxa" w:w="1150"/>
          </w:tcPr>
          <w:p>
            <w:pPr>
              <w:spacing w:before="0" w:after="0" w:line="259" w:lineRule="auto"/>
              <w:jc w:val="center"/>
            </w:pPr>
            <w:r/>
            <w:r>
              <w:rPr>
                <w:rFonts w:ascii="Calibri" w:hAnsi="Calibri"/>
                <w:b w:val="0"/>
                <w:color w:val="243746"/>
                <w:sz w:val="16"/>
              </w:rPr>
              <w:t>Yes</w:t>
            </w:r>
          </w:p>
        </w:tc>
        <w:tc>
          <w:tcPr>
            <w:tcW w:type="dxa" w:w="2150"/>
          </w:tcPr>
          <w:p>
            <w:pPr>
              <w:spacing w:before="0" w:after="0" w:line="259" w:lineRule="auto"/>
              <w:jc w:val="left"/>
            </w:pPr>
            <w:r/>
            <w:r>
              <w:rPr>
                <w:rFonts w:ascii="Calibri" w:hAnsi="Calibri"/>
                <w:b w:val="0"/>
                <w:color w:val="243746"/>
                <w:sz w:val="16"/>
              </w:rPr>
              <w:t>Expected while available</w:t>
            </w:r>
          </w:p>
        </w:tc>
        <w:tc>
          <w:tcPr>
            <w:tcW w:type="dxa" w:w="2200"/>
          </w:tcPr>
          <w:p>
            <w:pPr>
              <w:spacing w:before="0" w:after="0" w:line="259" w:lineRule="auto"/>
              <w:jc w:val="left"/>
            </w:pPr>
            <w:r/>
            <w:r>
              <w:rPr>
                <w:rFonts w:ascii="Calibri" w:hAnsi="Calibri"/>
                <w:b w:val="0"/>
                <w:color w:val="243746"/>
                <w:sz w:val="16"/>
              </w:rPr>
              <w:t>Expected while available</w:t>
            </w:r>
          </w:p>
        </w:tc>
        <w:tc>
          <w:tcPr>
            <w:tcW w:type="dxa" w:w="2410"/>
          </w:tcPr>
          <w:p>
            <w:pPr>
              <w:spacing w:before="0" w:after="0" w:line="259" w:lineRule="auto"/>
              <w:jc w:val="left"/>
            </w:pPr>
            <w:r/>
            <w:r>
              <w:rPr>
                <w:rFonts w:ascii="Calibri" w:hAnsi="Calibri"/>
                <w:b w:val="0"/>
                <w:color w:val="243746"/>
                <w:sz w:val="16"/>
              </w:rPr>
              <w:t>No completed witness expected</w:t>
            </w:r>
          </w:p>
        </w:tc>
      </w:tr>
    </w:tbl>
    <w:p>
      <w:pPr>
        <w:spacing w:after="60"/>
      </w:pPr>
    </w:p>
    <w:p>
      <w:pPr>
        <w:pStyle w:val="EvidenceTag"/>
        <w:spacing w:before="80" w:after="80"/>
      </w:pPr>
      <w:r>
        <w:t>Table 2 source: registered predictions in report/predictions.md; mechanism supported by [1–3].</w:t>
      </w:r>
    </w:p>
    <w:p>
      <w:pPr>
        <w:pStyle w:val="Heading2"/>
      </w:pPr>
      <w:r>
        <w:t>5.1 Scenario predictions</w:t>
      </w:r>
    </w:p>
    <w:p>
      <w:pPr>
        <w:pStyle w:val="ListBullet"/>
      </w:pPr>
      <w:r>
        <w:rPr>
          <w:rFonts w:ascii="Calibri" w:hAnsi="Calibri"/>
          <w:color w:val="243746"/>
          <w:sz w:val="21"/>
        </w:rPr>
        <w:t>Normal: operations should usually complete; weak combinations may still admit a counterexample, but the experiment is a finite search.</w:t>
      </w:r>
    </w:p>
    <w:p>
      <w:pPr>
        <w:pStyle w:val="ListBullet"/>
      </w:pPr>
      <w:r>
        <w:rPr>
          <w:rFonts w:ascii="Calibri" w:hAnsi="Calibri"/>
          <w:color w:val="243746"/>
          <w:sz w:val="21"/>
        </w:rPr>
        <w:t>Node failure: ONE and QUORUM may remain available on two survivors; ALL should be unavailable while one replica is down.</w:t>
      </w:r>
    </w:p>
    <w:p>
      <w:pPr>
        <w:pStyle w:val="ListBullet"/>
      </w:pPr>
      <w:r>
        <w:rPr>
          <w:rFonts w:ascii="Calibri" w:hAnsi="Calibri"/>
          <w:color w:val="243746"/>
          <w:sz w:val="21"/>
        </w:rPr>
        <w:t>Network partition: ONE may complete on either side; QUORUM can complete only through the two-node side; ALL cannot complete until healing.</w:t>
      </w:r>
    </w:p>
    <w:p>
      <w:pPr>
        <w:pStyle w:val="ListBullet"/>
      </w:pPr>
      <w:r>
        <w:rPr>
          <w:rFonts w:ascii="Calibri" w:hAnsi="Calibri"/>
          <w:color w:val="243746"/>
          <w:sz w:val="21"/>
        </w:rPr>
        <w:t>Random routing should create more cross-coordinator and cross-partition histories than the stable driver query plan, increasing counterexample exposure.</w:t>
      </w:r>
    </w:p>
    <w:p>
      <w:r>
        <w:br w:type="page"/>
      </w:r>
    </w:p>
    <w:p>
      <w:pPr>
        <w:pStyle w:val="Heading1"/>
      </w:pPr>
      <w:r>
        <w:t>6. Method</w:t>
      </w:r>
    </w:p>
    <w:p>
      <w:pPr>
        <w:pStyle w:val="Heading2"/>
      </w:pPr>
      <w:r>
        <w:t>6.1 Factorial workload</w:t>
      </w:r>
    </w:p>
    <w:p>
      <w:r>
        <w:rPr>
          <w:rFonts w:ascii="Calibri" w:hAnsi="Calibri"/>
          <w:color w:val="243746"/>
          <w:sz w:val="21"/>
        </w:rPr>
        <w:t>Each round combined three scenarios, nine write/read consistency pairs, and four client-centric models, for 108 cells. Repetitions were controlled by the saved plan. The pooled evidence spans runs with 1, 10, 50, or 100 rounds, so the report always states the actual denominator rather than assuming equal cell counts.</w:t>
      </w:r>
    </w:p>
    <w:tbl>
      <w:tblPr>
        <w:tblStyle w:val="TableGrid"/>
        <w:tblW w:type="dxa" w:w="9360"/>
        <w:jc w:val="left"/>
        <w:tblLayout w:type="fixed"/>
        <w:tblLook w:firstColumn="1" w:firstRow="1" w:lastColumn="0" w:lastRow="0" w:noHBand="0" w:noVBand="1" w:val="04A0"/>
        <w:tblInd w:w="120" w:type="dxa"/>
      </w:tblPr>
      <w:tblGrid>
        <w:gridCol w:w="2300"/>
        <w:gridCol w:w="5260"/>
        <w:gridCol w:w="1800"/>
      </w:tblGrid>
      <w:tr>
        <w:trPr>
          <w:tblHeader w:val="true"/>
        </w:trPr>
        <w:tc>
          <w:tcPr>
            <w:tcW w:type="dxa" w:w="2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Dimension</w:t>
            </w:r>
          </w:p>
        </w:tc>
        <w:tc>
          <w:tcPr>
            <w:tcW w:type="dxa" w:w="52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Values</w:t>
            </w:r>
          </w:p>
        </w:tc>
        <w:tc>
          <w:tcPr>
            <w:tcW w:type="dxa" w:w="18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Count</w:t>
            </w:r>
          </w:p>
        </w:tc>
      </w:tr>
      <w:tr>
        <w:tc>
          <w:tcPr>
            <w:tcW w:type="dxa" w:w="2300"/>
          </w:tcPr>
          <w:p>
            <w:pPr>
              <w:spacing w:before="0" w:after="0" w:line="259" w:lineRule="auto"/>
              <w:jc w:val="left"/>
            </w:pPr>
            <w:r/>
            <w:r>
              <w:rPr>
                <w:rFonts w:ascii="Calibri" w:hAnsi="Calibri"/>
                <w:b/>
                <w:color w:val="243746"/>
                <w:sz w:val="17"/>
              </w:rPr>
              <w:t>Write CL</w:t>
            </w:r>
          </w:p>
        </w:tc>
        <w:tc>
          <w:tcPr>
            <w:tcW w:type="dxa" w:w="5260"/>
          </w:tcPr>
          <w:p>
            <w:pPr>
              <w:spacing w:before="0" w:after="0" w:line="259" w:lineRule="auto"/>
              <w:jc w:val="left"/>
            </w:pPr>
            <w:r/>
            <w:r>
              <w:rPr>
                <w:rFonts w:ascii="Calibri" w:hAnsi="Calibri"/>
                <w:b w:val="0"/>
                <w:color w:val="243746"/>
                <w:sz w:val="17"/>
              </w:rPr>
              <w:t>ONE, QUORUM, ALL</w:t>
            </w:r>
          </w:p>
        </w:tc>
        <w:tc>
          <w:tcPr>
            <w:tcW w:type="dxa" w:w="1800"/>
          </w:tcPr>
          <w:p>
            <w:pPr>
              <w:spacing w:before="0" w:after="0" w:line="259" w:lineRule="auto"/>
              <w:jc w:val="center"/>
            </w:pPr>
            <w:r/>
            <w:r>
              <w:rPr>
                <w:rFonts w:ascii="Calibri" w:hAnsi="Calibri"/>
                <w:b w:val="0"/>
                <w:color w:val="243746"/>
                <w:sz w:val="17"/>
              </w:rPr>
              <w:t>3</w:t>
            </w:r>
          </w:p>
        </w:tc>
      </w:tr>
      <w:tr>
        <w:tc>
          <w:tcPr>
            <w:tcW w:type="dxa" w:w="2300"/>
            <w:shd w:fill="F6F9FC"/>
          </w:tcPr>
          <w:p>
            <w:pPr>
              <w:spacing w:before="0" w:after="0" w:line="259" w:lineRule="auto"/>
              <w:jc w:val="left"/>
            </w:pPr>
            <w:r/>
            <w:r>
              <w:rPr>
                <w:rFonts w:ascii="Calibri" w:hAnsi="Calibri"/>
                <w:b/>
                <w:color w:val="243746"/>
                <w:sz w:val="17"/>
              </w:rPr>
              <w:t>Read CL</w:t>
            </w:r>
          </w:p>
        </w:tc>
        <w:tc>
          <w:tcPr>
            <w:tcW w:type="dxa" w:w="5260"/>
            <w:shd w:fill="F6F9FC"/>
          </w:tcPr>
          <w:p>
            <w:pPr>
              <w:spacing w:before="0" w:after="0" w:line="259" w:lineRule="auto"/>
              <w:jc w:val="left"/>
            </w:pPr>
            <w:r/>
            <w:r>
              <w:rPr>
                <w:rFonts w:ascii="Calibri" w:hAnsi="Calibri"/>
                <w:b w:val="0"/>
                <w:color w:val="243746"/>
                <w:sz w:val="17"/>
              </w:rPr>
              <w:t>ONE, QUORUM, ALL</w:t>
            </w:r>
          </w:p>
        </w:tc>
        <w:tc>
          <w:tcPr>
            <w:tcW w:type="dxa" w:w="1800"/>
            <w:shd w:fill="F6F9FC"/>
          </w:tcPr>
          <w:p>
            <w:pPr>
              <w:spacing w:before="0" w:after="0" w:line="259" w:lineRule="auto"/>
              <w:jc w:val="center"/>
            </w:pPr>
            <w:r/>
            <w:r>
              <w:rPr>
                <w:rFonts w:ascii="Calibri" w:hAnsi="Calibri"/>
                <w:b w:val="0"/>
                <w:color w:val="243746"/>
                <w:sz w:val="17"/>
              </w:rPr>
              <w:t>3</w:t>
            </w:r>
          </w:p>
        </w:tc>
      </w:tr>
      <w:tr>
        <w:tc>
          <w:tcPr>
            <w:tcW w:type="dxa" w:w="2300"/>
          </w:tcPr>
          <w:p>
            <w:pPr>
              <w:spacing w:before="0" w:after="0" w:line="259" w:lineRule="auto"/>
              <w:jc w:val="left"/>
            </w:pPr>
            <w:r/>
            <w:r>
              <w:rPr>
                <w:rFonts w:ascii="Calibri" w:hAnsi="Calibri"/>
                <w:b/>
                <w:color w:val="243746"/>
                <w:sz w:val="17"/>
              </w:rPr>
              <w:t>Configuration</w:t>
            </w:r>
          </w:p>
        </w:tc>
        <w:tc>
          <w:tcPr>
            <w:tcW w:type="dxa" w:w="5260"/>
          </w:tcPr>
          <w:p>
            <w:pPr>
              <w:spacing w:before="0" w:after="0" w:line="259" w:lineRule="auto"/>
              <w:jc w:val="left"/>
            </w:pPr>
            <w:r/>
            <w:r>
              <w:rPr>
                <w:rFonts w:ascii="Calibri" w:hAnsi="Calibri"/>
                <w:b w:val="0"/>
                <w:color w:val="243746"/>
                <w:sz w:val="17"/>
              </w:rPr>
              <w:t>Cartesian product of write and read CL</w:t>
            </w:r>
          </w:p>
        </w:tc>
        <w:tc>
          <w:tcPr>
            <w:tcW w:type="dxa" w:w="1800"/>
          </w:tcPr>
          <w:p>
            <w:pPr>
              <w:spacing w:before="0" w:after="0" w:line="259" w:lineRule="auto"/>
              <w:jc w:val="center"/>
            </w:pPr>
            <w:r/>
            <w:r>
              <w:rPr>
                <w:rFonts w:ascii="Calibri" w:hAnsi="Calibri"/>
                <w:b w:val="0"/>
                <w:color w:val="243746"/>
                <w:sz w:val="17"/>
              </w:rPr>
              <w:t>9</w:t>
            </w:r>
          </w:p>
        </w:tc>
      </w:tr>
      <w:tr>
        <w:tc>
          <w:tcPr>
            <w:tcW w:type="dxa" w:w="2300"/>
            <w:shd w:fill="F6F9FC"/>
          </w:tcPr>
          <w:p>
            <w:pPr>
              <w:spacing w:before="0" w:after="0" w:line="259" w:lineRule="auto"/>
              <w:jc w:val="left"/>
            </w:pPr>
            <w:r/>
            <w:r>
              <w:rPr>
                <w:rFonts w:ascii="Calibri" w:hAnsi="Calibri"/>
                <w:b/>
                <w:color w:val="243746"/>
                <w:sz w:val="17"/>
              </w:rPr>
              <w:t>Model</w:t>
            </w:r>
          </w:p>
        </w:tc>
        <w:tc>
          <w:tcPr>
            <w:tcW w:type="dxa" w:w="5260"/>
            <w:shd w:fill="F6F9FC"/>
          </w:tcPr>
          <w:p>
            <w:pPr>
              <w:spacing w:before="0" w:after="0" w:line="259" w:lineRule="auto"/>
              <w:jc w:val="left"/>
            </w:pPr>
            <w:r/>
            <w:r>
              <w:rPr>
                <w:rFonts w:ascii="Calibri" w:hAnsi="Calibri"/>
                <w:b w:val="0"/>
                <w:color w:val="243746"/>
                <w:sz w:val="17"/>
              </w:rPr>
              <w:t>RYW, MR, MW, WFR</w:t>
            </w:r>
          </w:p>
        </w:tc>
        <w:tc>
          <w:tcPr>
            <w:tcW w:type="dxa" w:w="1800"/>
            <w:shd w:fill="F6F9FC"/>
          </w:tcPr>
          <w:p>
            <w:pPr>
              <w:spacing w:before="0" w:after="0" w:line="259" w:lineRule="auto"/>
              <w:jc w:val="center"/>
            </w:pPr>
            <w:r/>
            <w:r>
              <w:rPr>
                <w:rFonts w:ascii="Calibri" w:hAnsi="Calibri"/>
                <w:b w:val="0"/>
                <w:color w:val="243746"/>
                <w:sz w:val="17"/>
              </w:rPr>
              <w:t>4</w:t>
            </w:r>
          </w:p>
        </w:tc>
      </w:tr>
      <w:tr>
        <w:tc>
          <w:tcPr>
            <w:tcW w:type="dxa" w:w="2300"/>
          </w:tcPr>
          <w:p>
            <w:pPr>
              <w:spacing w:before="0" w:after="0" w:line="259" w:lineRule="auto"/>
              <w:jc w:val="left"/>
            </w:pPr>
            <w:r/>
            <w:r>
              <w:rPr>
                <w:rFonts w:ascii="Calibri" w:hAnsi="Calibri"/>
                <w:b/>
                <w:color w:val="243746"/>
                <w:sz w:val="17"/>
              </w:rPr>
              <w:t>Scenario</w:t>
            </w:r>
          </w:p>
        </w:tc>
        <w:tc>
          <w:tcPr>
            <w:tcW w:type="dxa" w:w="5260"/>
          </w:tcPr>
          <w:p>
            <w:pPr>
              <w:spacing w:before="0" w:after="0" w:line="259" w:lineRule="auto"/>
              <w:jc w:val="left"/>
            </w:pPr>
            <w:r/>
            <w:r>
              <w:rPr>
                <w:rFonts w:ascii="Calibri" w:hAnsi="Calibri"/>
                <w:b w:val="0"/>
                <w:color w:val="243746"/>
                <w:sz w:val="17"/>
              </w:rPr>
              <w:t>normal, node_failure, network_partition</w:t>
            </w:r>
          </w:p>
        </w:tc>
        <w:tc>
          <w:tcPr>
            <w:tcW w:type="dxa" w:w="1800"/>
          </w:tcPr>
          <w:p>
            <w:pPr>
              <w:spacing w:before="0" w:after="0" w:line="259" w:lineRule="auto"/>
              <w:jc w:val="center"/>
            </w:pPr>
            <w:r/>
            <w:r>
              <w:rPr>
                <w:rFonts w:ascii="Calibri" w:hAnsi="Calibri"/>
                <w:b w:val="0"/>
                <w:color w:val="243746"/>
                <w:sz w:val="17"/>
              </w:rPr>
              <w:t>3</w:t>
            </w:r>
          </w:p>
        </w:tc>
      </w:tr>
      <w:tr>
        <w:tc>
          <w:tcPr>
            <w:tcW w:type="dxa" w:w="2300"/>
            <w:shd w:fill="F6F9FC"/>
          </w:tcPr>
          <w:p>
            <w:pPr>
              <w:spacing w:before="0" w:after="0" w:line="259" w:lineRule="auto"/>
              <w:jc w:val="left"/>
            </w:pPr>
            <w:r/>
            <w:r>
              <w:rPr>
                <w:rFonts w:ascii="Calibri" w:hAnsi="Calibri"/>
                <w:b/>
                <w:color w:val="243746"/>
                <w:sz w:val="17"/>
              </w:rPr>
              <w:t>Cells per round</w:t>
            </w:r>
          </w:p>
        </w:tc>
        <w:tc>
          <w:tcPr>
            <w:tcW w:type="dxa" w:w="5260"/>
            <w:shd w:fill="F6F9FC"/>
          </w:tcPr>
          <w:p>
            <w:pPr>
              <w:spacing w:before="0" w:after="0" w:line="259" w:lineRule="auto"/>
              <w:jc w:val="left"/>
            </w:pPr>
            <w:r/>
            <w:r>
              <w:rPr>
                <w:rFonts w:ascii="Calibri" w:hAnsi="Calibri"/>
                <w:b w:val="0"/>
                <w:color w:val="243746"/>
                <w:sz w:val="17"/>
              </w:rPr>
              <w:t>9 × 4 × 3</w:t>
            </w:r>
          </w:p>
        </w:tc>
        <w:tc>
          <w:tcPr>
            <w:tcW w:type="dxa" w:w="1800"/>
            <w:shd w:fill="F6F9FC"/>
          </w:tcPr>
          <w:p>
            <w:pPr>
              <w:spacing w:before="0" w:after="0" w:line="259" w:lineRule="auto"/>
              <w:jc w:val="center"/>
            </w:pPr>
            <w:r/>
            <w:r>
              <w:rPr>
                <w:rFonts w:ascii="Calibri" w:hAnsi="Calibri"/>
                <w:b w:val="0"/>
                <w:color w:val="243746"/>
                <w:sz w:val="17"/>
              </w:rPr>
              <w:t>108</w:t>
            </w:r>
          </w:p>
        </w:tc>
      </w:tr>
    </w:tbl>
    <w:p>
      <w:pPr>
        <w:spacing w:after="60"/>
      </w:pPr>
    </w:p>
    <w:p>
      <w:pPr>
        <w:pStyle w:val="Heading2"/>
      </w:pPr>
      <w:r>
        <w:t>6.2 Operation histories and oracles</w:t>
      </w:r>
    </w:p>
    <w:tbl>
      <w:tblPr>
        <w:tblStyle w:val="TableGrid"/>
        <w:tblW w:type="dxa" w:w="9360"/>
        <w:jc w:val="left"/>
        <w:tblLayout w:type="fixed"/>
        <w:tblLook w:firstColumn="1" w:firstRow="1" w:lastColumn="0" w:lastRow="0" w:noHBand="0" w:noVBand="1" w:val="04A0"/>
        <w:tblInd w:w="120" w:type="dxa"/>
      </w:tblPr>
      <w:tblGrid>
        <w:gridCol w:w="1100"/>
        <w:gridCol w:w="4860"/>
        <w:gridCol w:w="3400"/>
      </w:tblGrid>
      <w:tr>
        <w:trPr>
          <w:tblHeader w:val="true"/>
        </w:trPr>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Model</w:t>
            </w:r>
          </w:p>
        </w:tc>
        <w:tc>
          <w:tcPr>
            <w:tcW w:type="dxa" w:w="48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Ordered history</w:t>
            </w:r>
          </w:p>
        </w:tc>
        <w:tc>
          <w:tcPr>
            <w:tcW w:type="dxa" w:w="34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Violation witness</w:t>
            </w:r>
          </w:p>
        </w:tc>
      </w:tr>
      <w:tr>
        <w:tc>
          <w:tcPr>
            <w:tcW w:type="dxa" w:w="1100"/>
          </w:tcPr>
          <w:p>
            <w:pPr>
              <w:spacing w:before="0" w:after="0" w:line="259" w:lineRule="auto"/>
              <w:jc w:val="left"/>
            </w:pPr>
            <w:r/>
            <w:r>
              <w:rPr>
                <w:rFonts w:ascii="Calibri" w:hAnsi="Calibri"/>
                <w:b/>
                <w:color w:val="243746"/>
                <w:sz w:val="17"/>
              </w:rPr>
              <w:t>RYW</w:t>
            </w:r>
          </w:p>
        </w:tc>
        <w:tc>
          <w:tcPr>
            <w:tcW w:type="dxa" w:w="4860"/>
          </w:tcPr>
          <w:p>
            <w:pPr>
              <w:spacing w:before="0" w:after="0" w:line="259" w:lineRule="auto"/>
              <w:jc w:val="left"/>
            </w:pPr>
            <w:r/>
            <w:r>
              <w:rPr>
                <w:rFonts w:ascii="Calibri" w:hAnsi="Calibri"/>
                <w:b w:val="0"/>
                <w:color w:val="243746"/>
                <w:sz w:val="17"/>
              </w:rPr>
              <w:t>client-1 writes a=1; client-1 reads a</w:t>
            </w:r>
          </w:p>
        </w:tc>
        <w:tc>
          <w:tcPr>
            <w:tcW w:type="dxa" w:w="3400"/>
          </w:tcPr>
          <w:p>
            <w:pPr>
              <w:spacing w:before="0" w:after="0" w:line="259" w:lineRule="auto"/>
              <w:jc w:val="left"/>
            </w:pPr>
            <w:r/>
            <w:r>
              <w:rPr>
                <w:rFonts w:ascii="Calibri" w:hAnsi="Calibri"/>
                <w:b w:val="0"/>
                <w:color w:val="243746"/>
                <w:sz w:val="17"/>
              </w:rPr>
              <w:t>Read is missing or a≠1</w:t>
            </w:r>
          </w:p>
        </w:tc>
      </w:tr>
      <w:tr>
        <w:tc>
          <w:tcPr>
            <w:tcW w:type="dxa" w:w="1100"/>
            <w:shd w:fill="F6F9FC"/>
          </w:tcPr>
          <w:p>
            <w:pPr>
              <w:spacing w:before="0" w:after="0" w:line="259" w:lineRule="auto"/>
              <w:jc w:val="left"/>
            </w:pPr>
            <w:r/>
            <w:r>
              <w:rPr>
                <w:rFonts w:ascii="Calibri" w:hAnsi="Calibri"/>
                <w:b/>
                <w:color w:val="243746"/>
                <w:sz w:val="17"/>
              </w:rPr>
              <w:t>MR</w:t>
            </w:r>
          </w:p>
        </w:tc>
        <w:tc>
          <w:tcPr>
            <w:tcW w:type="dxa" w:w="4860"/>
            <w:shd w:fill="F6F9FC"/>
          </w:tcPr>
          <w:p>
            <w:pPr>
              <w:spacing w:before="0" w:after="0" w:line="259" w:lineRule="auto"/>
              <w:jc w:val="left"/>
            </w:pPr>
            <w:r/>
            <w:r>
              <w:rPr>
                <w:rFonts w:ascii="Calibri" w:hAnsi="Calibri"/>
                <w:b w:val="0"/>
                <w:color w:val="243746"/>
                <w:sz w:val="17"/>
              </w:rPr>
              <w:t>producer writes a=1; client-1 reads twice</w:t>
            </w:r>
          </w:p>
        </w:tc>
        <w:tc>
          <w:tcPr>
            <w:tcW w:type="dxa" w:w="3400"/>
            <w:shd w:fill="F6F9FC"/>
          </w:tcPr>
          <w:p>
            <w:pPr>
              <w:spacing w:before="0" w:after="0" w:line="259" w:lineRule="auto"/>
              <w:jc w:val="left"/>
            </w:pPr>
            <w:r/>
            <w:r>
              <w:rPr>
                <w:rFonts w:ascii="Calibri" w:hAnsi="Calibri"/>
                <w:b w:val="0"/>
                <w:color w:val="243746"/>
                <w:sz w:val="17"/>
              </w:rPr>
              <w:t>Second successful read is older than first</w:t>
            </w:r>
          </w:p>
        </w:tc>
      </w:tr>
      <w:tr>
        <w:tc>
          <w:tcPr>
            <w:tcW w:type="dxa" w:w="1100"/>
          </w:tcPr>
          <w:p>
            <w:pPr>
              <w:spacing w:before="0" w:after="0" w:line="259" w:lineRule="auto"/>
              <w:jc w:val="left"/>
            </w:pPr>
            <w:r/>
            <w:r>
              <w:rPr>
                <w:rFonts w:ascii="Calibri" w:hAnsi="Calibri"/>
                <w:b/>
                <w:color w:val="243746"/>
                <w:sz w:val="17"/>
              </w:rPr>
              <w:t>MW</w:t>
            </w:r>
          </w:p>
        </w:tc>
        <w:tc>
          <w:tcPr>
            <w:tcW w:type="dxa" w:w="4860"/>
          </w:tcPr>
          <w:p>
            <w:pPr>
              <w:spacing w:before="0" w:after="0" w:line="259" w:lineRule="auto"/>
              <w:jc w:val="left"/>
            </w:pPr>
            <w:r/>
            <w:r>
              <w:rPr>
                <w:rFonts w:ascii="Calibri" w:hAnsi="Calibri"/>
                <w:b w:val="0"/>
                <w:color w:val="243746"/>
                <w:sz w:val="17"/>
              </w:rPr>
              <w:t>client-1 writes a=1 then b=1; observer reads</w:t>
            </w:r>
          </w:p>
        </w:tc>
        <w:tc>
          <w:tcPr>
            <w:tcW w:type="dxa" w:w="3400"/>
          </w:tcPr>
          <w:p>
            <w:pPr>
              <w:spacing w:before="0" w:after="0" w:line="259" w:lineRule="auto"/>
              <w:jc w:val="left"/>
            </w:pPr>
            <w:r/>
            <w:r>
              <w:rPr>
                <w:rFonts w:ascii="Calibri" w:hAnsi="Calibri"/>
                <w:b w:val="0"/>
                <w:color w:val="243746"/>
                <w:sz w:val="17"/>
              </w:rPr>
              <w:t>b=1 visible while a≠1</w:t>
            </w:r>
          </w:p>
        </w:tc>
      </w:tr>
      <w:tr>
        <w:tc>
          <w:tcPr>
            <w:tcW w:type="dxa" w:w="1100"/>
            <w:shd w:fill="F6F9FC"/>
          </w:tcPr>
          <w:p>
            <w:pPr>
              <w:spacing w:before="0" w:after="0" w:line="259" w:lineRule="auto"/>
              <w:jc w:val="left"/>
            </w:pPr>
            <w:r/>
            <w:r>
              <w:rPr>
                <w:rFonts w:ascii="Calibri" w:hAnsi="Calibri"/>
                <w:b/>
                <w:color w:val="243746"/>
                <w:sz w:val="17"/>
              </w:rPr>
              <w:t>WFR</w:t>
            </w:r>
          </w:p>
        </w:tc>
        <w:tc>
          <w:tcPr>
            <w:tcW w:type="dxa" w:w="4860"/>
            <w:shd w:fill="F6F9FC"/>
          </w:tcPr>
          <w:p>
            <w:pPr>
              <w:spacing w:before="0" w:after="0" w:line="259" w:lineRule="auto"/>
              <w:jc w:val="left"/>
            </w:pPr>
            <w:r/>
            <w:r>
              <w:rPr>
                <w:rFonts w:ascii="Calibri" w:hAnsi="Calibri"/>
                <w:b w:val="0"/>
                <w:color w:val="243746"/>
                <w:sz w:val="17"/>
              </w:rPr>
              <w:t>producer writes a=1; dependent reads a and writes b=1; observer reads</w:t>
            </w:r>
          </w:p>
        </w:tc>
        <w:tc>
          <w:tcPr>
            <w:tcW w:type="dxa" w:w="3400"/>
            <w:shd w:fill="F6F9FC"/>
          </w:tcPr>
          <w:p>
            <w:pPr>
              <w:spacing w:before="0" w:after="0" w:line="259" w:lineRule="auto"/>
              <w:jc w:val="left"/>
            </w:pPr>
            <w:r/>
            <w:r>
              <w:rPr>
                <w:rFonts w:ascii="Calibri" w:hAnsi="Calibri"/>
                <w:b w:val="0"/>
                <w:color w:val="243746"/>
                <w:sz w:val="17"/>
              </w:rPr>
              <w:t>b=1 visible while a≠1, after dependency was observed</w:t>
            </w:r>
          </w:p>
        </w:tc>
      </w:tr>
    </w:tbl>
    <w:p>
      <w:pPr>
        <w:spacing w:after="60"/>
      </w:pPr>
    </w:p>
    <w:p>
      <w:r>
        <w:rPr>
          <w:rFonts w:ascii="Calibri" w:hAnsi="Calibri"/>
          <w:color w:val="243746"/>
          <w:sz w:val="21"/>
        </w:rPr>
        <w:t>If any required operation returned an error, the history was inconclusive. WFR was also inconclusive if the dependent client did not observe the prerequisite; MW was inconclusive if the final observation did not expose the successor. These coverage rules prevent absence of evidence from being counted as safety.</w:t>
      </w:r>
    </w:p>
    <w:p>
      <w:pPr>
        <w:pStyle w:val="Heading2"/>
      </w:pPr>
      <w:r>
        <w:t>6.3 Fault injection and recovery</w:t>
      </w:r>
    </w:p>
    <w:p>
      <w:pPr>
        <w:keepNext/>
        <w:jc w:val="center"/>
      </w:pPr>
      <w:r>
        <w:drawing>
          <wp:inline xmlns:a="http://schemas.openxmlformats.org/drawingml/2006/main" xmlns:pic="http://schemas.openxmlformats.org/drawingml/2006/picture">
            <wp:extent cx="5806440" cy="3549186"/>
            <wp:docPr id="6" name="Picture 6" descr="Normal, node-failure, and network-partition panels with availability expectations and recovery procedure." title="Figure 6"/>
            <wp:cNvGraphicFramePr>
              <a:graphicFrameLocks noChangeAspect="1"/>
            </wp:cNvGraphicFramePr>
            <a:graphic>
              <a:graphicData uri="http://schemas.openxmlformats.org/drawingml/2006/picture">
                <pic:pic>
                  <pic:nvPicPr>
                    <pic:cNvPr id="0" name="04_fault_injection_architecture.png"/>
                    <pic:cNvPicPr/>
                  </pic:nvPicPr>
                  <pic:blipFill>
                    <a:blip r:embed="rId16"/>
                    <a:stretch>
                      <a:fillRect/>
                    </a:stretch>
                  </pic:blipFill>
                  <pic:spPr>
                    <a:xfrm>
                      <a:off x="0" y="0"/>
                      <a:ext cx="5806440" cy="3549186"/>
                    </a:xfrm>
                    <a:prstGeom prst="rect"/>
                  </pic:spPr>
                </pic:pic>
              </a:graphicData>
            </a:graphic>
          </wp:inline>
        </w:drawing>
      </w:r>
    </w:p>
    <w:p>
      <w:pPr>
        <w:pStyle w:val="Caption"/>
      </w:pPr>
      <w:r>
        <w:t>Figure 6. Fault-injection architecture and recovery gate.</w:t>
      </w:r>
    </w:p>
    <w:p>
      <w:pPr>
        <w:pStyle w:val="EvidenceTag"/>
        <w:jc w:val="center"/>
      </w:pPr>
      <w:r>
        <w:t>Source: experiments/faults.py and docs/execution-guide.md</w:t>
      </w:r>
    </w:p>
    <w:p>
      <w:r>
        <w:rPr>
          <w:rFonts w:ascii="Calibri" w:hAnsi="Calibri"/>
          <w:color w:val="243746"/>
          <w:sz w:val="21"/>
        </w:rPr>
        <w:t>Node failure used docker compose kill -s SIGKILL on a uniformly sampled victim. The runner recorded its identity, required both survivors to report the exact victim IP as DN in consecutive observations, executed the workload, restarted the same service with its volume, and required every observer to report three UN nodes before continuing.</w:t>
      </w:r>
    </w:p>
    <w:p>
      <w:r>
        <w:rPr>
          <w:rFonts w:ascii="Calibri" w:hAnsi="Calibri"/>
          <w:color w:val="243746"/>
          <w:sz w:val="21"/>
        </w:rPr>
        <w:t>Network partitioning installed bilateral DROP rules in a project-only LAB_FAULT chain for TCP ports 7000/7001 across a sampled 2|1 cut. Port 9042 remained reachable from the client. The current configuration specifies 15 seconds of stabilization, a 15-second hold, a 20-second post-recovery settle period, a 90-second failure-detection timeout, and a 600-second recovery timeout. Recovery removed only project rules and verified healthy membership.</w:t>
      </w:r>
    </w:p>
    <w:p>
      <w:pPr>
        <w:pStyle w:val="Heading2"/>
      </w:pPr>
      <w:r>
        <w:t>6.4 Controls</w:t>
      </w:r>
    </w:p>
    <w:p>
      <w:r>
        <w:rPr>
          <w:rFonts w:ascii="Calibri" w:hAnsi="Calibri"/>
          <w:color w:val="243746"/>
          <w:sz w:val="21"/>
        </w:rPr>
        <w:t>Read-repair controls compared BLOCKING and NONE tables across overlapping quorum components. Timestamp controls issued an ALL write at T+100, then another at T+50, then read at ALL; returning the T+100 value confirmed timestamp ordering. Control results were not pooled with the 57,168 main histories.</w:t>
      </w:r>
    </w:p>
    <w:p>
      <w:r>
        <w:br w:type="page"/>
      </w:r>
    </w:p>
    <w:p>
      <w:pPr>
        <w:pStyle w:val="Heading1"/>
      </w:pPr>
      <w:r>
        <w:t>7. Evidence and analysis method</w:t>
      </w:r>
    </w:p>
    <w:p>
      <w:pPr>
        <w:keepNext/>
        <w:jc w:val="center"/>
      </w:pPr>
      <w:r>
        <w:drawing>
          <wp:inline xmlns:a="http://schemas.openxmlformats.org/drawingml/2006/main" xmlns:pic="http://schemas.openxmlformats.org/drawingml/2006/picture">
            <wp:extent cx="5806440" cy="3549186"/>
            <wp:docPr id="7" name="Picture 7" descr="Configuration, Python runner, client, Cassandra, raw evidence, validation, CSV exports, and report layer." title="Figure 7"/>
            <wp:cNvGraphicFramePr>
              <a:graphicFrameLocks noChangeAspect="1"/>
            </wp:cNvGraphicFramePr>
            <a:graphic>
              <a:graphicData uri="http://schemas.openxmlformats.org/drawingml/2006/picture">
                <pic:pic>
                  <pic:nvPicPr>
                    <pic:cNvPr id="0" name="05_experiment_evidence_pipeline.png"/>
                    <pic:cNvPicPr/>
                  </pic:nvPicPr>
                  <pic:blipFill>
                    <a:blip r:embed="rId17"/>
                    <a:stretch>
                      <a:fillRect/>
                    </a:stretch>
                  </pic:blipFill>
                  <pic:spPr>
                    <a:xfrm>
                      <a:off x="0" y="0"/>
                      <a:ext cx="5806440" cy="3549186"/>
                    </a:xfrm>
                    <a:prstGeom prst="rect"/>
                  </pic:spPr>
                </pic:pic>
              </a:graphicData>
            </a:graphic>
          </wp:inline>
        </w:drawing>
      </w:r>
    </w:p>
    <w:p>
      <w:pPr>
        <w:pStyle w:val="Caption"/>
      </w:pPr>
      <w:r>
        <w:t>Figure 7. Evidence pipeline from parameterized execution to report tables.</w:t>
      </w:r>
    </w:p>
    <w:p>
      <w:pPr>
        <w:pStyle w:val="EvidenceTag"/>
        <w:jc w:val="center"/>
      </w:pPr>
      <w:r>
        <w:t>Source: report/report_generation/export_evidence.py and verify_exports.py</w:t>
      </w:r>
    </w:p>
    <w:p>
      <w:pPr>
        <w:pStyle w:val="Heading2"/>
      </w:pPr>
      <w:r>
        <w:t>7.1 Inclusion and evidence status</w:t>
      </w:r>
    </w:p>
    <w:p>
      <w:r>
        <w:rPr>
          <w:rFonts w:ascii="Calibri" w:hAnsi="Calibri"/>
          <w:color w:val="243746"/>
          <w:sz w:val="21"/>
        </w:rPr>
        <w:t>The exporter found 33 runs matching the two permitted design/schema pairs. Fourteen incomplete runs were retained for audit and excluded because completion.json recorded completed=false. Nineteen completed runs passed structural checks for identity, expected counts, unique trial IDs, unique keys, and JSON record form. The export verifier reconciled 74,024 main rows plus 1,668 control rows and validated the saved hashes.</w:t>
      </w:r>
    </w:p>
    <w:tbl>
      <w:tblPr>
        <w:tblStyle w:val="TableGrid"/>
        <w:tblW w:type="dxa" w:w="9360"/>
        <w:jc w:val="left"/>
        <w:tblLayout w:type="fixed"/>
        <w:tblLook w:firstColumn="1" w:firstRow="1" w:lastColumn="0" w:lastRow="0" w:noHBand="0" w:noVBand="1" w:val="04A0"/>
        <w:tblInd w:w="120" w:type="dxa"/>
      </w:tblPr>
      <w:tblGrid>
        <w:gridCol w:w="1450"/>
        <w:gridCol w:w="2080"/>
        <w:gridCol w:w="650"/>
        <w:gridCol w:w="650"/>
        <w:gridCol w:w="1250"/>
        <w:gridCol w:w="800"/>
        <w:gridCol w:w="2480"/>
      </w:tblGrid>
      <w:tr>
        <w:trPr>
          <w:tblHeader w:val="true"/>
        </w:trPr>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Population</w:t>
            </w:r>
          </w:p>
        </w:tc>
        <w:tc>
          <w:tcPr>
            <w:tcW w:type="dxa" w:w="208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Design</w:t>
            </w:r>
          </w:p>
        </w:tc>
        <w:tc>
          <w:tcPr>
            <w:tcW w:type="dxa" w:w="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Schema</w:t>
            </w:r>
          </w:p>
        </w:tc>
        <w:tc>
          <w:tcPr>
            <w:tcW w:type="dxa" w:w="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Runs</w:t>
            </w:r>
          </w:p>
        </w:tc>
        <w:tc>
          <w:tcPr>
            <w:tcW w:type="dxa" w:w="12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Main histories</w:t>
            </w:r>
          </w:p>
        </w:tc>
        <w:tc>
          <w:tcPr>
            <w:tcW w:type="dxa" w:w="8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Profile</w:t>
            </w:r>
          </w:p>
        </w:tc>
        <w:tc>
          <w:tcPr>
            <w:tcW w:type="dxa" w:w="248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Use</w:t>
            </w:r>
          </w:p>
        </w:tc>
      </w:tr>
      <w:tr>
        <w:tc>
          <w:tcPr>
            <w:tcW w:type="dxa" w:w="1450"/>
          </w:tcPr>
          <w:p>
            <w:pPr>
              <w:spacing w:before="0" w:after="0" w:line="259" w:lineRule="auto"/>
              <w:jc w:val="left"/>
            </w:pPr>
            <w:r/>
            <w:r>
              <w:rPr>
                <w:rFonts w:ascii="Calibri" w:hAnsi="Calibri"/>
                <w:b/>
                <w:color w:val="243746"/>
                <w:sz w:val="15"/>
              </w:rPr>
              <w:t>Random coordinator</w:t>
            </w:r>
          </w:p>
        </w:tc>
        <w:tc>
          <w:tcPr>
            <w:tcW w:type="dxa" w:w="2080"/>
          </w:tcPr>
          <w:p>
            <w:pPr>
              <w:spacing w:before="0" w:after="0" w:line="259" w:lineRule="auto"/>
              <w:jc w:val="left"/>
            </w:pPr>
            <w:r/>
            <w:r>
              <w:rPr>
                <w:rFonts w:ascii="Calibri" w:hAnsi="Calibri"/>
                <w:b w:val="0"/>
                <w:color w:val="243746"/>
                <w:sz w:val="15"/>
              </w:rPr>
              <w:t>random-coordinator-v2</w:t>
            </w:r>
          </w:p>
        </w:tc>
        <w:tc>
          <w:tcPr>
            <w:tcW w:type="dxa" w:w="650"/>
          </w:tcPr>
          <w:p>
            <w:pPr>
              <w:spacing w:before="0" w:after="0" w:line="259" w:lineRule="auto"/>
              <w:jc w:val="center"/>
            </w:pPr>
            <w:r/>
            <w:r>
              <w:rPr>
                <w:rFonts w:ascii="Calibri" w:hAnsi="Calibri"/>
                <w:b w:val="0"/>
                <w:color w:val="243746"/>
                <w:sz w:val="15"/>
              </w:rPr>
              <w:t>v3</w:t>
            </w:r>
          </w:p>
        </w:tc>
        <w:tc>
          <w:tcPr>
            <w:tcW w:type="dxa" w:w="650"/>
          </w:tcPr>
          <w:p>
            <w:pPr>
              <w:spacing w:before="0" w:after="0" w:line="259" w:lineRule="auto"/>
              <w:jc w:val="center"/>
            </w:pPr>
            <w:r/>
            <w:r>
              <w:rPr>
                <w:rFonts w:ascii="Calibri" w:hAnsi="Calibri"/>
                <w:b w:val="0"/>
                <w:color w:val="243746"/>
                <w:sz w:val="15"/>
              </w:rPr>
              <w:t>13</w:t>
            </w:r>
          </w:p>
        </w:tc>
        <w:tc>
          <w:tcPr>
            <w:tcW w:type="dxa" w:w="1250"/>
          </w:tcPr>
          <w:p>
            <w:pPr>
              <w:spacing w:before="0" w:after="0" w:line="259" w:lineRule="auto"/>
              <w:jc w:val="center"/>
            </w:pPr>
            <w:r/>
            <w:r>
              <w:rPr>
                <w:rFonts w:ascii="Calibri" w:hAnsi="Calibri"/>
                <w:b w:val="0"/>
                <w:color w:val="243746"/>
                <w:sz w:val="15"/>
              </w:rPr>
              <w:t>12,780</w:t>
            </w:r>
          </w:p>
        </w:tc>
        <w:tc>
          <w:tcPr>
            <w:tcW w:type="dxa" w:w="800"/>
          </w:tcPr>
          <w:p>
            <w:pPr>
              <w:spacing w:before="0" w:after="0" w:line="259" w:lineRule="auto"/>
              <w:jc w:val="center"/>
            </w:pPr>
            <w:r/>
            <w:r>
              <w:rPr>
                <w:rFonts w:ascii="Calibri" w:hAnsi="Calibri"/>
                <w:b w:val="0"/>
                <w:color w:val="243746"/>
                <w:sz w:val="15"/>
              </w:rPr>
              <w:t>Full</w:t>
            </w:r>
          </w:p>
        </w:tc>
        <w:tc>
          <w:tcPr>
            <w:tcW w:type="dxa" w:w="2480"/>
          </w:tcPr>
          <w:p>
            <w:pPr>
              <w:spacing w:before="0" w:after="0" w:line="259" w:lineRule="auto"/>
              <w:jc w:val="left"/>
            </w:pPr>
            <w:r/>
            <w:r>
              <w:rPr>
                <w:rFonts w:ascii="Calibri" w:hAnsi="Calibri"/>
                <w:b w:val="0"/>
                <w:color w:val="243746"/>
                <w:sz w:val="15"/>
              </w:rPr>
              <w:t>Primary measured population</w:t>
            </w:r>
          </w:p>
        </w:tc>
      </w:tr>
      <w:tr>
        <w:tc>
          <w:tcPr>
            <w:tcW w:type="dxa" w:w="1450"/>
            <w:shd w:fill="F6F9FC"/>
          </w:tcPr>
          <w:p>
            <w:pPr>
              <w:spacing w:before="0" w:after="0" w:line="259" w:lineRule="auto"/>
              <w:jc w:val="left"/>
            </w:pPr>
            <w:r/>
            <w:r>
              <w:rPr>
                <w:rFonts w:ascii="Calibri" w:hAnsi="Calibri"/>
                <w:b/>
                <w:color w:val="243746"/>
                <w:sz w:val="15"/>
              </w:rPr>
              <w:t>Token-aware driver</w:t>
            </w:r>
          </w:p>
        </w:tc>
        <w:tc>
          <w:tcPr>
            <w:tcW w:type="dxa" w:w="2080"/>
            <w:shd w:fill="F6F9FC"/>
          </w:tcPr>
          <w:p>
            <w:pPr>
              <w:spacing w:before="0" w:after="0" w:line="259" w:lineRule="auto"/>
              <w:jc w:val="left"/>
            </w:pPr>
            <w:r/>
            <w:r>
              <w:rPr>
                <w:rFonts w:ascii="Calibri" w:hAnsi="Calibri"/>
                <w:b w:val="0"/>
                <w:color w:val="243746"/>
                <w:sz w:val="15"/>
              </w:rPr>
              <w:t>cassandra-driver-policy-v3</w:t>
            </w:r>
          </w:p>
        </w:tc>
        <w:tc>
          <w:tcPr>
            <w:tcW w:type="dxa" w:w="650"/>
            <w:shd w:fill="F6F9FC"/>
          </w:tcPr>
          <w:p>
            <w:pPr>
              <w:spacing w:before="0" w:after="0" w:line="259" w:lineRule="auto"/>
              <w:jc w:val="center"/>
            </w:pPr>
            <w:r/>
            <w:r>
              <w:rPr>
                <w:rFonts w:ascii="Calibri" w:hAnsi="Calibri"/>
                <w:b w:val="0"/>
                <w:color w:val="243746"/>
                <w:sz w:val="15"/>
              </w:rPr>
              <w:t>v4</w:t>
            </w:r>
          </w:p>
        </w:tc>
        <w:tc>
          <w:tcPr>
            <w:tcW w:type="dxa" w:w="650"/>
            <w:shd w:fill="F6F9FC"/>
          </w:tcPr>
          <w:p>
            <w:pPr>
              <w:spacing w:before="0" w:after="0" w:line="259" w:lineRule="auto"/>
              <w:jc w:val="center"/>
            </w:pPr>
            <w:r/>
            <w:r>
              <w:rPr>
                <w:rFonts w:ascii="Calibri" w:hAnsi="Calibri"/>
                <w:b w:val="0"/>
                <w:color w:val="243746"/>
                <w:sz w:val="15"/>
              </w:rPr>
              <w:t>6</w:t>
            </w:r>
          </w:p>
        </w:tc>
        <w:tc>
          <w:tcPr>
            <w:tcW w:type="dxa" w:w="1250"/>
            <w:shd w:fill="F6F9FC"/>
          </w:tcPr>
          <w:p>
            <w:pPr>
              <w:spacing w:before="0" w:after="0" w:line="259" w:lineRule="auto"/>
              <w:jc w:val="center"/>
            </w:pPr>
            <w:r/>
            <w:r>
              <w:rPr>
                <w:rFonts w:ascii="Calibri" w:hAnsi="Calibri"/>
                <w:b w:val="0"/>
                <w:color w:val="243746"/>
                <w:sz w:val="15"/>
              </w:rPr>
              <w:t>44,388</w:t>
            </w:r>
          </w:p>
        </w:tc>
        <w:tc>
          <w:tcPr>
            <w:tcW w:type="dxa" w:w="800"/>
            <w:shd w:fill="F6F9FC"/>
          </w:tcPr>
          <w:p>
            <w:pPr>
              <w:spacing w:before="0" w:after="0" w:line="259" w:lineRule="auto"/>
              <w:jc w:val="center"/>
            </w:pPr>
            <w:r/>
            <w:r>
              <w:rPr>
                <w:rFonts w:ascii="Calibri" w:hAnsi="Calibri"/>
                <w:b w:val="0"/>
                <w:color w:val="243746"/>
                <w:sz w:val="15"/>
              </w:rPr>
              <w:t>Smoke</w:t>
            </w:r>
          </w:p>
        </w:tc>
        <w:tc>
          <w:tcPr>
            <w:tcW w:type="dxa" w:w="2480"/>
            <w:shd w:fill="F6F9FC"/>
          </w:tcPr>
          <w:p>
            <w:pPr>
              <w:spacing w:before="0" w:after="0" w:line="259" w:lineRule="auto"/>
              <w:jc w:val="left"/>
            </w:pPr>
            <w:r/>
            <w:r>
              <w:rPr>
                <w:rFonts w:ascii="Calibri" w:hAnsi="Calibri"/>
                <w:b w:val="0"/>
                <w:color w:val="243746"/>
                <w:sz w:val="15"/>
              </w:rPr>
              <w:t>Exploratory measured population</w:t>
            </w:r>
          </w:p>
        </w:tc>
      </w:tr>
      <w:tr>
        <w:tc>
          <w:tcPr>
            <w:tcW w:type="dxa" w:w="1450"/>
          </w:tcPr>
          <w:p>
            <w:pPr>
              <w:spacing w:before="0" w:after="0" w:line="259" w:lineRule="auto"/>
              <w:jc w:val="left"/>
            </w:pPr>
            <w:r/>
            <w:r>
              <w:rPr>
                <w:rFonts w:ascii="Calibri" w:hAnsi="Calibri"/>
                <w:b/>
                <w:color w:val="243746"/>
                <w:sz w:val="15"/>
              </w:rPr>
              <w:t>Excluded incomplete</w:t>
            </w:r>
          </w:p>
        </w:tc>
        <w:tc>
          <w:tcPr>
            <w:tcW w:type="dxa" w:w="2080"/>
          </w:tcPr>
          <w:p>
            <w:pPr>
              <w:spacing w:before="0" w:after="0" w:line="259" w:lineRule="auto"/>
              <w:jc w:val="left"/>
            </w:pPr>
            <w:r/>
            <w:r>
              <w:rPr>
                <w:rFonts w:ascii="Calibri" w:hAnsi="Calibri"/>
                <w:b w:val="0"/>
                <w:color w:val="243746"/>
                <w:sz w:val="15"/>
              </w:rPr>
              <w:t>approved families</w:t>
            </w:r>
          </w:p>
        </w:tc>
        <w:tc>
          <w:tcPr>
            <w:tcW w:type="dxa" w:w="650"/>
          </w:tcPr>
          <w:p>
            <w:pPr>
              <w:spacing w:before="0" w:after="0" w:line="259" w:lineRule="auto"/>
              <w:jc w:val="center"/>
            </w:pPr>
            <w:r/>
            <w:r>
              <w:rPr>
                <w:rFonts w:ascii="Calibri" w:hAnsi="Calibri"/>
                <w:b w:val="0"/>
                <w:color w:val="243746"/>
                <w:sz w:val="15"/>
              </w:rPr>
              <w:t>mixed</w:t>
            </w:r>
          </w:p>
        </w:tc>
        <w:tc>
          <w:tcPr>
            <w:tcW w:type="dxa" w:w="650"/>
          </w:tcPr>
          <w:p>
            <w:pPr>
              <w:spacing w:before="0" w:after="0" w:line="259" w:lineRule="auto"/>
              <w:jc w:val="center"/>
            </w:pPr>
            <w:r/>
            <w:r>
              <w:rPr>
                <w:rFonts w:ascii="Calibri" w:hAnsi="Calibri"/>
                <w:b w:val="0"/>
                <w:color w:val="243746"/>
                <w:sz w:val="15"/>
              </w:rPr>
              <w:t>14</w:t>
            </w:r>
          </w:p>
        </w:tc>
        <w:tc>
          <w:tcPr>
            <w:tcW w:type="dxa" w:w="1250"/>
          </w:tcPr>
          <w:p>
            <w:pPr>
              <w:spacing w:before="0" w:after="0" w:line="259" w:lineRule="auto"/>
              <w:jc w:val="center"/>
            </w:pPr>
            <w:r/>
            <w:r>
              <w:rPr>
                <w:rFonts w:ascii="Calibri" w:hAnsi="Calibri"/>
                <w:b w:val="0"/>
                <w:color w:val="243746"/>
                <w:sz w:val="15"/>
              </w:rPr>
              <w:t>16,856 saved main rows</w:t>
            </w:r>
          </w:p>
        </w:tc>
        <w:tc>
          <w:tcPr>
            <w:tcW w:type="dxa" w:w="800"/>
          </w:tcPr>
          <w:p>
            <w:pPr>
              <w:spacing w:before="0" w:after="0" w:line="259" w:lineRule="auto"/>
              <w:jc w:val="center"/>
            </w:pPr>
            <w:r/>
            <w:r>
              <w:rPr>
                <w:rFonts w:ascii="Calibri" w:hAnsi="Calibri"/>
                <w:b w:val="0"/>
                <w:color w:val="243746"/>
                <w:sz w:val="15"/>
              </w:rPr>
              <w:t>Incomplete</w:t>
            </w:r>
          </w:p>
        </w:tc>
        <w:tc>
          <w:tcPr>
            <w:tcW w:type="dxa" w:w="2480"/>
          </w:tcPr>
          <w:p>
            <w:pPr>
              <w:spacing w:before="0" w:after="0" w:line="259" w:lineRule="auto"/>
              <w:jc w:val="left"/>
            </w:pPr>
            <w:r/>
            <w:r>
              <w:rPr>
                <w:rFonts w:ascii="Calibri" w:hAnsi="Calibri"/>
                <w:b w:val="0"/>
                <w:color w:val="243746"/>
                <w:sz w:val="15"/>
              </w:rPr>
              <w:t>Audit only; excluded from totals</w:t>
            </w:r>
          </w:p>
        </w:tc>
      </w:tr>
    </w:tbl>
    <w:p>
      <w:pPr>
        <w:spacing w:after="60"/>
      </w:pPr>
    </w:p>
    <w:p>
      <w:pPr>
        <w:pStyle w:val="EvidenceTag"/>
        <w:spacing w:before="80" w:after="80"/>
      </w:pPr>
      <w:r>
        <w:t>Table 5 source: run_level_violation_matrix.csv and export verifier output.</w:t>
      </w:r>
    </w:p>
    <w:p>
      <w:pPr>
        <w:pStyle w:val="Callout"/>
        <w:shd w:fill="FFF4DD"/>
        <w:pBdr>
          <w:top w:val="single" w:sz="8" w:color="C47A14" w:space="5"/>
          <w:left w:val="single" w:sz="8" w:color="C47A14" w:space="5"/>
          <w:bottom w:val="single" w:sz="8" w:color="C47A14" w:space="5"/>
          <w:right w:val="single" w:sz="8" w:color="C47A14" w:space="5"/>
        </w:pBdr>
      </w:pPr>
      <w:r>
        <w:rPr>
          <w:rFonts w:ascii="Calibri" w:hAnsi="Calibri"/>
          <w:b/>
          <w:color w:val="C47A14"/>
          <w:sz w:val="21"/>
        </w:rPr>
        <w:t xml:space="preserve">Profile caveat  </w:t>
      </w:r>
      <w:r>
        <w:rPr>
          <w:rFonts w:ascii="Calibri" w:hAnsi="Calibri"/>
          <w:color w:val="17324D"/>
          <w:sz w:val="21"/>
        </w:rPr>
        <w:t>The exporter's included_in_analysis flag is a structural eligibility flag. It does not override the report action plan's instruction to exclude smoke tests from confirmatory claims. Token-aware measurements remain useful for diagnosis and design comparison, but the final submission should add a verified full-profile token-aware run.</w:t>
      </w:r>
    </w:p>
    <w:p>
      <w:pPr>
        <w:pStyle w:val="Heading2"/>
      </w:pPr>
      <w:r>
        <w:t>7.2 Outcome vocabulary and denominators</w:t>
      </w:r>
    </w:p>
    <w:tbl>
      <w:tblPr>
        <w:tblStyle w:val="TableGrid"/>
        <w:tblW w:type="dxa" w:w="9360"/>
        <w:jc w:val="left"/>
        <w:tblLayout w:type="fixed"/>
        <w:tblLook w:firstColumn="1" w:firstRow="1" w:lastColumn="0" w:lastRow="0" w:noHBand="0" w:noVBand="1" w:val="04A0"/>
        <w:tblInd w:w="120" w:type="dxa"/>
      </w:tblPr>
      <w:tblGrid>
        <w:gridCol w:w="2000"/>
        <w:gridCol w:w="4700"/>
        <w:gridCol w:w="2660"/>
      </w:tblGrid>
      <w:tr>
        <w:trPr>
          <w:tblHeader w:val="true"/>
        </w:trPr>
        <w:tc>
          <w:tcPr>
            <w:tcW w:type="dxa" w:w="2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Outcome</w:t>
            </w:r>
          </w:p>
        </w:tc>
        <w:tc>
          <w:tcPr>
            <w:tcW w:type="dxa" w:w="4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Meaning</w:t>
            </w:r>
          </w:p>
        </w:tc>
        <w:tc>
          <w:tcPr>
            <w:tcW w:type="dxa" w:w="26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Rate treatment</w:t>
            </w:r>
          </w:p>
        </w:tc>
      </w:tr>
      <w:tr>
        <w:tc>
          <w:tcPr>
            <w:tcW w:type="dxa" w:w="2000"/>
          </w:tcPr>
          <w:p>
            <w:pPr>
              <w:spacing w:before="0" w:after="0" w:line="259" w:lineRule="auto"/>
              <w:jc w:val="left"/>
            </w:pPr>
            <w:r/>
            <w:r>
              <w:rPr>
                <w:rFonts w:ascii="Calibri" w:hAnsi="Calibri"/>
                <w:b/>
                <w:color w:val="243746"/>
                <w:sz w:val="17"/>
              </w:rPr>
              <w:t>Violation</w:t>
            </w:r>
          </w:p>
        </w:tc>
        <w:tc>
          <w:tcPr>
            <w:tcW w:type="dxa" w:w="4700"/>
          </w:tcPr>
          <w:p>
            <w:pPr>
              <w:spacing w:before="0" w:after="0" w:line="259" w:lineRule="auto"/>
              <w:jc w:val="left"/>
            </w:pPr>
            <w:r/>
            <w:r>
              <w:rPr>
                <w:rFonts w:ascii="Calibri" w:hAnsi="Calibri"/>
                <w:b w:val="0"/>
                <w:color w:val="243746"/>
                <w:sz w:val="17"/>
              </w:rPr>
              <w:t>All required observations completed and contradicted the model oracle.</w:t>
            </w:r>
          </w:p>
        </w:tc>
        <w:tc>
          <w:tcPr>
            <w:tcW w:type="dxa" w:w="2660"/>
          </w:tcPr>
          <w:p>
            <w:pPr>
              <w:spacing w:before="0" w:after="0" w:line="259" w:lineRule="auto"/>
              <w:jc w:val="left"/>
            </w:pPr>
            <w:r/>
            <w:r>
              <w:rPr>
                <w:rFonts w:ascii="Calibri" w:hAnsi="Calibri"/>
                <w:b w:val="0"/>
                <w:color w:val="243746"/>
                <w:sz w:val="17"/>
              </w:rPr>
              <w:t>Included in evaluable denominator</w:t>
            </w:r>
          </w:p>
        </w:tc>
      </w:tr>
      <w:tr>
        <w:tc>
          <w:tcPr>
            <w:tcW w:type="dxa" w:w="2000"/>
            <w:shd w:fill="F6F9FC"/>
          </w:tcPr>
          <w:p>
            <w:pPr>
              <w:spacing w:before="0" w:after="0" w:line="259" w:lineRule="auto"/>
              <w:jc w:val="left"/>
            </w:pPr>
            <w:r/>
            <w:r>
              <w:rPr>
                <w:rFonts w:ascii="Calibri" w:hAnsi="Calibri"/>
                <w:b/>
                <w:color w:val="243746"/>
                <w:sz w:val="17"/>
              </w:rPr>
              <w:t>No violation observed</w:t>
            </w:r>
          </w:p>
        </w:tc>
        <w:tc>
          <w:tcPr>
            <w:tcW w:type="dxa" w:w="4700"/>
            <w:shd w:fill="F6F9FC"/>
          </w:tcPr>
          <w:p>
            <w:pPr>
              <w:spacing w:before="0" w:after="0" w:line="259" w:lineRule="auto"/>
              <w:jc w:val="left"/>
            </w:pPr>
            <w:r/>
            <w:r>
              <w:rPr>
                <w:rFonts w:ascii="Calibri" w:hAnsi="Calibri"/>
                <w:b w:val="0"/>
                <w:color w:val="243746"/>
                <w:sz w:val="17"/>
              </w:rPr>
              <w:t>Required observations completed and did not contradict the oracle.</w:t>
            </w:r>
          </w:p>
        </w:tc>
        <w:tc>
          <w:tcPr>
            <w:tcW w:type="dxa" w:w="2660"/>
            <w:shd w:fill="F6F9FC"/>
          </w:tcPr>
          <w:p>
            <w:pPr>
              <w:spacing w:before="0" w:after="0" w:line="259" w:lineRule="auto"/>
              <w:jc w:val="left"/>
            </w:pPr>
            <w:r/>
            <w:r>
              <w:rPr>
                <w:rFonts w:ascii="Calibri" w:hAnsi="Calibri"/>
                <w:b w:val="0"/>
                <w:color w:val="243746"/>
                <w:sz w:val="17"/>
              </w:rPr>
              <w:t>Included in evaluable denominator</w:t>
            </w:r>
          </w:p>
        </w:tc>
      </w:tr>
      <w:tr>
        <w:tc>
          <w:tcPr>
            <w:tcW w:type="dxa" w:w="2000"/>
          </w:tcPr>
          <w:p>
            <w:pPr>
              <w:spacing w:before="0" w:after="0" w:line="259" w:lineRule="auto"/>
              <w:jc w:val="left"/>
            </w:pPr>
            <w:r/>
            <w:r>
              <w:rPr>
                <w:rFonts w:ascii="Calibri" w:hAnsi="Calibri"/>
                <w:b/>
                <w:color w:val="243746"/>
                <w:sz w:val="17"/>
              </w:rPr>
              <w:t>Inconclusive</w:t>
            </w:r>
          </w:p>
        </w:tc>
        <w:tc>
          <w:tcPr>
            <w:tcW w:type="dxa" w:w="4700"/>
          </w:tcPr>
          <w:p>
            <w:pPr>
              <w:spacing w:before="0" w:after="0" w:line="259" w:lineRule="auto"/>
              <w:jc w:val="left"/>
            </w:pPr>
            <w:r/>
            <w:r>
              <w:rPr>
                <w:rFonts w:ascii="Calibri" w:hAnsi="Calibri"/>
                <w:b w:val="0"/>
                <w:color w:val="243746"/>
                <w:sz w:val="17"/>
              </w:rPr>
              <w:t>An operation failed or an oracle precondition was not exposed.</w:t>
            </w:r>
          </w:p>
        </w:tc>
        <w:tc>
          <w:tcPr>
            <w:tcW w:type="dxa" w:w="2660"/>
          </w:tcPr>
          <w:p>
            <w:pPr>
              <w:spacing w:before="0" w:after="0" w:line="259" w:lineRule="auto"/>
              <w:jc w:val="left"/>
            </w:pPr>
            <w:r/>
            <w:r>
              <w:rPr>
                <w:rFonts w:ascii="Calibri" w:hAnsi="Calibri"/>
                <w:b w:val="0"/>
                <w:color w:val="243746"/>
                <w:sz w:val="17"/>
              </w:rPr>
              <w:t>Excluded from violation-rate denominator</w:t>
            </w:r>
          </w:p>
        </w:tc>
      </w:tr>
    </w:tbl>
    <w:p>
      <w:pPr>
        <w:spacing w:after="60"/>
      </w:pPr>
    </w:p>
    <w:p>
      <w:r>
        <w:rPr>
          <w:rFonts w:ascii="Calibri" w:hAnsi="Calibri"/>
          <w:color w:val="243746"/>
          <w:sz w:val="21"/>
        </w:rPr>
        <w:t>Violation rate is violations divided by evaluable histories. Evaluability rate is evaluable histories divided by all attempted main histories. Both are needed: a configuration can appear safe simply because the required operations rarely completed.</w:t>
      </w:r>
    </w:p>
    <w:p>
      <w:r>
        <w:br w:type="page"/>
      </w:r>
    </w:p>
    <w:p>
      <w:pPr>
        <w:pStyle w:val="Heading1"/>
      </w:pPr>
      <w:r>
        <w:t>8. Results</w:t>
      </w:r>
    </w:p>
    <w:p>
      <w:pPr>
        <w:pStyle w:val="Callout"/>
        <w:shd w:fill="EAF7F1"/>
        <w:pBdr>
          <w:top w:val="single" w:sz="8" w:color="2E8B68" w:space="5"/>
          <w:left w:val="single" w:sz="8" w:color="2E8B68" w:space="5"/>
          <w:bottom w:val="single" w:sz="8" w:color="2E8B68" w:space="5"/>
          <w:right w:val="single" w:sz="8" w:color="2E8B68" w:space="5"/>
        </w:pBdr>
      </w:pPr>
      <w:r>
        <w:rPr>
          <w:rFonts w:ascii="Calibri" w:hAnsi="Calibri"/>
          <w:b/>
          <w:color w:val="2E8B68"/>
          <w:sz w:val="21"/>
        </w:rPr>
        <w:t xml:space="preserve">Result in one sentence  </w:t>
      </w:r>
      <w:r>
        <w:rPr>
          <w:rFonts w:ascii="Calibri" w:hAnsi="Calibri"/>
          <w:color w:val="17324D"/>
          <w:sz w:val="21"/>
        </w:rPr>
        <w:t>Observed violations were confined to network partitions and weak/non-intersecting visibility paths; failures with stronger replica requirements appeared primarily as inconclusive unavailability.</w:t>
      </w:r>
    </w:p>
    <w:p>
      <w:pPr>
        <w:pStyle w:val="Heading2"/>
      </w:pPr>
      <w:r>
        <w:t>8.1 Overall outcomes</w:t>
      </w:r>
    </w:p>
    <w:tbl>
      <w:tblPr>
        <w:tblStyle w:val="TableGrid"/>
        <w:tblW w:type="dxa" w:w="9360"/>
        <w:jc w:val="left"/>
        <w:tblLayout w:type="fixed"/>
        <w:tblLook w:firstColumn="1" w:firstRow="1" w:lastColumn="0" w:lastRow="0" w:noHBand="0" w:noVBand="1" w:val="04A0"/>
        <w:tblInd w:w="120" w:type="dxa"/>
      </w:tblPr>
      <w:tblGrid>
        <w:gridCol w:w="1450"/>
        <w:gridCol w:w="1300"/>
        <w:gridCol w:w="900"/>
        <w:gridCol w:w="900"/>
        <w:gridCol w:w="850"/>
        <w:gridCol w:w="1000"/>
        <w:gridCol w:w="1450"/>
        <w:gridCol w:w="1510"/>
      </w:tblGrid>
      <w:tr>
        <w:trPr>
          <w:tblHeader w:val="true"/>
        </w:trPr>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Evidence status</w:t>
            </w:r>
          </w:p>
        </w:tc>
        <w:tc>
          <w:tcPr>
            <w:tcW w:type="dxa" w:w="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Attempted</w:t>
            </w:r>
          </w:p>
        </w:tc>
        <w:tc>
          <w:tcPr>
            <w:tcW w:type="dxa" w:w="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Violations</w:t>
            </w:r>
          </w:p>
        </w:tc>
        <w:tc>
          <w:tcPr>
            <w:tcW w:type="dxa" w:w="1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Inconclusive</w:t>
            </w:r>
          </w:p>
        </w:tc>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Violation/evaluable</w:t>
            </w:r>
          </w:p>
        </w:tc>
        <w:tc>
          <w:tcPr>
            <w:tcW w:type="dxa" w:w="15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Evaluability</w:t>
            </w:r>
          </w:p>
        </w:tc>
      </w:tr>
      <w:tr>
        <w:tc>
          <w:tcPr>
            <w:tcW w:type="dxa" w:w="1450"/>
          </w:tcPr>
          <w:p>
            <w:pPr>
              <w:spacing w:before="0" w:after="0" w:line="259" w:lineRule="auto"/>
              <w:jc w:val="left"/>
            </w:pPr>
            <w:r/>
            <w:r>
              <w:rPr>
                <w:rFonts w:ascii="Calibri" w:hAnsi="Calibri"/>
                <w:b/>
                <w:color w:val="243746"/>
                <w:sz w:val="15"/>
              </w:rPr>
              <w:t>Random coordinator</w:t>
            </w:r>
          </w:p>
        </w:tc>
        <w:tc>
          <w:tcPr>
            <w:tcW w:type="dxa" w:w="1300"/>
          </w:tcPr>
          <w:p>
            <w:pPr>
              <w:spacing w:before="0" w:after="0" w:line="259" w:lineRule="auto"/>
              <w:jc w:val="left"/>
            </w:pPr>
            <w:r/>
            <w:r>
              <w:rPr>
                <w:rFonts w:ascii="Calibri" w:hAnsi="Calibri"/>
                <w:b w:val="0"/>
                <w:color w:val="243746"/>
                <w:sz w:val="15"/>
              </w:rPr>
              <w:t>Primary/full</w:t>
            </w:r>
          </w:p>
        </w:tc>
        <w:tc>
          <w:tcPr>
            <w:tcW w:type="dxa" w:w="900"/>
          </w:tcPr>
          <w:p>
            <w:pPr>
              <w:spacing w:before="0" w:after="0" w:line="259" w:lineRule="auto"/>
              <w:jc w:val="center"/>
            </w:pPr>
            <w:r/>
            <w:r>
              <w:rPr>
                <w:rFonts w:ascii="Calibri" w:hAnsi="Calibri"/>
                <w:b w:val="0"/>
                <w:color w:val="243746"/>
                <w:sz w:val="15"/>
              </w:rPr>
              <w:t>12,780</w:t>
            </w:r>
          </w:p>
        </w:tc>
        <w:tc>
          <w:tcPr>
            <w:tcW w:type="dxa" w:w="900"/>
          </w:tcPr>
          <w:p>
            <w:pPr>
              <w:spacing w:before="0" w:after="0" w:line="259" w:lineRule="auto"/>
              <w:jc w:val="center"/>
            </w:pPr>
            <w:r/>
            <w:r>
              <w:rPr>
                <w:rFonts w:ascii="Calibri" w:hAnsi="Calibri"/>
                <w:b w:val="0"/>
                <w:color w:val="243746"/>
                <w:sz w:val="15"/>
              </w:rPr>
              <w:t>7,231</w:t>
            </w:r>
          </w:p>
        </w:tc>
        <w:tc>
          <w:tcPr>
            <w:tcW w:type="dxa" w:w="850"/>
          </w:tcPr>
          <w:p>
            <w:pPr>
              <w:spacing w:before="0" w:after="0" w:line="259" w:lineRule="auto"/>
              <w:jc w:val="center"/>
            </w:pPr>
            <w:r/>
            <w:r>
              <w:rPr>
                <w:rFonts w:ascii="Calibri" w:hAnsi="Calibri"/>
                <w:b w:val="0"/>
                <w:color w:val="243746"/>
                <w:sz w:val="15"/>
              </w:rPr>
              <w:t>194</w:t>
            </w:r>
          </w:p>
        </w:tc>
        <w:tc>
          <w:tcPr>
            <w:tcW w:type="dxa" w:w="1000"/>
          </w:tcPr>
          <w:p>
            <w:pPr>
              <w:spacing w:before="0" w:after="0" w:line="259" w:lineRule="auto"/>
              <w:jc w:val="center"/>
            </w:pPr>
            <w:r/>
            <w:r>
              <w:rPr>
                <w:rFonts w:ascii="Calibri" w:hAnsi="Calibri"/>
                <w:b w:val="0"/>
                <w:color w:val="243746"/>
                <w:sz w:val="15"/>
              </w:rPr>
              <w:t>5,549</w:t>
            </w:r>
          </w:p>
        </w:tc>
        <w:tc>
          <w:tcPr>
            <w:tcW w:type="dxa" w:w="1450"/>
          </w:tcPr>
          <w:p>
            <w:pPr>
              <w:spacing w:before="0" w:after="0" w:line="259" w:lineRule="auto"/>
              <w:jc w:val="center"/>
            </w:pPr>
            <w:r/>
            <w:r>
              <w:rPr>
                <w:rFonts w:ascii="Calibri" w:hAnsi="Calibri"/>
                <w:b w:val="0"/>
                <w:color w:val="243746"/>
                <w:sz w:val="15"/>
              </w:rPr>
              <w:t>2.683%</w:t>
            </w:r>
          </w:p>
        </w:tc>
        <w:tc>
          <w:tcPr>
            <w:tcW w:type="dxa" w:w="1510"/>
          </w:tcPr>
          <w:p>
            <w:pPr>
              <w:spacing w:before="0" w:after="0" w:line="259" w:lineRule="auto"/>
              <w:jc w:val="center"/>
            </w:pPr>
            <w:r/>
            <w:r>
              <w:rPr>
                <w:rFonts w:ascii="Calibri" w:hAnsi="Calibri"/>
                <w:b w:val="0"/>
                <w:color w:val="243746"/>
                <w:sz w:val="15"/>
              </w:rPr>
              <w:t>56.58%</w:t>
            </w:r>
          </w:p>
        </w:tc>
      </w:tr>
      <w:tr>
        <w:tc>
          <w:tcPr>
            <w:tcW w:type="dxa" w:w="1450"/>
            <w:shd w:fill="F6F9FC"/>
          </w:tcPr>
          <w:p>
            <w:pPr>
              <w:spacing w:before="0" w:after="0" w:line="259" w:lineRule="auto"/>
              <w:jc w:val="left"/>
            </w:pPr>
            <w:r/>
            <w:r>
              <w:rPr>
                <w:rFonts w:ascii="Calibri" w:hAnsi="Calibri"/>
                <w:b/>
                <w:color w:val="243746"/>
                <w:sz w:val="15"/>
              </w:rPr>
              <w:t>Token-aware driver</w:t>
            </w:r>
          </w:p>
        </w:tc>
        <w:tc>
          <w:tcPr>
            <w:tcW w:type="dxa" w:w="1300"/>
            <w:shd w:fill="F6F9FC"/>
          </w:tcPr>
          <w:p>
            <w:pPr>
              <w:spacing w:before="0" w:after="0" w:line="259" w:lineRule="auto"/>
              <w:jc w:val="left"/>
            </w:pPr>
            <w:r/>
            <w:r>
              <w:rPr>
                <w:rFonts w:ascii="Calibri" w:hAnsi="Calibri"/>
                <w:b w:val="0"/>
                <w:color w:val="243746"/>
                <w:sz w:val="15"/>
              </w:rPr>
              <w:t>Exploratory/smoke</w:t>
            </w:r>
          </w:p>
        </w:tc>
        <w:tc>
          <w:tcPr>
            <w:tcW w:type="dxa" w:w="900"/>
            <w:shd w:fill="F6F9FC"/>
          </w:tcPr>
          <w:p>
            <w:pPr>
              <w:spacing w:before="0" w:after="0" w:line="259" w:lineRule="auto"/>
              <w:jc w:val="center"/>
            </w:pPr>
            <w:r/>
            <w:r>
              <w:rPr>
                <w:rFonts w:ascii="Calibri" w:hAnsi="Calibri"/>
                <w:b w:val="0"/>
                <w:color w:val="243746"/>
                <w:sz w:val="15"/>
              </w:rPr>
              <w:t>44,388</w:t>
            </w:r>
          </w:p>
        </w:tc>
        <w:tc>
          <w:tcPr>
            <w:tcW w:type="dxa" w:w="900"/>
            <w:shd w:fill="F6F9FC"/>
          </w:tcPr>
          <w:p>
            <w:pPr>
              <w:spacing w:before="0" w:after="0" w:line="259" w:lineRule="auto"/>
              <w:jc w:val="center"/>
            </w:pPr>
            <w:r/>
            <w:r>
              <w:rPr>
                <w:rFonts w:ascii="Calibri" w:hAnsi="Calibri"/>
                <w:b w:val="0"/>
                <w:color w:val="243746"/>
                <w:sz w:val="15"/>
              </w:rPr>
              <w:t>26,222</w:t>
            </w:r>
          </w:p>
        </w:tc>
        <w:tc>
          <w:tcPr>
            <w:tcW w:type="dxa" w:w="850"/>
            <w:shd w:fill="F6F9FC"/>
          </w:tcPr>
          <w:p>
            <w:pPr>
              <w:spacing w:before="0" w:after="0" w:line="259" w:lineRule="auto"/>
              <w:jc w:val="center"/>
            </w:pPr>
            <w:r/>
            <w:r>
              <w:rPr>
                <w:rFonts w:ascii="Calibri" w:hAnsi="Calibri"/>
                <w:b w:val="0"/>
                <w:color w:val="243746"/>
                <w:sz w:val="15"/>
              </w:rPr>
              <w:t>6</w:t>
            </w:r>
          </w:p>
        </w:tc>
        <w:tc>
          <w:tcPr>
            <w:tcW w:type="dxa" w:w="1000"/>
            <w:shd w:fill="F6F9FC"/>
          </w:tcPr>
          <w:p>
            <w:pPr>
              <w:spacing w:before="0" w:after="0" w:line="259" w:lineRule="auto"/>
              <w:jc w:val="center"/>
            </w:pPr>
            <w:r/>
            <w:r>
              <w:rPr>
                <w:rFonts w:ascii="Calibri" w:hAnsi="Calibri"/>
                <w:b w:val="0"/>
                <w:color w:val="243746"/>
                <w:sz w:val="15"/>
              </w:rPr>
              <w:t>18,166</w:t>
            </w:r>
          </w:p>
        </w:tc>
        <w:tc>
          <w:tcPr>
            <w:tcW w:type="dxa" w:w="1450"/>
            <w:shd w:fill="F6F9FC"/>
          </w:tcPr>
          <w:p>
            <w:pPr>
              <w:spacing w:before="0" w:after="0" w:line="259" w:lineRule="auto"/>
              <w:jc w:val="center"/>
            </w:pPr>
            <w:r/>
            <w:r>
              <w:rPr>
                <w:rFonts w:ascii="Calibri" w:hAnsi="Calibri"/>
                <w:b w:val="0"/>
                <w:color w:val="243746"/>
                <w:sz w:val="15"/>
              </w:rPr>
              <w:t>0.023%</w:t>
            </w:r>
          </w:p>
        </w:tc>
        <w:tc>
          <w:tcPr>
            <w:tcW w:type="dxa" w:w="1510"/>
            <w:shd w:fill="F6F9FC"/>
          </w:tcPr>
          <w:p>
            <w:pPr>
              <w:spacing w:before="0" w:after="0" w:line="259" w:lineRule="auto"/>
              <w:jc w:val="center"/>
            </w:pPr>
            <w:r/>
            <w:r>
              <w:rPr>
                <w:rFonts w:ascii="Calibri" w:hAnsi="Calibri"/>
                <w:b w:val="0"/>
                <w:color w:val="243746"/>
                <w:sz w:val="15"/>
              </w:rPr>
              <w:t>59.07%</w:t>
            </w:r>
          </w:p>
        </w:tc>
      </w:tr>
    </w:tbl>
    <w:p>
      <w:pPr>
        <w:spacing w:after="60"/>
      </w:pPr>
    </w:p>
    <w:p>
      <w:pPr>
        <w:pStyle w:val="EvidenceTag"/>
        <w:spacing w:before="80" w:after="80"/>
      </w:pPr>
      <w:r>
        <w:t>Table 7 source: eligible main_trial rows in trial_level_evidence.csv.</w:t>
      </w:r>
    </w:p>
    <w:p>
      <w:pPr>
        <w:keepNext/>
        <w:jc w:val="center"/>
      </w:pPr>
      <w:r>
        <w:drawing>
          <wp:inline xmlns:a="http://schemas.openxmlformats.org/drawingml/2006/main" xmlns:pic="http://schemas.openxmlformats.org/drawingml/2006/picture">
            <wp:extent cx="5806440" cy="3161284"/>
            <wp:docPr id="8" name="Picture 8" descr="Stacked bars showing no violation observed, inconclusive, and violation counts for each setup and scenario." title="Figure 8"/>
            <wp:cNvGraphicFramePr>
              <a:graphicFrameLocks noChangeAspect="1"/>
            </wp:cNvGraphicFramePr>
            <a:graphic>
              <a:graphicData uri="http://schemas.openxmlformats.org/drawingml/2006/picture">
                <pic:pic>
                  <pic:nvPicPr>
                    <pic:cNvPr id="0" name="08_outcome_composition.png"/>
                    <pic:cNvPicPr/>
                  </pic:nvPicPr>
                  <pic:blipFill>
                    <a:blip r:embed="rId18"/>
                    <a:stretch>
                      <a:fillRect/>
                    </a:stretch>
                  </pic:blipFill>
                  <pic:spPr>
                    <a:xfrm>
                      <a:off x="0" y="0"/>
                      <a:ext cx="5806440" cy="3161284"/>
                    </a:xfrm>
                    <a:prstGeom prst="rect"/>
                  </pic:spPr>
                </pic:pic>
              </a:graphicData>
            </a:graphic>
          </wp:inline>
        </w:drawing>
      </w:r>
    </w:p>
    <w:p>
      <w:pPr>
        <w:pStyle w:val="Caption"/>
      </w:pPr>
      <w:r>
        <w:t>Figure 8. Outcome composition by routing setup and scenario.</w:t>
      </w:r>
    </w:p>
    <w:p>
      <w:pPr>
        <w:pStyle w:val="EvidenceTag"/>
        <w:jc w:val="center"/>
      </w:pPr>
      <w:r>
        <w:t>Source: trial_level_evidence.csv; 57,168 eligible main histories</w:t>
      </w:r>
    </w:p>
    <w:p>
      <w:pPr>
        <w:pStyle w:val="Heading2"/>
      </w:pPr>
      <w:r>
        <w:t>8.2 Scenario effects</w:t>
      </w:r>
    </w:p>
    <w:tbl>
      <w:tblPr>
        <w:tblStyle w:val="TableGrid"/>
        <w:tblW w:type="dxa" w:w="9360"/>
        <w:jc w:val="left"/>
        <w:tblLayout w:type="fixed"/>
        <w:tblLook w:firstColumn="1" w:firstRow="1" w:lastColumn="0" w:lastRow="0" w:noHBand="0" w:noVBand="1" w:val="04A0"/>
        <w:tblInd w:w="120" w:type="dxa"/>
      </w:tblPr>
      <w:tblGrid>
        <w:gridCol w:w="1000"/>
        <w:gridCol w:w="1300"/>
        <w:gridCol w:w="850"/>
        <w:gridCol w:w="850"/>
        <w:gridCol w:w="650"/>
        <w:gridCol w:w="850"/>
        <w:gridCol w:w="1000"/>
        <w:gridCol w:w="1000"/>
        <w:gridCol w:w="1860"/>
      </w:tblGrid>
      <w:tr>
        <w:trPr>
          <w:tblHeader w:val="true"/>
        </w:trPr>
        <w:tc>
          <w:tcPr>
            <w:tcW w:type="dxa" w:w="1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Scenario</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Attempted</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Inconcl.</w:t>
            </w:r>
          </w:p>
        </w:tc>
        <w:tc>
          <w:tcPr>
            <w:tcW w:type="dxa" w:w="1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Viol./eval.</w:t>
            </w:r>
          </w:p>
        </w:tc>
        <w:tc>
          <w:tcPr>
            <w:tcW w:type="dxa" w:w="1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Evaluability</w:t>
            </w:r>
          </w:p>
        </w:tc>
        <w:tc>
          <w:tcPr>
            <w:tcW w:type="dxa" w:w="18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Assessment</w:t>
            </w:r>
          </w:p>
        </w:tc>
      </w:tr>
      <w:tr>
        <w:tc>
          <w:tcPr>
            <w:tcW w:type="dxa" w:w="1000"/>
          </w:tcPr>
          <w:p>
            <w:pPr>
              <w:spacing w:before="0" w:after="0" w:line="259" w:lineRule="auto"/>
              <w:jc w:val="left"/>
            </w:pPr>
            <w:r/>
            <w:r>
              <w:rPr>
                <w:rFonts w:ascii="Calibri" w:hAnsi="Calibri"/>
                <w:b w:val="0"/>
                <w:color w:val="243746"/>
                <w:sz w:val="14"/>
              </w:rPr>
              <w:t>Random</w:t>
            </w:r>
          </w:p>
        </w:tc>
        <w:tc>
          <w:tcPr>
            <w:tcW w:type="dxa" w:w="1300"/>
          </w:tcPr>
          <w:p>
            <w:pPr>
              <w:spacing w:before="0" w:after="0" w:line="259" w:lineRule="auto"/>
              <w:jc w:val="left"/>
            </w:pPr>
            <w:r/>
            <w:r>
              <w:rPr>
                <w:rFonts w:ascii="Calibri" w:hAnsi="Calibri"/>
                <w:b w:val="0"/>
                <w:color w:val="243746"/>
                <w:sz w:val="14"/>
              </w:rPr>
              <w:t>Normal</w:t>
            </w:r>
          </w:p>
        </w:tc>
        <w:tc>
          <w:tcPr>
            <w:tcW w:type="dxa" w:w="850"/>
          </w:tcPr>
          <w:p>
            <w:pPr>
              <w:spacing w:before="0" w:after="0" w:line="259" w:lineRule="auto"/>
              <w:jc w:val="center"/>
            </w:pPr>
            <w:r/>
            <w:r>
              <w:rPr>
                <w:rFonts w:ascii="Calibri" w:hAnsi="Calibri"/>
                <w:b w:val="0"/>
                <w:color w:val="243746"/>
                <w:sz w:val="14"/>
              </w:rPr>
              <w:t>4,260</w:t>
            </w:r>
          </w:p>
        </w:tc>
        <w:tc>
          <w:tcPr>
            <w:tcW w:type="dxa" w:w="850"/>
          </w:tcPr>
          <w:p>
            <w:pPr>
              <w:spacing w:before="0" w:after="0" w:line="259" w:lineRule="auto"/>
              <w:jc w:val="center"/>
            </w:pPr>
            <w:r/>
            <w:r>
              <w:rPr>
                <w:rFonts w:ascii="Calibri" w:hAnsi="Calibri"/>
                <w:b w:val="0"/>
                <w:color w:val="243746"/>
                <w:sz w:val="14"/>
              </w:rPr>
              <w:t>4,259</w:t>
            </w:r>
          </w:p>
        </w:tc>
        <w:tc>
          <w:tcPr>
            <w:tcW w:type="dxa" w:w="650"/>
          </w:tcPr>
          <w:p>
            <w:pPr>
              <w:spacing w:before="0" w:after="0" w:line="259" w:lineRule="auto"/>
              <w:jc w:val="center"/>
            </w:pPr>
            <w:r/>
            <w:r>
              <w:rPr>
                <w:rFonts w:ascii="Calibri" w:hAnsi="Calibri"/>
                <w:b w:val="0"/>
                <w:color w:val="243746"/>
                <w:sz w:val="14"/>
              </w:rPr>
              <w:t>0</w:t>
            </w:r>
          </w:p>
        </w:tc>
        <w:tc>
          <w:tcPr>
            <w:tcW w:type="dxa" w:w="850"/>
          </w:tcPr>
          <w:p>
            <w:pPr>
              <w:spacing w:before="0" w:after="0" w:line="259" w:lineRule="auto"/>
              <w:jc w:val="center"/>
            </w:pPr>
            <w:r/>
            <w:r>
              <w:rPr>
                <w:rFonts w:ascii="Calibri" w:hAnsi="Calibri"/>
                <w:b w:val="0"/>
                <w:color w:val="243746"/>
                <w:sz w:val="14"/>
              </w:rPr>
              <w:t>1</w:t>
            </w:r>
          </w:p>
        </w:tc>
        <w:tc>
          <w:tcPr>
            <w:tcW w:type="dxa" w:w="1000"/>
          </w:tcPr>
          <w:p>
            <w:pPr>
              <w:spacing w:before="0" w:after="0" w:line="259" w:lineRule="auto"/>
              <w:jc w:val="center"/>
            </w:pPr>
            <w:r/>
            <w:r>
              <w:rPr>
                <w:rFonts w:ascii="Calibri" w:hAnsi="Calibri"/>
                <w:b w:val="0"/>
                <w:color w:val="243746"/>
                <w:sz w:val="14"/>
              </w:rPr>
              <w:t>0.00%</w:t>
            </w:r>
          </w:p>
        </w:tc>
        <w:tc>
          <w:tcPr>
            <w:tcW w:type="dxa" w:w="1000"/>
          </w:tcPr>
          <w:p>
            <w:pPr>
              <w:spacing w:before="0" w:after="0" w:line="259" w:lineRule="auto"/>
              <w:jc w:val="center"/>
            </w:pPr>
            <w:r/>
            <w:r>
              <w:rPr>
                <w:rFonts w:ascii="Calibri" w:hAnsi="Calibri"/>
                <w:b w:val="0"/>
                <w:color w:val="243746"/>
                <w:sz w:val="14"/>
              </w:rPr>
              <w:t>99.98%</w:t>
            </w:r>
          </w:p>
        </w:tc>
        <w:tc>
          <w:tcPr>
            <w:tcW w:type="dxa" w:w="1860"/>
          </w:tcPr>
          <w:p>
            <w:pPr>
              <w:spacing w:before="0" w:after="0" w:line="259" w:lineRule="auto"/>
              <w:jc w:val="center"/>
            </w:pPr>
            <w:r/>
            <w:r>
              <w:rPr>
                <w:rFonts w:ascii="Calibri" w:hAnsi="Calibri"/>
                <w:b w:val="0"/>
                <w:color w:val="243746"/>
                <w:sz w:val="14"/>
              </w:rPr>
              <w:t>[x] Expected</w:t>
            </w:r>
          </w:p>
        </w:tc>
      </w:tr>
      <w:tr>
        <w:tc>
          <w:tcPr>
            <w:tcW w:type="dxa" w:w="1000"/>
            <w:shd w:fill="F6F9FC"/>
          </w:tcPr>
          <w:p>
            <w:pPr>
              <w:spacing w:before="0" w:after="0" w:line="259" w:lineRule="auto"/>
              <w:jc w:val="left"/>
            </w:pPr>
            <w:r/>
            <w:r>
              <w:rPr>
                <w:rFonts w:ascii="Calibri" w:hAnsi="Calibri"/>
                <w:b w:val="0"/>
                <w:color w:val="243746"/>
                <w:sz w:val="14"/>
              </w:rPr>
              <w:t>Random</w:t>
            </w:r>
          </w:p>
        </w:tc>
        <w:tc>
          <w:tcPr>
            <w:tcW w:type="dxa" w:w="1300"/>
            <w:shd w:fill="F6F9FC"/>
          </w:tcPr>
          <w:p>
            <w:pPr>
              <w:spacing w:before="0" w:after="0" w:line="259" w:lineRule="auto"/>
              <w:jc w:val="left"/>
            </w:pPr>
            <w:r/>
            <w:r>
              <w:rPr>
                <w:rFonts w:ascii="Calibri" w:hAnsi="Calibri"/>
                <w:b w:val="0"/>
                <w:color w:val="243746"/>
                <w:sz w:val="14"/>
              </w:rPr>
              <w:t>Node failure</w:t>
            </w:r>
          </w:p>
        </w:tc>
        <w:tc>
          <w:tcPr>
            <w:tcW w:type="dxa" w:w="850"/>
            <w:shd w:fill="F6F9FC"/>
          </w:tcPr>
          <w:p>
            <w:pPr>
              <w:spacing w:before="0" w:after="0" w:line="259" w:lineRule="auto"/>
              <w:jc w:val="center"/>
            </w:pPr>
            <w:r/>
            <w:r>
              <w:rPr>
                <w:rFonts w:ascii="Calibri" w:hAnsi="Calibri"/>
                <w:b w:val="0"/>
                <w:color w:val="243746"/>
                <w:sz w:val="14"/>
              </w:rPr>
              <w:t>4,260</w:t>
            </w:r>
          </w:p>
        </w:tc>
        <w:tc>
          <w:tcPr>
            <w:tcW w:type="dxa" w:w="850"/>
            <w:shd w:fill="F6F9FC"/>
          </w:tcPr>
          <w:p>
            <w:pPr>
              <w:spacing w:before="0" w:after="0" w:line="259" w:lineRule="auto"/>
              <w:jc w:val="center"/>
            </w:pPr>
            <w:r/>
            <w:r>
              <w:rPr>
                <w:rFonts w:ascii="Calibri" w:hAnsi="Calibri"/>
                <w:b w:val="0"/>
                <w:color w:val="243746"/>
                <w:sz w:val="14"/>
              </w:rPr>
              <w:t>2,000</w:t>
            </w:r>
          </w:p>
        </w:tc>
        <w:tc>
          <w:tcPr>
            <w:tcW w:type="dxa" w:w="650"/>
            <w:shd w:fill="F6F9FC"/>
          </w:tcPr>
          <w:p>
            <w:pPr>
              <w:spacing w:before="0" w:after="0" w:line="259" w:lineRule="auto"/>
              <w:jc w:val="center"/>
            </w:pPr>
            <w:r/>
            <w:r>
              <w:rPr>
                <w:rFonts w:ascii="Calibri" w:hAnsi="Calibri"/>
                <w:b w:val="0"/>
                <w:color w:val="243746"/>
                <w:sz w:val="14"/>
              </w:rPr>
              <w:t>0</w:t>
            </w:r>
          </w:p>
        </w:tc>
        <w:tc>
          <w:tcPr>
            <w:tcW w:type="dxa" w:w="850"/>
            <w:shd w:fill="F6F9FC"/>
          </w:tcPr>
          <w:p>
            <w:pPr>
              <w:spacing w:before="0" w:after="0" w:line="259" w:lineRule="auto"/>
              <w:jc w:val="center"/>
            </w:pPr>
            <w:r/>
            <w:r>
              <w:rPr>
                <w:rFonts w:ascii="Calibri" w:hAnsi="Calibri"/>
                <w:b w:val="0"/>
                <w:color w:val="243746"/>
                <w:sz w:val="14"/>
              </w:rPr>
              <w:t>2,260</w:t>
            </w:r>
          </w:p>
        </w:tc>
        <w:tc>
          <w:tcPr>
            <w:tcW w:type="dxa" w:w="1000"/>
            <w:shd w:fill="F6F9FC"/>
          </w:tcPr>
          <w:p>
            <w:pPr>
              <w:spacing w:before="0" w:after="0" w:line="259" w:lineRule="auto"/>
              <w:jc w:val="center"/>
            </w:pPr>
            <w:r/>
            <w:r>
              <w:rPr>
                <w:rFonts w:ascii="Calibri" w:hAnsi="Calibri"/>
                <w:b w:val="0"/>
                <w:color w:val="243746"/>
                <w:sz w:val="14"/>
              </w:rPr>
              <w:t>0.00%</w:t>
            </w:r>
          </w:p>
        </w:tc>
        <w:tc>
          <w:tcPr>
            <w:tcW w:type="dxa" w:w="1000"/>
            <w:shd w:fill="F6F9FC"/>
          </w:tcPr>
          <w:p>
            <w:pPr>
              <w:spacing w:before="0" w:after="0" w:line="259" w:lineRule="auto"/>
              <w:jc w:val="center"/>
            </w:pPr>
            <w:r/>
            <w:r>
              <w:rPr>
                <w:rFonts w:ascii="Calibri" w:hAnsi="Calibri"/>
                <w:b w:val="0"/>
                <w:color w:val="243746"/>
                <w:sz w:val="14"/>
              </w:rPr>
              <w:t>46.95%</w:t>
            </w:r>
          </w:p>
        </w:tc>
        <w:tc>
          <w:tcPr>
            <w:tcW w:type="dxa" w:w="1860"/>
            <w:shd w:fill="F6F9FC"/>
          </w:tcPr>
          <w:p>
            <w:pPr>
              <w:spacing w:before="0" w:after="0" w:line="259" w:lineRule="auto"/>
              <w:jc w:val="center"/>
            </w:pPr>
            <w:r/>
            <w:r>
              <w:rPr>
                <w:rFonts w:ascii="Calibri" w:hAnsi="Calibri"/>
                <w:b w:val="0"/>
                <w:color w:val="243746"/>
                <w:sz w:val="14"/>
              </w:rPr>
              <w:t>[x] Expected</w:t>
            </w:r>
          </w:p>
        </w:tc>
      </w:tr>
      <w:tr>
        <w:tc>
          <w:tcPr>
            <w:tcW w:type="dxa" w:w="1000"/>
          </w:tcPr>
          <w:p>
            <w:pPr>
              <w:spacing w:before="0" w:after="0" w:line="259" w:lineRule="auto"/>
              <w:jc w:val="left"/>
            </w:pPr>
            <w:r/>
            <w:r>
              <w:rPr>
                <w:rFonts w:ascii="Calibri" w:hAnsi="Calibri"/>
                <w:b w:val="0"/>
                <w:color w:val="243746"/>
                <w:sz w:val="14"/>
              </w:rPr>
              <w:t>Random</w:t>
            </w:r>
          </w:p>
        </w:tc>
        <w:tc>
          <w:tcPr>
            <w:tcW w:type="dxa" w:w="1300"/>
          </w:tcPr>
          <w:p>
            <w:pPr>
              <w:spacing w:before="0" w:after="0" w:line="259" w:lineRule="auto"/>
              <w:jc w:val="left"/>
            </w:pPr>
            <w:r/>
            <w:r>
              <w:rPr>
                <w:rFonts w:ascii="Calibri" w:hAnsi="Calibri"/>
                <w:b w:val="0"/>
                <w:color w:val="243746"/>
                <w:sz w:val="14"/>
              </w:rPr>
              <w:t>Network partition</w:t>
            </w:r>
          </w:p>
        </w:tc>
        <w:tc>
          <w:tcPr>
            <w:tcW w:type="dxa" w:w="850"/>
          </w:tcPr>
          <w:p>
            <w:pPr>
              <w:spacing w:before="0" w:after="0" w:line="259" w:lineRule="auto"/>
              <w:jc w:val="center"/>
            </w:pPr>
            <w:r/>
            <w:r>
              <w:rPr>
                <w:rFonts w:ascii="Calibri" w:hAnsi="Calibri"/>
                <w:b w:val="0"/>
                <w:color w:val="243746"/>
                <w:sz w:val="14"/>
              </w:rPr>
              <w:t>4,260</w:t>
            </w:r>
          </w:p>
        </w:tc>
        <w:tc>
          <w:tcPr>
            <w:tcW w:type="dxa" w:w="850"/>
          </w:tcPr>
          <w:p>
            <w:pPr>
              <w:spacing w:before="0" w:after="0" w:line="259" w:lineRule="auto"/>
              <w:jc w:val="center"/>
            </w:pPr>
            <w:r/>
            <w:r>
              <w:rPr>
                <w:rFonts w:ascii="Calibri" w:hAnsi="Calibri"/>
                <w:b w:val="0"/>
                <w:color w:val="243746"/>
                <w:sz w:val="14"/>
              </w:rPr>
              <w:t>972</w:t>
            </w:r>
          </w:p>
        </w:tc>
        <w:tc>
          <w:tcPr>
            <w:tcW w:type="dxa" w:w="650"/>
          </w:tcPr>
          <w:p>
            <w:pPr>
              <w:spacing w:before="0" w:after="0" w:line="259" w:lineRule="auto"/>
              <w:jc w:val="center"/>
            </w:pPr>
            <w:r/>
            <w:r>
              <w:rPr>
                <w:rFonts w:ascii="Calibri" w:hAnsi="Calibri"/>
                <w:b w:val="0"/>
                <w:color w:val="243746"/>
                <w:sz w:val="14"/>
              </w:rPr>
              <w:t>194</w:t>
            </w:r>
          </w:p>
        </w:tc>
        <w:tc>
          <w:tcPr>
            <w:tcW w:type="dxa" w:w="850"/>
          </w:tcPr>
          <w:p>
            <w:pPr>
              <w:spacing w:before="0" w:after="0" w:line="259" w:lineRule="auto"/>
              <w:jc w:val="center"/>
            </w:pPr>
            <w:r/>
            <w:r>
              <w:rPr>
                <w:rFonts w:ascii="Calibri" w:hAnsi="Calibri"/>
                <w:b w:val="0"/>
                <w:color w:val="243746"/>
                <w:sz w:val="14"/>
              </w:rPr>
              <w:t>3,288</w:t>
            </w:r>
          </w:p>
        </w:tc>
        <w:tc>
          <w:tcPr>
            <w:tcW w:type="dxa" w:w="1000"/>
          </w:tcPr>
          <w:p>
            <w:pPr>
              <w:spacing w:before="0" w:after="0" w:line="259" w:lineRule="auto"/>
              <w:jc w:val="center"/>
            </w:pPr>
            <w:r/>
            <w:r>
              <w:rPr>
                <w:rFonts w:ascii="Calibri" w:hAnsi="Calibri"/>
                <w:b w:val="0"/>
                <w:color w:val="243746"/>
                <w:sz w:val="14"/>
              </w:rPr>
              <w:t>19.96%</w:t>
            </w:r>
          </w:p>
        </w:tc>
        <w:tc>
          <w:tcPr>
            <w:tcW w:type="dxa" w:w="1000"/>
          </w:tcPr>
          <w:p>
            <w:pPr>
              <w:spacing w:before="0" w:after="0" w:line="259" w:lineRule="auto"/>
              <w:jc w:val="center"/>
            </w:pPr>
            <w:r/>
            <w:r>
              <w:rPr>
                <w:rFonts w:ascii="Calibri" w:hAnsi="Calibri"/>
                <w:b w:val="0"/>
                <w:color w:val="243746"/>
                <w:sz w:val="14"/>
              </w:rPr>
              <w:t>22.82%</w:t>
            </w:r>
          </w:p>
        </w:tc>
        <w:tc>
          <w:tcPr>
            <w:tcW w:type="dxa" w:w="1860"/>
          </w:tcPr>
          <w:p>
            <w:pPr>
              <w:spacing w:before="0" w:after="0" w:line="259" w:lineRule="auto"/>
              <w:jc w:val="center"/>
            </w:pPr>
            <w:r/>
            <w:r>
              <w:rPr>
                <w:rFonts w:ascii="Calibri" w:hAnsi="Calibri"/>
                <w:b w:val="0"/>
                <w:color w:val="243746"/>
                <w:sz w:val="14"/>
              </w:rPr>
              <w:t>[~] Plausible</w:t>
            </w:r>
          </w:p>
        </w:tc>
      </w:tr>
      <w:tr>
        <w:tc>
          <w:tcPr>
            <w:tcW w:type="dxa" w:w="1000"/>
            <w:shd w:fill="F6F9FC"/>
          </w:tcPr>
          <w:p>
            <w:pPr>
              <w:spacing w:before="0" w:after="0" w:line="259" w:lineRule="auto"/>
              <w:jc w:val="left"/>
            </w:pPr>
            <w:r/>
            <w:r>
              <w:rPr>
                <w:rFonts w:ascii="Calibri" w:hAnsi="Calibri"/>
                <w:b w:val="0"/>
                <w:color w:val="243746"/>
                <w:sz w:val="14"/>
              </w:rPr>
              <w:t>Token-aware*</w:t>
            </w:r>
          </w:p>
        </w:tc>
        <w:tc>
          <w:tcPr>
            <w:tcW w:type="dxa" w:w="1300"/>
            <w:shd w:fill="F6F9FC"/>
          </w:tcPr>
          <w:p>
            <w:pPr>
              <w:spacing w:before="0" w:after="0" w:line="259" w:lineRule="auto"/>
              <w:jc w:val="left"/>
            </w:pPr>
            <w:r/>
            <w:r>
              <w:rPr>
                <w:rFonts w:ascii="Calibri" w:hAnsi="Calibri"/>
                <w:b w:val="0"/>
                <w:color w:val="243746"/>
                <w:sz w:val="14"/>
              </w:rPr>
              <w:t>Normal</w:t>
            </w:r>
          </w:p>
        </w:tc>
        <w:tc>
          <w:tcPr>
            <w:tcW w:type="dxa" w:w="850"/>
            <w:shd w:fill="F6F9FC"/>
          </w:tcPr>
          <w:p>
            <w:pPr>
              <w:spacing w:before="0" w:after="0" w:line="259" w:lineRule="auto"/>
              <w:jc w:val="center"/>
            </w:pPr>
            <w:r/>
            <w:r>
              <w:rPr>
                <w:rFonts w:ascii="Calibri" w:hAnsi="Calibri"/>
                <w:b w:val="0"/>
                <w:color w:val="243746"/>
                <w:sz w:val="14"/>
              </w:rPr>
              <w:t>14,796</w:t>
            </w:r>
          </w:p>
        </w:tc>
        <w:tc>
          <w:tcPr>
            <w:tcW w:type="dxa" w:w="850"/>
            <w:shd w:fill="F6F9FC"/>
          </w:tcPr>
          <w:p>
            <w:pPr>
              <w:spacing w:before="0" w:after="0" w:line="259" w:lineRule="auto"/>
              <w:jc w:val="center"/>
            </w:pPr>
            <w:r/>
            <w:r>
              <w:rPr>
                <w:rFonts w:ascii="Calibri" w:hAnsi="Calibri"/>
                <w:b w:val="0"/>
                <w:color w:val="243746"/>
                <w:sz w:val="14"/>
              </w:rPr>
              <w:t>14,796</w:t>
            </w:r>
          </w:p>
        </w:tc>
        <w:tc>
          <w:tcPr>
            <w:tcW w:type="dxa" w:w="650"/>
            <w:shd w:fill="F6F9FC"/>
          </w:tcPr>
          <w:p>
            <w:pPr>
              <w:spacing w:before="0" w:after="0" w:line="259" w:lineRule="auto"/>
              <w:jc w:val="center"/>
            </w:pPr>
            <w:r/>
            <w:r>
              <w:rPr>
                <w:rFonts w:ascii="Calibri" w:hAnsi="Calibri"/>
                <w:b w:val="0"/>
                <w:color w:val="243746"/>
                <w:sz w:val="14"/>
              </w:rPr>
              <w:t>0</w:t>
            </w:r>
          </w:p>
        </w:tc>
        <w:tc>
          <w:tcPr>
            <w:tcW w:type="dxa" w:w="850"/>
            <w:shd w:fill="F6F9FC"/>
          </w:tcPr>
          <w:p>
            <w:pPr>
              <w:spacing w:before="0" w:after="0" w:line="259" w:lineRule="auto"/>
              <w:jc w:val="center"/>
            </w:pPr>
            <w:r/>
            <w:r>
              <w:rPr>
                <w:rFonts w:ascii="Calibri" w:hAnsi="Calibri"/>
                <w:b w:val="0"/>
                <w:color w:val="243746"/>
                <w:sz w:val="14"/>
              </w:rPr>
              <w:t>0</w:t>
            </w:r>
          </w:p>
        </w:tc>
        <w:tc>
          <w:tcPr>
            <w:tcW w:type="dxa" w:w="1000"/>
            <w:shd w:fill="F6F9FC"/>
          </w:tcPr>
          <w:p>
            <w:pPr>
              <w:spacing w:before="0" w:after="0" w:line="259" w:lineRule="auto"/>
              <w:jc w:val="center"/>
            </w:pPr>
            <w:r/>
            <w:r>
              <w:rPr>
                <w:rFonts w:ascii="Calibri" w:hAnsi="Calibri"/>
                <w:b w:val="0"/>
                <w:color w:val="243746"/>
                <w:sz w:val="14"/>
              </w:rPr>
              <w:t>0.00%</w:t>
            </w:r>
          </w:p>
        </w:tc>
        <w:tc>
          <w:tcPr>
            <w:tcW w:type="dxa" w:w="1000"/>
            <w:shd w:fill="F6F9FC"/>
          </w:tcPr>
          <w:p>
            <w:pPr>
              <w:spacing w:before="0" w:after="0" w:line="259" w:lineRule="auto"/>
              <w:jc w:val="center"/>
            </w:pPr>
            <w:r/>
            <w:r>
              <w:rPr>
                <w:rFonts w:ascii="Calibri" w:hAnsi="Calibri"/>
                <w:b w:val="0"/>
                <w:color w:val="243746"/>
                <w:sz w:val="14"/>
              </w:rPr>
              <w:t>100.00%</w:t>
            </w:r>
          </w:p>
        </w:tc>
        <w:tc>
          <w:tcPr>
            <w:tcW w:type="dxa" w:w="1860"/>
            <w:shd w:fill="F6F9FC"/>
          </w:tcPr>
          <w:p>
            <w:pPr>
              <w:spacing w:before="0" w:after="0" w:line="259" w:lineRule="auto"/>
              <w:jc w:val="center"/>
            </w:pPr>
            <w:r/>
            <w:r>
              <w:rPr>
                <w:rFonts w:ascii="Calibri" w:hAnsi="Calibri"/>
                <w:b w:val="0"/>
                <w:color w:val="243746"/>
                <w:sz w:val="14"/>
              </w:rPr>
              <w:t>[x] Expected</w:t>
            </w:r>
          </w:p>
        </w:tc>
      </w:tr>
      <w:tr>
        <w:tc>
          <w:tcPr>
            <w:tcW w:type="dxa" w:w="1000"/>
          </w:tcPr>
          <w:p>
            <w:pPr>
              <w:spacing w:before="0" w:after="0" w:line="259" w:lineRule="auto"/>
              <w:jc w:val="left"/>
            </w:pPr>
            <w:r/>
            <w:r>
              <w:rPr>
                <w:rFonts w:ascii="Calibri" w:hAnsi="Calibri"/>
                <w:b w:val="0"/>
                <w:color w:val="243746"/>
                <w:sz w:val="14"/>
              </w:rPr>
              <w:t>Token-aware*</w:t>
            </w:r>
          </w:p>
        </w:tc>
        <w:tc>
          <w:tcPr>
            <w:tcW w:type="dxa" w:w="1300"/>
          </w:tcPr>
          <w:p>
            <w:pPr>
              <w:spacing w:before="0" w:after="0" w:line="259" w:lineRule="auto"/>
              <w:jc w:val="left"/>
            </w:pPr>
            <w:r/>
            <w:r>
              <w:rPr>
                <w:rFonts w:ascii="Calibri" w:hAnsi="Calibri"/>
                <w:b w:val="0"/>
                <w:color w:val="243746"/>
                <w:sz w:val="14"/>
              </w:rPr>
              <w:t>Node failure</w:t>
            </w:r>
          </w:p>
        </w:tc>
        <w:tc>
          <w:tcPr>
            <w:tcW w:type="dxa" w:w="850"/>
          </w:tcPr>
          <w:p>
            <w:pPr>
              <w:spacing w:before="0" w:after="0" w:line="259" w:lineRule="auto"/>
              <w:jc w:val="center"/>
            </w:pPr>
            <w:r/>
            <w:r>
              <w:rPr>
                <w:rFonts w:ascii="Calibri" w:hAnsi="Calibri"/>
                <w:b w:val="0"/>
                <w:color w:val="243746"/>
                <w:sz w:val="14"/>
              </w:rPr>
              <w:t>14,796</w:t>
            </w:r>
          </w:p>
        </w:tc>
        <w:tc>
          <w:tcPr>
            <w:tcW w:type="dxa" w:w="850"/>
          </w:tcPr>
          <w:p>
            <w:pPr>
              <w:spacing w:before="0" w:after="0" w:line="259" w:lineRule="auto"/>
              <w:jc w:val="center"/>
            </w:pPr>
            <w:r/>
            <w:r>
              <w:rPr>
                <w:rFonts w:ascii="Calibri" w:hAnsi="Calibri"/>
                <w:b w:val="0"/>
                <w:color w:val="243746"/>
                <w:sz w:val="14"/>
              </w:rPr>
              <w:t>6,575</w:t>
            </w:r>
          </w:p>
        </w:tc>
        <w:tc>
          <w:tcPr>
            <w:tcW w:type="dxa" w:w="650"/>
          </w:tcPr>
          <w:p>
            <w:pPr>
              <w:spacing w:before="0" w:after="0" w:line="259" w:lineRule="auto"/>
              <w:jc w:val="center"/>
            </w:pPr>
            <w:r/>
            <w:r>
              <w:rPr>
                <w:rFonts w:ascii="Calibri" w:hAnsi="Calibri"/>
                <w:b w:val="0"/>
                <w:color w:val="243746"/>
                <w:sz w:val="14"/>
              </w:rPr>
              <w:t>0</w:t>
            </w:r>
          </w:p>
        </w:tc>
        <w:tc>
          <w:tcPr>
            <w:tcW w:type="dxa" w:w="850"/>
          </w:tcPr>
          <w:p>
            <w:pPr>
              <w:spacing w:before="0" w:after="0" w:line="259" w:lineRule="auto"/>
              <w:jc w:val="center"/>
            </w:pPr>
            <w:r/>
            <w:r>
              <w:rPr>
                <w:rFonts w:ascii="Calibri" w:hAnsi="Calibri"/>
                <w:b w:val="0"/>
                <w:color w:val="243746"/>
                <w:sz w:val="14"/>
              </w:rPr>
              <w:t>8,221</w:t>
            </w:r>
          </w:p>
        </w:tc>
        <w:tc>
          <w:tcPr>
            <w:tcW w:type="dxa" w:w="1000"/>
          </w:tcPr>
          <w:p>
            <w:pPr>
              <w:spacing w:before="0" w:after="0" w:line="259" w:lineRule="auto"/>
              <w:jc w:val="center"/>
            </w:pPr>
            <w:r/>
            <w:r>
              <w:rPr>
                <w:rFonts w:ascii="Calibri" w:hAnsi="Calibri"/>
                <w:b w:val="0"/>
                <w:color w:val="243746"/>
                <w:sz w:val="14"/>
              </w:rPr>
              <w:t>0.00%</w:t>
            </w:r>
          </w:p>
        </w:tc>
        <w:tc>
          <w:tcPr>
            <w:tcW w:type="dxa" w:w="1000"/>
          </w:tcPr>
          <w:p>
            <w:pPr>
              <w:spacing w:before="0" w:after="0" w:line="259" w:lineRule="auto"/>
              <w:jc w:val="center"/>
            </w:pPr>
            <w:r/>
            <w:r>
              <w:rPr>
                <w:rFonts w:ascii="Calibri" w:hAnsi="Calibri"/>
                <w:b w:val="0"/>
                <w:color w:val="243746"/>
                <w:sz w:val="14"/>
              </w:rPr>
              <w:t>44.44%</w:t>
            </w:r>
          </w:p>
        </w:tc>
        <w:tc>
          <w:tcPr>
            <w:tcW w:type="dxa" w:w="1860"/>
          </w:tcPr>
          <w:p>
            <w:pPr>
              <w:spacing w:before="0" w:after="0" w:line="259" w:lineRule="auto"/>
              <w:jc w:val="center"/>
            </w:pPr>
            <w:r/>
            <w:r>
              <w:rPr>
                <w:rFonts w:ascii="Calibri" w:hAnsi="Calibri"/>
                <w:b w:val="0"/>
                <w:color w:val="243746"/>
                <w:sz w:val="14"/>
              </w:rPr>
              <w:t>[x] Expected</w:t>
            </w:r>
          </w:p>
        </w:tc>
      </w:tr>
      <w:tr>
        <w:tc>
          <w:tcPr>
            <w:tcW w:type="dxa" w:w="1000"/>
            <w:shd w:fill="F6F9FC"/>
          </w:tcPr>
          <w:p>
            <w:pPr>
              <w:spacing w:before="0" w:after="0" w:line="259" w:lineRule="auto"/>
              <w:jc w:val="left"/>
            </w:pPr>
            <w:r/>
            <w:r>
              <w:rPr>
                <w:rFonts w:ascii="Calibri" w:hAnsi="Calibri"/>
                <w:b w:val="0"/>
                <w:color w:val="243746"/>
                <w:sz w:val="14"/>
              </w:rPr>
              <w:t>Token-aware*</w:t>
            </w:r>
          </w:p>
        </w:tc>
        <w:tc>
          <w:tcPr>
            <w:tcW w:type="dxa" w:w="1300"/>
            <w:shd w:fill="F6F9FC"/>
          </w:tcPr>
          <w:p>
            <w:pPr>
              <w:spacing w:before="0" w:after="0" w:line="259" w:lineRule="auto"/>
              <w:jc w:val="left"/>
            </w:pPr>
            <w:r/>
            <w:r>
              <w:rPr>
                <w:rFonts w:ascii="Calibri" w:hAnsi="Calibri"/>
                <w:b w:val="0"/>
                <w:color w:val="243746"/>
                <w:sz w:val="14"/>
              </w:rPr>
              <w:t>Network partition</w:t>
            </w:r>
          </w:p>
        </w:tc>
        <w:tc>
          <w:tcPr>
            <w:tcW w:type="dxa" w:w="850"/>
            <w:shd w:fill="F6F9FC"/>
          </w:tcPr>
          <w:p>
            <w:pPr>
              <w:spacing w:before="0" w:after="0" w:line="259" w:lineRule="auto"/>
              <w:jc w:val="center"/>
            </w:pPr>
            <w:r/>
            <w:r>
              <w:rPr>
                <w:rFonts w:ascii="Calibri" w:hAnsi="Calibri"/>
                <w:b w:val="0"/>
                <w:color w:val="243746"/>
                <w:sz w:val="14"/>
              </w:rPr>
              <w:t>14,796</w:t>
            </w:r>
          </w:p>
        </w:tc>
        <w:tc>
          <w:tcPr>
            <w:tcW w:type="dxa" w:w="850"/>
            <w:shd w:fill="F6F9FC"/>
          </w:tcPr>
          <w:p>
            <w:pPr>
              <w:spacing w:before="0" w:after="0" w:line="259" w:lineRule="auto"/>
              <w:jc w:val="center"/>
            </w:pPr>
            <w:r/>
            <w:r>
              <w:rPr>
                <w:rFonts w:ascii="Calibri" w:hAnsi="Calibri"/>
                <w:b w:val="0"/>
                <w:color w:val="243746"/>
                <w:sz w:val="14"/>
              </w:rPr>
              <w:t>4,851</w:t>
            </w:r>
          </w:p>
        </w:tc>
        <w:tc>
          <w:tcPr>
            <w:tcW w:type="dxa" w:w="650"/>
            <w:shd w:fill="F6F9FC"/>
          </w:tcPr>
          <w:p>
            <w:pPr>
              <w:spacing w:before="0" w:after="0" w:line="259" w:lineRule="auto"/>
              <w:jc w:val="center"/>
            </w:pPr>
            <w:r/>
            <w:r>
              <w:rPr>
                <w:rFonts w:ascii="Calibri" w:hAnsi="Calibri"/>
                <w:b w:val="0"/>
                <w:color w:val="243746"/>
                <w:sz w:val="14"/>
              </w:rPr>
              <w:t>6</w:t>
            </w:r>
          </w:p>
        </w:tc>
        <w:tc>
          <w:tcPr>
            <w:tcW w:type="dxa" w:w="850"/>
            <w:shd w:fill="F6F9FC"/>
          </w:tcPr>
          <w:p>
            <w:pPr>
              <w:spacing w:before="0" w:after="0" w:line="259" w:lineRule="auto"/>
              <w:jc w:val="center"/>
            </w:pPr>
            <w:r/>
            <w:r>
              <w:rPr>
                <w:rFonts w:ascii="Calibri" w:hAnsi="Calibri"/>
                <w:b w:val="0"/>
                <w:color w:val="243746"/>
                <w:sz w:val="14"/>
              </w:rPr>
              <w:t>9,945</w:t>
            </w:r>
          </w:p>
        </w:tc>
        <w:tc>
          <w:tcPr>
            <w:tcW w:type="dxa" w:w="1000"/>
            <w:shd w:fill="F6F9FC"/>
          </w:tcPr>
          <w:p>
            <w:pPr>
              <w:spacing w:before="0" w:after="0" w:line="259" w:lineRule="auto"/>
              <w:jc w:val="center"/>
            </w:pPr>
            <w:r/>
            <w:r>
              <w:rPr>
                <w:rFonts w:ascii="Calibri" w:hAnsi="Calibri"/>
                <w:b w:val="0"/>
                <w:color w:val="243746"/>
                <w:sz w:val="14"/>
              </w:rPr>
              <w:t>0.12%</w:t>
            </w:r>
          </w:p>
        </w:tc>
        <w:tc>
          <w:tcPr>
            <w:tcW w:type="dxa" w:w="1000"/>
            <w:shd w:fill="F6F9FC"/>
          </w:tcPr>
          <w:p>
            <w:pPr>
              <w:spacing w:before="0" w:after="0" w:line="259" w:lineRule="auto"/>
              <w:jc w:val="center"/>
            </w:pPr>
            <w:r/>
            <w:r>
              <w:rPr>
                <w:rFonts w:ascii="Calibri" w:hAnsi="Calibri"/>
                <w:b w:val="0"/>
                <w:color w:val="243746"/>
                <w:sz w:val="14"/>
              </w:rPr>
              <w:t>32.79%</w:t>
            </w:r>
          </w:p>
        </w:tc>
        <w:tc>
          <w:tcPr>
            <w:tcW w:type="dxa" w:w="1860"/>
            <w:shd w:fill="F6F9FC"/>
          </w:tcPr>
          <w:p>
            <w:pPr>
              <w:spacing w:before="0" w:after="0" w:line="259" w:lineRule="auto"/>
              <w:jc w:val="center"/>
            </w:pPr>
            <w:r/>
            <w:r>
              <w:rPr>
                <w:rFonts w:ascii="Calibri" w:hAnsi="Calibri"/>
                <w:b w:val="0"/>
                <w:color w:val="243746"/>
                <w:sz w:val="14"/>
              </w:rPr>
              <w:t>[~] Plausible</w:t>
            </w:r>
          </w:p>
        </w:tc>
      </w:tr>
    </w:tbl>
    <w:p>
      <w:pPr>
        <w:spacing w:after="60"/>
      </w:pPr>
    </w:p>
    <w:p>
      <w:r>
        <w:rPr>
          <w:rFonts w:ascii="Calibri" w:hAnsi="Calibri"/>
          <w:color w:val="243746"/>
          <w:sz w:val="21"/>
        </w:rPr>
        <w:t>Normal operation produced zero violations in both populations. One randomized normal WFR history was inconclusive because its dependency was not observed. Node failure produced no consistency violation; instead, 2,260 randomized and 8,221 token-aware histories were inconclusive, overwhelmingly because the requested consistency level could not be satisfied. Network partitions produced all 200 observed violations and most operation errors.</w:t>
      </w:r>
    </w:p>
    <w:p>
      <w:pPr>
        <w:pStyle w:val="Heading2"/>
      </w:pPr>
      <w:r>
        <w:t>8.3 Model and consistency-level effects</w:t>
      </w:r>
    </w:p>
    <w:tbl>
      <w:tblPr>
        <w:tblStyle w:val="TableGrid"/>
        <w:tblW w:type="dxa" w:w="9360"/>
        <w:jc w:val="left"/>
        <w:tblLayout w:type="fixed"/>
        <w:tblLook w:firstColumn="1" w:firstRow="1" w:lastColumn="0" w:lastRow="0" w:noHBand="0" w:noVBand="1" w:val="04A0"/>
        <w:tblInd w:w="120" w:type="dxa"/>
      </w:tblPr>
      <w:tblGrid>
        <w:gridCol w:w="1500"/>
        <w:gridCol w:w="950"/>
        <w:gridCol w:w="1300"/>
        <w:gridCol w:w="1300"/>
        <w:gridCol w:w="1600"/>
        <w:gridCol w:w="2710"/>
      </w:tblGrid>
      <w:tr>
        <w:trPr>
          <w:tblHeader w:val="true"/>
        </w:trPr>
        <w:tc>
          <w:tcPr>
            <w:tcW w:type="dxa" w:w="15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9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Model</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Violations</w:t>
            </w:r>
          </w:p>
        </w:tc>
        <w:tc>
          <w:tcPr>
            <w:tcW w:type="dxa" w:w="16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Inconclusive</w:t>
            </w:r>
          </w:p>
        </w:tc>
        <w:tc>
          <w:tcPr>
            <w:tcW w:type="dxa" w:w="27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Violation/evaluable</w:t>
            </w:r>
          </w:p>
        </w:tc>
      </w:tr>
      <w:tr>
        <w:tc>
          <w:tcPr>
            <w:tcW w:type="dxa" w:w="1500"/>
          </w:tcPr>
          <w:p>
            <w:pPr>
              <w:spacing w:before="0" w:after="0" w:line="259" w:lineRule="auto"/>
              <w:jc w:val="left"/>
            </w:pPr>
            <w:r/>
            <w:r>
              <w:rPr>
                <w:rFonts w:ascii="Calibri" w:hAnsi="Calibri"/>
                <w:b w:val="0"/>
                <w:color w:val="243746"/>
                <w:sz w:val="16"/>
              </w:rPr>
              <w:t>Random</w:t>
            </w:r>
          </w:p>
        </w:tc>
        <w:tc>
          <w:tcPr>
            <w:tcW w:type="dxa" w:w="950"/>
          </w:tcPr>
          <w:p>
            <w:pPr>
              <w:spacing w:before="0" w:after="0" w:line="259" w:lineRule="auto"/>
              <w:jc w:val="center"/>
            </w:pPr>
            <w:r/>
            <w:r>
              <w:rPr>
                <w:rFonts w:ascii="Calibri" w:hAnsi="Calibri"/>
                <w:b w:val="0"/>
                <w:color w:val="243746"/>
                <w:sz w:val="16"/>
              </w:rPr>
              <w:t>RYW</w:t>
            </w:r>
          </w:p>
        </w:tc>
        <w:tc>
          <w:tcPr>
            <w:tcW w:type="dxa" w:w="1300"/>
          </w:tcPr>
          <w:p>
            <w:pPr>
              <w:spacing w:before="0" w:after="0" w:line="259" w:lineRule="auto"/>
              <w:jc w:val="center"/>
            </w:pPr>
            <w:r/>
            <w:r>
              <w:rPr>
                <w:rFonts w:ascii="Calibri" w:hAnsi="Calibri"/>
                <w:b w:val="0"/>
                <w:color w:val="243746"/>
                <w:sz w:val="16"/>
              </w:rPr>
              <w:t>1,909</w:t>
            </w:r>
          </w:p>
        </w:tc>
        <w:tc>
          <w:tcPr>
            <w:tcW w:type="dxa" w:w="1300"/>
          </w:tcPr>
          <w:p>
            <w:pPr>
              <w:spacing w:before="0" w:after="0" w:line="259" w:lineRule="auto"/>
              <w:jc w:val="center"/>
            </w:pPr>
            <w:r/>
            <w:r>
              <w:rPr>
                <w:rFonts w:ascii="Calibri" w:hAnsi="Calibri"/>
                <w:b w:val="0"/>
                <w:color w:val="243746"/>
                <w:sz w:val="16"/>
              </w:rPr>
              <w:t>92</w:t>
            </w:r>
          </w:p>
        </w:tc>
        <w:tc>
          <w:tcPr>
            <w:tcW w:type="dxa" w:w="1600"/>
          </w:tcPr>
          <w:p>
            <w:pPr>
              <w:spacing w:before="0" w:after="0" w:line="259" w:lineRule="auto"/>
              <w:jc w:val="center"/>
            </w:pPr>
            <w:r/>
            <w:r>
              <w:rPr>
                <w:rFonts w:ascii="Calibri" w:hAnsi="Calibri"/>
                <w:b w:val="0"/>
                <w:color w:val="243746"/>
                <w:sz w:val="16"/>
              </w:rPr>
              <w:t>1,286</w:t>
            </w:r>
          </w:p>
        </w:tc>
        <w:tc>
          <w:tcPr>
            <w:tcW w:type="dxa" w:w="2710"/>
          </w:tcPr>
          <w:p>
            <w:pPr>
              <w:spacing w:before="0" w:after="0" w:line="259" w:lineRule="auto"/>
              <w:jc w:val="center"/>
            </w:pPr>
            <w:r/>
            <w:r>
              <w:rPr>
                <w:rFonts w:ascii="Calibri" w:hAnsi="Calibri"/>
                <w:b w:val="0"/>
                <w:color w:val="243746"/>
                <w:sz w:val="16"/>
              </w:rPr>
              <w:t>4.819%</w:t>
            </w:r>
          </w:p>
        </w:tc>
      </w:tr>
      <w:tr>
        <w:tc>
          <w:tcPr>
            <w:tcW w:type="dxa" w:w="1500"/>
            <w:shd w:fill="F6F9FC"/>
          </w:tcPr>
          <w:p>
            <w:pPr>
              <w:spacing w:before="0" w:after="0" w:line="259" w:lineRule="auto"/>
              <w:jc w:val="left"/>
            </w:pPr>
            <w:r/>
            <w:r>
              <w:rPr>
                <w:rFonts w:ascii="Calibri" w:hAnsi="Calibri"/>
                <w:b w:val="0"/>
                <w:color w:val="243746"/>
                <w:sz w:val="16"/>
              </w:rPr>
              <w:t>Random</w:t>
            </w:r>
          </w:p>
        </w:tc>
        <w:tc>
          <w:tcPr>
            <w:tcW w:type="dxa" w:w="950"/>
            <w:shd w:fill="F6F9FC"/>
          </w:tcPr>
          <w:p>
            <w:pPr>
              <w:spacing w:before="0" w:after="0" w:line="259" w:lineRule="auto"/>
              <w:jc w:val="center"/>
            </w:pPr>
            <w:r/>
            <w:r>
              <w:rPr>
                <w:rFonts w:ascii="Calibri" w:hAnsi="Calibri"/>
                <w:b w:val="0"/>
                <w:color w:val="243746"/>
                <w:sz w:val="16"/>
              </w:rPr>
              <w:t>MR</w:t>
            </w:r>
          </w:p>
        </w:tc>
        <w:tc>
          <w:tcPr>
            <w:tcW w:type="dxa" w:w="1300"/>
            <w:shd w:fill="F6F9FC"/>
          </w:tcPr>
          <w:p>
            <w:pPr>
              <w:spacing w:before="0" w:after="0" w:line="259" w:lineRule="auto"/>
              <w:jc w:val="center"/>
            </w:pPr>
            <w:r/>
            <w:r>
              <w:rPr>
                <w:rFonts w:ascii="Calibri" w:hAnsi="Calibri"/>
                <w:b w:val="0"/>
                <w:color w:val="243746"/>
                <w:sz w:val="16"/>
              </w:rPr>
              <w:t>1,862</w:t>
            </w:r>
          </w:p>
        </w:tc>
        <w:tc>
          <w:tcPr>
            <w:tcW w:type="dxa" w:w="1300"/>
            <w:shd w:fill="F6F9FC"/>
          </w:tcPr>
          <w:p>
            <w:pPr>
              <w:spacing w:before="0" w:after="0" w:line="259" w:lineRule="auto"/>
              <w:jc w:val="center"/>
            </w:pPr>
            <w:r/>
            <w:r>
              <w:rPr>
                <w:rFonts w:ascii="Calibri" w:hAnsi="Calibri"/>
                <w:b w:val="0"/>
                <w:color w:val="243746"/>
                <w:sz w:val="16"/>
              </w:rPr>
              <w:t>43</w:t>
            </w:r>
          </w:p>
        </w:tc>
        <w:tc>
          <w:tcPr>
            <w:tcW w:type="dxa" w:w="1600"/>
            <w:shd w:fill="F6F9FC"/>
          </w:tcPr>
          <w:p>
            <w:pPr>
              <w:spacing w:before="0" w:after="0" w:line="259" w:lineRule="auto"/>
              <w:jc w:val="center"/>
            </w:pPr>
            <w:r/>
            <w:r>
              <w:rPr>
                <w:rFonts w:ascii="Calibri" w:hAnsi="Calibri"/>
                <w:b w:val="0"/>
                <w:color w:val="243746"/>
                <w:sz w:val="16"/>
              </w:rPr>
              <w:t>1,333</w:t>
            </w:r>
          </w:p>
        </w:tc>
        <w:tc>
          <w:tcPr>
            <w:tcW w:type="dxa" w:w="2710"/>
            <w:shd w:fill="F6F9FC"/>
          </w:tcPr>
          <w:p>
            <w:pPr>
              <w:spacing w:before="0" w:after="0" w:line="259" w:lineRule="auto"/>
              <w:jc w:val="center"/>
            </w:pPr>
            <w:r/>
            <w:r>
              <w:rPr>
                <w:rFonts w:ascii="Calibri" w:hAnsi="Calibri"/>
                <w:b w:val="0"/>
                <w:color w:val="243746"/>
                <w:sz w:val="16"/>
              </w:rPr>
              <w:t>2.309%</w:t>
            </w:r>
          </w:p>
        </w:tc>
      </w:tr>
      <w:tr>
        <w:tc>
          <w:tcPr>
            <w:tcW w:type="dxa" w:w="1500"/>
          </w:tcPr>
          <w:p>
            <w:pPr>
              <w:spacing w:before="0" w:after="0" w:line="259" w:lineRule="auto"/>
              <w:jc w:val="left"/>
            </w:pPr>
            <w:r/>
            <w:r>
              <w:rPr>
                <w:rFonts w:ascii="Calibri" w:hAnsi="Calibri"/>
                <w:b w:val="0"/>
                <w:color w:val="243746"/>
                <w:sz w:val="16"/>
              </w:rPr>
              <w:t>Random</w:t>
            </w:r>
          </w:p>
        </w:tc>
        <w:tc>
          <w:tcPr>
            <w:tcW w:type="dxa" w:w="950"/>
          </w:tcPr>
          <w:p>
            <w:pPr>
              <w:spacing w:before="0" w:after="0" w:line="259" w:lineRule="auto"/>
              <w:jc w:val="center"/>
            </w:pPr>
            <w:r/>
            <w:r>
              <w:rPr>
                <w:rFonts w:ascii="Calibri" w:hAnsi="Calibri"/>
                <w:b w:val="0"/>
                <w:color w:val="243746"/>
                <w:sz w:val="16"/>
              </w:rPr>
              <w:t>MW</w:t>
            </w:r>
          </w:p>
        </w:tc>
        <w:tc>
          <w:tcPr>
            <w:tcW w:type="dxa" w:w="1300"/>
          </w:tcPr>
          <w:p>
            <w:pPr>
              <w:spacing w:before="0" w:after="0" w:line="259" w:lineRule="auto"/>
              <w:jc w:val="center"/>
            </w:pPr>
            <w:r/>
            <w:r>
              <w:rPr>
                <w:rFonts w:ascii="Calibri" w:hAnsi="Calibri"/>
                <w:b w:val="0"/>
                <w:color w:val="243746"/>
                <w:sz w:val="16"/>
              </w:rPr>
              <w:t>1,774</w:t>
            </w:r>
          </w:p>
        </w:tc>
        <w:tc>
          <w:tcPr>
            <w:tcW w:type="dxa" w:w="1300"/>
          </w:tcPr>
          <w:p>
            <w:pPr>
              <w:spacing w:before="0" w:after="0" w:line="259" w:lineRule="auto"/>
              <w:jc w:val="center"/>
            </w:pPr>
            <w:r/>
            <w:r>
              <w:rPr>
                <w:rFonts w:ascii="Calibri" w:hAnsi="Calibri"/>
                <w:b w:val="0"/>
                <w:color w:val="243746"/>
                <w:sz w:val="16"/>
              </w:rPr>
              <w:t>46</w:t>
            </w:r>
          </w:p>
        </w:tc>
        <w:tc>
          <w:tcPr>
            <w:tcW w:type="dxa" w:w="1600"/>
          </w:tcPr>
          <w:p>
            <w:pPr>
              <w:spacing w:before="0" w:after="0" w:line="259" w:lineRule="auto"/>
              <w:jc w:val="center"/>
            </w:pPr>
            <w:r/>
            <w:r>
              <w:rPr>
                <w:rFonts w:ascii="Calibri" w:hAnsi="Calibri"/>
                <w:b w:val="0"/>
                <w:color w:val="243746"/>
                <w:sz w:val="16"/>
              </w:rPr>
              <w:t>1,421</w:t>
            </w:r>
          </w:p>
        </w:tc>
        <w:tc>
          <w:tcPr>
            <w:tcW w:type="dxa" w:w="2710"/>
          </w:tcPr>
          <w:p>
            <w:pPr>
              <w:spacing w:before="0" w:after="0" w:line="259" w:lineRule="auto"/>
              <w:jc w:val="center"/>
            </w:pPr>
            <w:r/>
            <w:r>
              <w:rPr>
                <w:rFonts w:ascii="Calibri" w:hAnsi="Calibri"/>
                <w:b w:val="0"/>
                <w:color w:val="243746"/>
                <w:sz w:val="16"/>
              </w:rPr>
              <w:t>2.593%</w:t>
            </w:r>
          </w:p>
        </w:tc>
      </w:tr>
      <w:tr>
        <w:tc>
          <w:tcPr>
            <w:tcW w:type="dxa" w:w="1500"/>
            <w:shd w:fill="F6F9FC"/>
          </w:tcPr>
          <w:p>
            <w:pPr>
              <w:spacing w:before="0" w:after="0" w:line="259" w:lineRule="auto"/>
              <w:jc w:val="left"/>
            </w:pPr>
            <w:r/>
            <w:r>
              <w:rPr>
                <w:rFonts w:ascii="Calibri" w:hAnsi="Calibri"/>
                <w:b w:val="0"/>
                <w:color w:val="243746"/>
                <w:sz w:val="16"/>
              </w:rPr>
              <w:t>Random</w:t>
            </w:r>
          </w:p>
        </w:tc>
        <w:tc>
          <w:tcPr>
            <w:tcW w:type="dxa" w:w="950"/>
            <w:shd w:fill="F6F9FC"/>
          </w:tcPr>
          <w:p>
            <w:pPr>
              <w:spacing w:before="0" w:after="0" w:line="259" w:lineRule="auto"/>
              <w:jc w:val="center"/>
            </w:pPr>
            <w:r/>
            <w:r>
              <w:rPr>
                <w:rFonts w:ascii="Calibri" w:hAnsi="Calibri"/>
                <w:b w:val="0"/>
                <w:color w:val="243746"/>
                <w:sz w:val="16"/>
              </w:rPr>
              <w:t>WFR</w:t>
            </w:r>
          </w:p>
        </w:tc>
        <w:tc>
          <w:tcPr>
            <w:tcW w:type="dxa" w:w="1300"/>
            <w:shd w:fill="F6F9FC"/>
          </w:tcPr>
          <w:p>
            <w:pPr>
              <w:spacing w:before="0" w:after="0" w:line="259" w:lineRule="auto"/>
              <w:jc w:val="center"/>
            </w:pPr>
            <w:r/>
            <w:r>
              <w:rPr>
                <w:rFonts w:ascii="Calibri" w:hAnsi="Calibri"/>
                <w:b w:val="0"/>
                <w:color w:val="243746"/>
                <w:sz w:val="16"/>
              </w:rPr>
              <w:t>1,686</w:t>
            </w:r>
          </w:p>
        </w:tc>
        <w:tc>
          <w:tcPr>
            <w:tcW w:type="dxa" w:w="1300"/>
            <w:shd w:fill="F6F9FC"/>
          </w:tcPr>
          <w:p>
            <w:pPr>
              <w:spacing w:before="0" w:after="0" w:line="259" w:lineRule="auto"/>
              <w:jc w:val="center"/>
            </w:pPr>
            <w:r/>
            <w:r>
              <w:rPr>
                <w:rFonts w:ascii="Calibri" w:hAnsi="Calibri"/>
                <w:b w:val="0"/>
                <w:color w:val="243746"/>
                <w:sz w:val="16"/>
              </w:rPr>
              <w:t>13</w:t>
            </w:r>
          </w:p>
        </w:tc>
        <w:tc>
          <w:tcPr>
            <w:tcW w:type="dxa" w:w="1600"/>
            <w:shd w:fill="F6F9FC"/>
          </w:tcPr>
          <w:p>
            <w:pPr>
              <w:spacing w:before="0" w:after="0" w:line="259" w:lineRule="auto"/>
              <w:jc w:val="center"/>
            </w:pPr>
            <w:r/>
            <w:r>
              <w:rPr>
                <w:rFonts w:ascii="Calibri" w:hAnsi="Calibri"/>
                <w:b w:val="0"/>
                <w:color w:val="243746"/>
                <w:sz w:val="16"/>
              </w:rPr>
              <w:t>1,509</w:t>
            </w:r>
          </w:p>
        </w:tc>
        <w:tc>
          <w:tcPr>
            <w:tcW w:type="dxa" w:w="2710"/>
            <w:shd w:fill="F6F9FC"/>
          </w:tcPr>
          <w:p>
            <w:pPr>
              <w:spacing w:before="0" w:after="0" w:line="259" w:lineRule="auto"/>
              <w:jc w:val="center"/>
            </w:pPr>
            <w:r/>
            <w:r>
              <w:rPr>
                <w:rFonts w:ascii="Calibri" w:hAnsi="Calibri"/>
                <w:b w:val="0"/>
                <w:color w:val="243746"/>
                <w:sz w:val="16"/>
              </w:rPr>
              <w:t>0.771%</w:t>
            </w:r>
          </w:p>
        </w:tc>
      </w:tr>
      <w:tr>
        <w:tc>
          <w:tcPr>
            <w:tcW w:type="dxa" w:w="1500"/>
          </w:tcPr>
          <w:p>
            <w:pPr>
              <w:spacing w:before="0" w:after="0" w:line="259" w:lineRule="auto"/>
              <w:jc w:val="left"/>
            </w:pPr>
            <w:r/>
            <w:r>
              <w:rPr>
                <w:rFonts w:ascii="Calibri" w:hAnsi="Calibri"/>
                <w:b w:val="0"/>
                <w:color w:val="243746"/>
                <w:sz w:val="16"/>
              </w:rPr>
              <w:t>Token-aware*</w:t>
            </w:r>
          </w:p>
        </w:tc>
        <w:tc>
          <w:tcPr>
            <w:tcW w:type="dxa" w:w="950"/>
          </w:tcPr>
          <w:p>
            <w:pPr>
              <w:spacing w:before="0" w:after="0" w:line="259" w:lineRule="auto"/>
              <w:jc w:val="center"/>
            </w:pPr>
            <w:r/>
            <w:r>
              <w:rPr>
                <w:rFonts w:ascii="Calibri" w:hAnsi="Calibri"/>
                <w:b w:val="0"/>
                <w:color w:val="243746"/>
                <w:sz w:val="16"/>
              </w:rPr>
              <w:t>RYW</w:t>
            </w:r>
          </w:p>
        </w:tc>
        <w:tc>
          <w:tcPr>
            <w:tcW w:type="dxa" w:w="1300"/>
          </w:tcPr>
          <w:p>
            <w:pPr>
              <w:spacing w:before="0" w:after="0" w:line="259" w:lineRule="auto"/>
              <w:jc w:val="center"/>
            </w:pPr>
            <w:r/>
            <w:r>
              <w:rPr>
                <w:rFonts w:ascii="Calibri" w:hAnsi="Calibri"/>
                <w:b w:val="0"/>
                <w:color w:val="243746"/>
                <w:sz w:val="16"/>
              </w:rPr>
              <w:t>6,549</w:t>
            </w:r>
          </w:p>
        </w:tc>
        <w:tc>
          <w:tcPr>
            <w:tcW w:type="dxa" w:w="1300"/>
          </w:tcPr>
          <w:p>
            <w:pPr>
              <w:spacing w:before="0" w:after="0" w:line="259" w:lineRule="auto"/>
              <w:jc w:val="center"/>
            </w:pPr>
            <w:r/>
            <w:r>
              <w:rPr>
                <w:rFonts w:ascii="Calibri" w:hAnsi="Calibri"/>
                <w:b w:val="0"/>
                <w:color w:val="243746"/>
                <w:sz w:val="16"/>
              </w:rPr>
              <w:t>6</w:t>
            </w:r>
          </w:p>
        </w:tc>
        <w:tc>
          <w:tcPr>
            <w:tcW w:type="dxa" w:w="1600"/>
          </w:tcPr>
          <w:p>
            <w:pPr>
              <w:spacing w:before="0" w:after="0" w:line="259" w:lineRule="auto"/>
              <w:jc w:val="center"/>
            </w:pPr>
            <w:r/>
            <w:r>
              <w:rPr>
                <w:rFonts w:ascii="Calibri" w:hAnsi="Calibri"/>
                <w:b w:val="0"/>
                <w:color w:val="243746"/>
                <w:sz w:val="16"/>
              </w:rPr>
              <w:t>4,548</w:t>
            </w:r>
          </w:p>
        </w:tc>
        <w:tc>
          <w:tcPr>
            <w:tcW w:type="dxa" w:w="2710"/>
          </w:tcPr>
          <w:p>
            <w:pPr>
              <w:spacing w:before="0" w:after="0" w:line="259" w:lineRule="auto"/>
              <w:jc w:val="center"/>
            </w:pPr>
            <w:r/>
            <w:r>
              <w:rPr>
                <w:rFonts w:ascii="Calibri" w:hAnsi="Calibri"/>
                <w:b w:val="0"/>
                <w:color w:val="243746"/>
                <w:sz w:val="16"/>
              </w:rPr>
              <w:t>0.092%</w:t>
            </w:r>
          </w:p>
        </w:tc>
      </w:tr>
      <w:tr>
        <w:tc>
          <w:tcPr>
            <w:tcW w:type="dxa" w:w="1500"/>
            <w:shd w:fill="F6F9FC"/>
          </w:tcPr>
          <w:p>
            <w:pPr>
              <w:spacing w:before="0" w:after="0" w:line="259" w:lineRule="auto"/>
              <w:jc w:val="left"/>
            </w:pPr>
            <w:r/>
            <w:r>
              <w:rPr>
                <w:rFonts w:ascii="Calibri" w:hAnsi="Calibri"/>
                <w:b w:val="0"/>
                <w:color w:val="243746"/>
                <w:sz w:val="16"/>
              </w:rPr>
              <w:t>Token-aware*</w:t>
            </w:r>
          </w:p>
        </w:tc>
        <w:tc>
          <w:tcPr>
            <w:tcW w:type="dxa" w:w="950"/>
            <w:shd w:fill="F6F9FC"/>
          </w:tcPr>
          <w:p>
            <w:pPr>
              <w:spacing w:before="0" w:after="0" w:line="259" w:lineRule="auto"/>
              <w:jc w:val="center"/>
            </w:pPr>
            <w:r/>
            <w:r>
              <w:rPr>
                <w:rFonts w:ascii="Calibri" w:hAnsi="Calibri"/>
                <w:b w:val="0"/>
                <w:color w:val="243746"/>
                <w:sz w:val="16"/>
              </w:rPr>
              <w:t>MR</w:t>
            </w:r>
          </w:p>
        </w:tc>
        <w:tc>
          <w:tcPr>
            <w:tcW w:type="dxa" w:w="1300"/>
            <w:shd w:fill="F6F9FC"/>
          </w:tcPr>
          <w:p>
            <w:pPr>
              <w:spacing w:before="0" w:after="0" w:line="259" w:lineRule="auto"/>
              <w:jc w:val="center"/>
            </w:pPr>
            <w:r/>
            <w:r>
              <w:rPr>
                <w:rFonts w:ascii="Calibri" w:hAnsi="Calibri"/>
                <w:b w:val="0"/>
                <w:color w:val="243746"/>
                <w:sz w:val="16"/>
              </w:rPr>
              <w:t>6,552</w:t>
            </w:r>
          </w:p>
        </w:tc>
        <w:tc>
          <w:tcPr>
            <w:tcW w:type="dxa" w:w="1300"/>
            <w:shd w:fill="F6F9FC"/>
          </w:tcPr>
          <w:p>
            <w:pPr>
              <w:spacing w:before="0" w:after="0" w:line="259" w:lineRule="auto"/>
              <w:jc w:val="center"/>
            </w:pPr>
            <w:r/>
            <w:r>
              <w:rPr>
                <w:rFonts w:ascii="Calibri" w:hAnsi="Calibri"/>
                <w:b w:val="0"/>
                <w:color w:val="243746"/>
                <w:sz w:val="16"/>
              </w:rPr>
              <w:t>0</w:t>
            </w:r>
          </w:p>
        </w:tc>
        <w:tc>
          <w:tcPr>
            <w:tcW w:type="dxa" w:w="1600"/>
            <w:shd w:fill="F6F9FC"/>
          </w:tcPr>
          <w:p>
            <w:pPr>
              <w:spacing w:before="0" w:after="0" w:line="259" w:lineRule="auto"/>
              <w:jc w:val="center"/>
            </w:pPr>
            <w:r/>
            <w:r>
              <w:rPr>
                <w:rFonts w:ascii="Calibri" w:hAnsi="Calibri"/>
                <w:b w:val="0"/>
                <w:color w:val="243746"/>
                <w:sz w:val="16"/>
              </w:rPr>
              <w:t>4,545</w:t>
            </w:r>
          </w:p>
        </w:tc>
        <w:tc>
          <w:tcPr>
            <w:tcW w:type="dxa" w:w="2710"/>
            <w:shd w:fill="F6F9FC"/>
          </w:tcPr>
          <w:p>
            <w:pPr>
              <w:spacing w:before="0" w:after="0" w:line="259" w:lineRule="auto"/>
              <w:jc w:val="center"/>
            </w:pPr>
            <w:r/>
            <w:r>
              <w:rPr>
                <w:rFonts w:ascii="Calibri" w:hAnsi="Calibri"/>
                <w:b w:val="0"/>
                <w:color w:val="243746"/>
                <w:sz w:val="16"/>
              </w:rPr>
              <w:t>0.000%</w:t>
            </w:r>
          </w:p>
        </w:tc>
      </w:tr>
      <w:tr>
        <w:tc>
          <w:tcPr>
            <w:tcW w:type="dxa" w:w="1500"/>
          </w:tcPr>
          <w:p>
            <w:pPr>
              <w:spacing w:before="0" w:after="0" w:line="259" w:lineRule="auto"/>
              <w:jc w:val="left"/>
            </w:pPr>
            <w:r/>
            <w:r>
              <w:rPr>
                <w:rFonts w:ascii="Calibri" w:hAnsi="Calibri"/>
                <w:b w:val="0"/>
                <w:color w:val="243746"/>
                <w:sz w:val="16"/>
              </w:rPr>
              <w:t>Token-aware*</w:t>
            </w:r>
          </w:p>
        </w:tc>
        <w:tc>
          <w:tcPr>
            <w:tcW w:type="dxa" w:w="950"/>
          </w:tcPr>
          <w:p>
            <w:pPr>
              <w:spacing w:before="0" w:after="0" w:line="259" w:lineRule="auto"/>
              <w:jc w:val="center"/>
            </w:pPr>
            <w:r/>
            <w:r>
              <w:rPr>
                <w:rFonts w:ascii="Calibri" w:hAnsi="Calibri"/>
                <w:b w:val="0"/>
                <w:color w:val="243746"/>
                <w:sz w:val="16"/>
              </w:rPr>
              <w:t>MW</w:t>
            </w:r>
          </w:p>
        </w:tc>
        <w:tc>
          <w:tcPr>
            <w:tcW w:type="dxa" w:w="1300"/>
          </w:tcPr>
          <w:p>
            <w:pPr>
              <w:spacing w:before="0" w:after="0" w:line="259" w:lineRule="auto"/>
              <w:jc w:val="center"/>
            </w:pPr>
            <w:r/>
            <w:r>
              <w:rPr>
                <w:rFonts w:ascii="Calibri" w:hAnsi="Calibri"/>
                <w:b w:val="0"/>
                <w:color w:val="243746"/>
                <w:sz w:val="16"/>
              </w:rPr>
              <w:t>6,554</w:t>
            </w:r>
          </w:p>
        </w:tc>
        <w:tc>
          <w:tcPr>
            <w:tcW w:type="dxa" w:w="1300"/>
          </w:tcPr>
          <w:p>
            <w:pPr>
              <w:spacing w:before="0" w:after="0" w:line="259" w:lineRule="auto"/>
              <w:jc w:val="center"/>
            </w:pPr>
            <w:r/>
            <w:r>
              <w:rPr>
                <w:rFonts w:ascii="Calibri" w:hAnsi="Calibri"/>
                <w:b w:val="0"/>
                <w:color w:val="243746"/>
                <w:sz w:val="16"/>
              </w:rPr>
              <w:t>0</w:t>
            </w:r>
          </w:p>
        </w:tc>
        <w:tc>
          <w:tcPr>
            <w:tcW w:type="dxa" w:w="1600"/>
          </w:tcPr>
          <w:p>
            <w:pPr>
              <w:spacing w:before="0" w:after="0" w:line="259" w:lineRule="auto"/>
              <w:jc w:val="center"/>
            </w:pPr>
            <w:r/>
            <w:r>
              <w:rPr>
                <w:rFonts w:ascii="Calibri" w:hAnsi="Calibri"/>
                <w:b w:val="0"/>
                <w:color w:val="243746"/>
                <w:sz w:val="16"/>
              </w:rPr>
              <w:t>4,543</w:t>
            </w:r>
          </w:p>
        </w:tc>
        <w:tc>
          <w:tcPr>
            <w:tcW w:type="dxa" w:w="2710"/>
          </w:tcPr>
          <w:p>
            <w:pPr>
              <w:spacing w:before="0" w:after="0" w:line="259" w:lineRule="auto"/>
              <w:jc w:val="center"/>
            </w:pPr>
            <w:r/>
            <w:r>
              <w:rPr>
                <w:rFonts w:ascii="Calibri" w:hAnsi="Calibri"/>
                <w:b w:val="0"/>
                <w:color w:val="243746"/>
                <w:sz w:val="16"/>
              </w:rPr>
              <w:t>0.000%</w:t>
            </w:r>
          </w:p>
        </w:tc>
      </w:tr>
      <w:tr>
        <w:tc>
          <w:tcPr>
            <w:tcW w:type="dxa" w:w="1500"/>
            <w:shd w:fill="F6F9FC"/>
          </w:tcPr>
          <w:p>
            <w:pPr>
              <w:spacing w:before="0" w:after="0" w:line="259" w:lineRule="auto"/>
              <w:jc w:val="left"/>
            </w:pPr>
            <w:r/>
            <w:r>
              <w:rPr>
                <w:rFonts w:ascii="Calibri" w:hAnsi="Calibri"/>
                <w:b w:val="0"/>
                <w:color w:val="243746"/>
                <w:sz w:val="16"/>
              </w:rPr>
              <w:t>Token-aware*</w:t>
            </w:r>
          </w:p>
        </w:tc>
        <w:tc>
          <w:tcPr>
            <w:tcW w:type="dxa" w:w="950"/>
            <w:shd w:fill="F6F9FC"/>
          </w:tcPr>
          <w:p>
            <w:pPr>
              <w:spacing w:before="0" w:after="0" w:line="259" w:lineRule="auto"/>
              <w:jc w:val="center"/>
            </w:pPr>
            <w:r/>
            <w:r>
              <w:rPr>
                <w:rFonts w:ascii="Calibri" w:hAnsi="Calibri"/>
                <w:b w:val="0"/>
                <w:color w:val="243746"/>
                <w:sz w:val="16"/>
              </w:rPr>
              <w:t>WFR</w:t>
            </w:r>
          </w:p>
        </w:tc>
        <w:tc>
          <w:tcPr>
            <w:tcW w:type="dxa" w:w="1300"/>
            <w:shd w:fill="F6F9FC"/>
          </w:tcPr>
          <w:p>
            <w:pPr>
              <w:spacing w:before="0" w:after="0" w:line="259" w:lineRule="auto"/>
              <w:jc w:val="center"/>
            </w:pPr>
            <w:r/>
            <w:r>
              <w:rPr>
                <w:rFonts w:ascii="Calibri" w:hAnsi="Calibri"/>
                <w:b w:val="0"/>
                <w:color w:val="243746"/>
                <w:sz w:val="16"/>
              </w:rPr>
              <w:t>6,567</w:t>
            </w:r>
          </w:p>
        </w:tc>
        <w:tc>
          <w:tcPr>
            <w:tcW w:type="dxa" w:w="1300"/>
            <w:shd w:fill="F6F9FC"/>
          </w:tcPr>
          <w:p>
            <w:pPr>
              <w:spacing w:before="0" w:after="0" w:line="259" w:lineRule="auto"/>
              <w:jc w:val="center"/>
            </w:pPr>
            <w:r/>
            <w:r>
              <w:rPr>
                <w:rFonts w:ascii="Calibri" w:hAnsi="Calibri"/>
                <w:b w:val="0"/>
                <w:color w:val="243746"/>
                <w:sz w:val="16"/>
              </w:rPr>
              <w:t>0</w:t>
            </w:r>
          </w:p>
        </w:tc>
        <w:tc>
          <w:tcPr>
            <w:tcW w:type="dxa" w:w="1600"/>
            <w:shd w:fill="F6F9FC"/>
          </w:tcPr>
          <w:p>
            <w:pPr>
              <w:spacing w:before="0" w:after="0" w:line="259" w:lineRule="auto"/>
              <w:jc w:val="center"/>
            </w:pPr>
            <w:r/>
            <w:r>
              <w:rPr>
                <w:rFonts w:ascii="Calibri" w:hAnsi="Calibri"/>
                <w:b w:val="0"/>
                <w:color w:val="243746"/>
                <w:sz w:val="16"/>
              </w:rPr>
              <w:t>4,530</w:t>
            </w:r>
          </w:p>
        </w:tc>
        <w:tc>
          <w:tcPr>
            <w:tcW w:type="dxa" w:w="2710"/>
            <w:shd w:fill="F6F9FC"/>
          </w:tcPr>
          <w:p>
            <w:pPr>
              <w:spacing w:before="0" w:after="0" w:line="259" w:lineRule="auto"/>
              <w:jc w:val="center"/>
            </w:pPr>
            <w:r/>
            <w:r>
              <w:rPr>
                <w:rFonts w:ascii="Calibri" w:hAnsi="Calibri"/>
                <w:b w:val="0"/>
                <w:color w:val="243746"/>
                <w:sz w:val="16"/>
              </w:rPr>
              <w:t>0.000%</w:t>
            </w:r>
          </w:p>
        </w:tc>
      </w:tr>
    </w:tbl>
    <w:p>
      <w:pPr>
        <w:spacing w:after="60"/>
      </w:pPr>
    </w:p>
    <w:p>
      <w:r>
        <w:rPr>
          <w:rFonts w:ascii="Calibri" w:hAnsi="Calibri"/>
          <w:color w:val="243746"/>
          <w:sz w:val="21"/>
        </w:rPr>
        <w:t>In the full-profile randomized population, RYW produced 92 violations, MR 43, MW 46, and WFR 13. The token-aware exploratory population produced six RYW violations and none for MR, MW, or WFR. The absence of non-RYW token-aware witnesses coincided with very limited route changes and should not be interpreted as a stronger session guarantee.</w:t>
      </w:r>
    </w:p>
    <w:p>
      <w:pPr>
        <w:keepNext/>
        <w:jc w:val="center"/>
      </w:pPr>
      <w:r>
        <w:drawing>
          <wp:inline xmlns:a="http://schemas.openxmlformats.org/drawingml/2006/main" xmlns:pic="http://schemas.openxmlformats.org/drawingml/2006/picture">
            <wp:extent cx="5806440" cy="3826972"/>
            <wp:docPr id="9" name="Picture 9" descr="Two heatmaps of write/read configurations by client-centric model, with violation counts and evaluable denominators." title="Figure 9"/>
            <wp:cNvGraphicFramePr>
              <a:graphicFrameLocks noChangeAspect="1"/>
            </wp:cNvGraphicFramePr>
            <a:graphic>
              <a:graphicData uri="http://schemas.openxmlformats.org/drawingml/2006/picture">
                <pic:pic>
                  <pic:nvPicPr>
                    <pic:cNvPr id="0" name="10_network_partition_heatmap.png"/>
                    <pic:cNvPicPr/>
                  </pic:nvPicPr>
                  <pic:blipFill>
                    <a:blip r:embed="rId19"/>
                    <a:stretch>
                      <a:fillRect/>
                    </a:stretch>
                  </pic:blipFill>
                  <pic:spPr>
                    <a:xfrm>
                      <a:off x="0" y="0"/>
                      <a:ext cx="5806440" cy="3826972"/>
                    </a:xfrm>
                    <a:prstGeom prst="rect"/>
                  </pic:spPr>
                </pic:pic>
              </a:graphicData>
            </a:graphic>
          </wp:inline>
        </w:drawing>
      </w:r>
    </w:p>
    <w:p>
      <w:pPr>
        <w:pStyle w:val="Caption"/>
      </w:pPr>
      <w:r>
        <w:t>Figure 9. Network-partition violation rates among evaluable histories.</w:t>
      </w:r>
    </w:p>
    <w:p>
      <w:pPr>
        <w:pStyle w:val="EvidenceTag"/>
        <w:jc w:val="center"/>
      </w:pPr>
      <w:r>
        <w:t>Source: trial_level_evidence.csv; network_partition only</w:t>
      </w:r>
    </w:p>
    <w:p>
      <w:r>
        <w:rPr>
          <w:rFonts w:ascii="Calibri" w:hAnsi="Calibri"/>
          <w:color w:val="243746"/>
          <w:sz w:val="21"/>
        </w:rPr>
        <w:t>The randomized heatmap concentrates violations in ONE/ONE and the non-intersecting ONE/QUORUM and QUORUM/ONE pairs. No violation was observed in cells containing ALL or in QUORUM/QUORUM. The token-aware exploratory population shows the same broad boundary, with six RYW witnesses in ONE/ONE, ONE/QUORUM, or QUORUM/ONE.</w:t>
      </w:r>
    </w:p>
    <w:p>
      <w:pPr>
        <w:pStyle w:val="Heading2"/>
      </w:pPr>
      <w:r>
        <w:t>8.4 Routing exposure</w:t>
      </w:r>
    </w:p>
    <w:tbl>
      <w:tblPr>
        <w:tblStyle w:val="TableGrid"/>
        <w:tblW w:type="dxa" w:w="9360"/>
        <w:jc w:val="left"/>
        <w:tblLayout w:type="fixed"/>
        <w:tblLook w:firstColumn="1" w:firstRow="1" w:lastColumn="0" w:lastRow="0" w:noHBand="0" w:noVBand="1" w:val="04A0"/>
        <w:tblInd w:w="120" w:type="dxa"/>
      </w:tblPr>
      <w:tblGrid>
        <w:gridCol w:w="1900"/>
        <w:gridCol w:w="1200"/>
        <w:gridCol w:w="1700"/>
        <w:gridCol w:w="1200"/>
        <w:gridCol w:w="1900"/>
        <w:gridCol w:w="1460"/>
      </w:tblGrid>
      <w:tr>
        <w:trPr>
          <w:tblHeader w:val="true"/>
        </w:trPr>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12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Histories</w:t>
            </w:r>
          </w:p>
        </w:tc>
        <w:tc>
          <w:tcPr>
            <w:tcW w:type="dxa" w:w="1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Changed coordinator</w:t>
            </w:r>
          </w:p>
        </w:tc>
        <w:tc>
          <w:tcPr>
            <w:tcW w:type="dxa" w:w="12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Changed %</w:t>
            </w:r>
          </w:p>
        </w:tc>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Crossed cut (network)</w:t>
            </w:r>
          </w:p>
        </w:tc>
        <w:tc>
          <w:tcPr>
            <w:tcW w:type="dxa" w:w="14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Crossed %</w:t>
            </w:r>
          </w:p>
        </w:tc>
      </w:tr>
      <w:tr>
        <w:tc>
          <w:tcPr>
            <w:tcW w:type="dxa" w:w="1900"/>
          </w:tcPr>
          <w:p>
            <w:pPr>
              <w:spacing w:before="0" w:after="0" w:line="259" w:lineRule="auto"/>
              <w:jc w:val="left"/>
            </w:pPr>
            <w:r/>
            <w:r>
              <w:rPr>
                <w:rFonts w:ascii="Calibri" w:hAnsi="Calibri"/>
                <w:b/>
                <w:color w:val="243746"/>
                <w:sz w:val="16"/>
              </w:rPr>
              <w:t>Random coordinator</w:t>
            </w:r>
          </w:p>
        </w:tc>
        <w:tc>
          <w:tcPr>
            <w:tcW w:type="dxa" w:w="1200"/>
          </w:tcPr>
          <w:p>
            <w:pPr>
              <w:spacing w:before="0" w:after="0" w:line="259" w:lineRule="auto"/>
              <w:jc w:val="center"/>
            </w:pPr>
            <w:r/>
            <w:r>
              <w:rPr>
                <w:rFonts w:ascii="Calibri" w:hAnsi="Calibri"/>
                <w:b w:val="0"/>
                <w:color w:val="243746"/>
                <w:sz w:val="16"/>
              </w:rPr>
              <w:t>12,780</w:t>
            </w:r>
          </w:p>
        </w:tc>
        <w:tc>
          <w:tcPr>
            <w:tcW w:type="dxa" w:w="1700"/>
          </w:tcPr>
          <w:p>
            <w:pPr>
              <w:spacing w:before="0" w:after="0" w:line="259" w:lineRule="auto"/>
              <w:jc w:val="center"/>
            </w:pPr>
            <w:r/>
            <w:r>
              <w:rPr>
                <w:rFonts w:ascii="Calibri" w:hAnsi="Calibri"/>
                <w:b w:val="0"/>
                <w:color w:val="243746"/>
                <w:sz w:val="16"/>
              </w:rPr>
              <w:t>10,298</w:t>
            </w:r>
          </w:p>
        </w:tc>
        <w:tc>
          <w:tcPr>
            <w:tcW w:type="dxa" w:w="1200"/>
          </w:tcPr>
          <w:p>
            <w:pPr>
              <w:spacing w:before="0" w:after="0" w:line="259" w:lineRule="auto"/>
              <w:jc w:val="center"/>
            </w:pPr>
            <w:r/>
            <w:r>
              <w:rPr>
                <w:rFonts w:ascii="Calibri" w:hAnsi="Calibri"/>
                <w:b w:val="0"/>
                <w:color w:val="243746"/>
                <w:sz w:val="16"/>
              </w:rPr>
              <w:t>80.58%</w:t>
            </w:r>
          </w:p>
        </w:tc>
        <w:tc>
          <w:tcPr>
            <w:tcW w:type="dxa" w:w="1900"/>
          </w:tcPr>
          <w:p>
            <w:pPr>
              <w:spacing w:before="0" w:after="0" w:line="259" w:lineRule="auto"/>
              <w:jc w:val="center"/>
            </w:pPr>
            <w:r/>
            <w:r>
              <w:rPr>
                <w:rFonts w:ascii="Calibri" w:hAnsi="Calibri"/>
                <w:b w:val="0"/>
                <w:color w:val="243746"/>
                <w:sz w:val="16"/>
              </w:rPr>
              <w:t>2,689</w:t>
            </w:r>
          </w:p>
        </w:tc>
        <w:tc>
          <w:tcPr>
            <w:tcW w:type="dxa" w:w="1460"/>
          </w:tcPr>
          <w:p>
            <w:pPr>
              <w:spacing w:before="0" w:after="0" w:line="259" w:lineRule="auto"/>
              <w:jc w:val="center"/>
            </w:pPr>
            <w:r/>
            <w:r>
              <w:rPr>
                <w:rFonts w:ascii="Calibri" w:hAnsi="Calibri"/>
                <w:b w:val="0"/>
                <w:color w:val="243746"/>
                <w:sz w:val="16"/>
              </w:rPr>
              <w:t>63.12%</w:t>
            </w:r>
          </w:p>
        </w:tc>
      </w:tr>
      <w:tr>
        <w:tc>
          <w:tcPr>
            <w:tcW w:type="dxa" w:w="1900"/>
            <w:shd w:fill="F6F9FC"/>
          </w:tcPr>
          <w:p>
            <w:pPr>
              <w:spacing w:before="0" w:after="0" w:line="259" w:lineRule="auto"/>
              <w:jc w:val="left"/>
            </w:pPr>
            <w:r/>
            <w:r>
              <w:rPr>
                <w:rFonts w:ascii="Calibri" w:hAnsi="Calibri"/>
                <w:b/>
                <w:color w:val="243746"/>
                <w:sz w:val="16"/>
              </w:rPr>
              <w:t>Token-aware driver*</w:t>
            </w:r>
          </w:p>
        </w:tc>
        <w:tc>
          <w:tcPr>
            <w:tcW w:type="dxa" w:w="1200"/>
            <w:shd w:fill="F6F9FC"/>
          </w:tcPr>
          <w:p>
            <w:pPr>
              <w:spacing w:before="0" w:after="0" w:line="259" w:lineRule="auto"/>
              <w:jc w:val="center"/>
            </w:pPr>
            <w:r/>
            <w:r>
              <w:rPr>
                <w:rFonts w:ascii="Calibri" w:hAnsi="Calibri"/>
                <w:b w:val="0"/>
                <w:color w:val="243746"/>
                <w:sz w:val="16"/>
              </w:rPr>
              <w:t>44,388</w:t>
            </w:r>
          </w:p>
        </w:tc>
        <w:tc>
          <w:tcPr>
            <w:tcW w:type="dxa" w:w="1700"/>
            <w:shd w:fill="F6F9FC"/>
          </w:tcPr>
          <w:p>
            <w:pPr>
              <w:spacing w:before="0" w:after="0" w:line="259" w:lineRule="auto"/>
              <w:jc w:val="center"/>
            </w:pPr>
            <w:r/>
            <w:r>
              <w:rPr>
                <w:rFonts w:ascii="Calibri" w:hAnsi="Calibri"/>
                <w:b w:val="0"/>
                <w:color w:val="243746"/>
                <w:sz w:val="16"/>
              </w:rPr>
              <w:t>344</w:t>
            </w:r>
          </w:p>
        </w:tc>
        <w:tc>
          <w:tcPr>
            <w:tcW w:type="dxa" w:w="1200"/>
            <w:shd w:fill="F6F9FC"/>
          </w:tcPr>
          <w:p>
            <w:pPr>
              <w:spacing w:before="0" w:after="0" w:line="259" w:lineRule="auto"/>
              <w:jc w:val="center"/>
            </w:pPr>
            <w:r/>
            <w:r>
              <w:rPr>
                <w:rFonts w:ascii="Calibri" w:hAnsi="Calibri"/>
                <w:b w:val="0"/>
                <w:color w:val="243746"/>
                <w:sz w:val="16"/>
              </w:rPr>
              <w:t>0.77%</w:t>
            </w:r>
          </w:p>
        </w:tc>
        <w:tc>
          <w:tcPr>
            <w:tcW w:type="dxa" w:w="1900"/>
            <w:shd w:fill="F6F9FC"/>
          </w:tcPr>
          <w:p>
            <w:pPr>
              <w:spacing w:before="0" w:after="0" w:line="259" w:lineRule="auto"/>
              <w:jc w:val="center"/>
            </w:pPr>
            <w:r/>
            <w:r>
              <w:rPr>
                <w:rFonts w:ascii="Calibri" w:hAnsi="Calibri"/>
                <w:b w:val="0"/>
                <w:color w:val="243746"/>
                <w:sz w:val="16"/>
              </w:rPr>
              <w:t>92</w:t>
            </w:r>
          </w:p>
        </w:tc>
        <w:tc>
          <w:tcPr>
            <w:tcW w:type="dxa" w:w="1460"/>
            <w:shd w:fill="F6F9FC"/>
          </w:tcPr>
          <w:p>
            <w:pPr>
              <w:spacing w:before="0" w:after="0" w:line="259" w:lineRule="auto"/>
              <w:jc w:val="center"/>
            </w:pPr>
            <w:r/>
            <w:r>
              <w:rPr>
                <w:rFonts w:ascii="Calibri" w:hAnsi="Calibri"/>
                <w:b w:val="0"/>
                <w:color w:val="243746"/>
                <w:sz w:val="16"/>
              </w:rPr>
              <w:t>0.62%</w:t>
            </w:r>
          </w:p>
        </w:tc>
      </w:tr>
    </w:tbl>
    <w:p>
      <w:pPr>
        <w:spacing w:after="60"/>
      </w:pPr>
    </w:p>
    <w:p>
      <w:pPr>
        <w:keepNext/>
        <w:jc w:val="center"/>
      </w:pPr>
      <w:r>
        <w:drawing>
          <wp:inline xmlns:a="http://schemas.openxmlformats.org/drawingml/2006/main" xmlns:pic="http://schemas.openxmlformats.org/drawingml/2006/picture">
            <wp:extent cx="5806440" cy="2903220"/>
            <wp:docPr id="10" name="Picture 10" descr="Side-by-side bars comparing coordinator changes, network cut crossings, and distinct coordinators per history." title="Figure 10"/>
            <wp:cNvGraphicFramePr>
              <a:graphicFrameLocks noChangeAspect="1"/>
            </wp:cNvGraphicFramePr>
            <a:graphic>
              <a:graphicData uri="http://schemas.openxmlformats.org/drawingml/2006/picture">
                <pic:pic>
                  <pic:nvPicPr>
                    <pic:cNvPr id="0" name="09_routing_exposure.png"/>
                    <pic:cNvPicPr/>
                  </pic:nvPicPr>
                  <pic:blipFill>
                    <a:blip r:embed="rId20"/>
                    <a:stretch>
                      <a:fillRect/>
                    </a:stretch>
                  </pic:blipFill>
                  <pic:spPr>
                    <a:xfrm>
                      <a:off x="0" y="0"/>
                      <a:ext cx="5806440" cy="2903220"/>
                    </a:xfrm>
                    <a:prstGeom prst="rect"/>
                  </pic:spPr>
                </pic:pic>
              </a:graphicData>
            </a:graphic>
          </wp:inline>
        </w:drawing>
      </w:r>
    </w:p>
    <w:p>
      <w:pPr>
        <w:pStyle w:val="Caption"/>
      </w:pPr>
      <w:r>
        <w:t>Figure 10. Coordinator and partition-side exposure.</w:t>
      </w:r>
    </w:p>
    <w:p>
      <w:pPr>
        <w:pStyle w:val="EvidenceTag"/>
        <w:jc w:val="center"/>
      </w:pPr>
      <w:r>
        <w:t>Source: trial_level_evidence.csv routing fields</w:t>
      </w:r>
    </w:p>
    <w:p>
      <w:r>
        <w:rPr>
          <w:rFonts w:ascii="Calibri" w:hAnsi="Calibri"/>
          <w:color w:val="243746"/>
          <w:sz w:val="21"/>
        </w:rPr>
        <w:t>The random harness changed coordinator in 10,298 of 12,780 histories (80.58%). The driver-policy population changed coordinator in only 344 of 44,388 histories (0.77%). During network partitions, 2,689 of 4,260 randomized histories crossed the cut (63.12%), compared with 92 of 14,796 token-aware histories (0.62%). This exposure gap is large enough to dominate any naive comparison of violation percentages.</w:t>
      </w:r>
    </w:p>
    <w:p>
      <w:pPr>
        <w:pStyle w:val="Heading2"/>
      </w:pPr>
      <w:r>
        <w:t>8.5 Inconclusive histories and availability</w:t>
      </w:r>
    </w:p>
    <w:p>
      <w:pPr>
        <w:keepNext/>
        <w:jc w:val="center"/>
      </w:pPr>
      <w:r>
        <w:drawing>
          <wp:inline xmlns:a="http://schemas.openxmlformats.org/drawingml/2006/main" xmlns:pic="http://schemas.openxmlformats.org/drawingml/2006/picture">
            <wp:extent cx="5806440" cy="3225800"/>
            <wp:docPr id="11" name="Picture 11" descr="Stacked bars showing operation errors and oracle precondition failures, plus error-class totals." title="Figure 11"/>
            <wp:cNvGraphicFramePr>
              <a:graphicFrameLocks noChangeAspect="1"/>
            </wp:cNvGraphicFramePr>
            <a:graphic>
              <a:graphicData uri="http://schemas.openxmlformats.org/drawingml/2006/picture">
                <pic:pic>
                  <pic:nvPicPr>
                    <pic:cNvPr id="0" name="11_inconclusive_causes.png"/>
                    <pic:cNvPicPr/>
                  </pic:nvPicPr>
                  <pic:blipFill>
                    <a:blip r:embed="rId21"/>
                    <a:stretch>
                      <a:fillRect/>
                    </a:stretch>
                  </pic:blipFill>
                  <pic:spPr>
                    <a:xfrm>
                      <a:off x="0" y="0"/>
                      <a:ext cx="5806440" cy="3225800"/>
                    </a:xfrm>
                    <a:prstGeom prst="rect"/>
                  </pic:spPr>
                </pic:pic>
              </a:graphicData>
            </a:graphic>
          </wp:inline>
        </w:drawing>
      </w:r>
    </w:p>
    <w:p>
      <w:pPr>
        <w:pStyle w:val="Caption"/>
      </w:pPr>
      <w:r>
        <w:t>Figure 11. Inconclusive reasons and operation-error classes.</w:t>
      </w:r>
    </w:p>
    <w:p>
      <w:pPr>
        <w:pStyle w:val="EvidenceTag"/>
        <w:jc w:val="center"/>
      </w:pPr>
      <w:r>
        <w:t>Source: trial_level_evidence.csv reason and exception fields</w:t>
      </w:r>
    </w:p>
    <w:tbl>
      <w:tblPr>
        <w:tblStyle w:val="TableGrid"/>
        <w:tblW w:type="dxa" w:w="9360"/>
        <w:jc w:val="left"/>
        <w:tblLayout w:type="fixed"/>
        <w:tblLook w:firstColumn="1" w:firstRow="1" w:lastColumn="0" w:lastRow="0" w:noHBand="0" w:noVBand="1" w:val="04A0"/>
        <w:tblInd w:w="120" w:type="dxa"/>
      </w:tblPr>
      <w:tblGrid>
        <w:gridCol w:w="2400"/>
        <w:gridCol w:w="4660"/>
        <w:gridCol w:w="2300"/>
      </w:tblGrid>
      <w:tr>
        <w:trPr>
          <w:tblHeader w:val="true"/>
        </w:trPr>
        <w:tc>
          <w:tcPr>
            <w:tcW w:type="dxa" w:w="24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46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Primary first-error class</w:t>
            </w:r>
          </w:p>
        </w:tc>
        <w:tc>
          <w:tcPr>
            <w:tcW w:type="dxa" w:w="2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Histories</w:t>
            </w:r>
          </w:p>
        </w:tc>
      </w:tr>
      <w:tr>
        <w:tc>
          <w:tcPr>
            <w:tcW w:type="dxa" w:w="2400"/>
          </w:tcPr>
          <w:p>
            <w:pPr>
              <w:spacing w:before="0" w:after="0" w:line="259" w:lineRule="auto"/>
              <w:jc w:val="left"/>
            </w:pPr>
            <w:r/>
            <w:r>
              <w:rPr>
                <w:rFonts w:ascii="Calibri" w:hAnsi="Calibri"/>
                <w:b w:val="0"/>
                <w:color w:val="243746"/>
                <w:sz w:val="17"/>
              </w:rPr>
              <w:t>Random</w:t>
            </w:r>
          </w:p>
        </w:tc>
        <w:tc>
          <w:tcPr>
            <w:tcW w:type="dxa" w:w="4660"/>
          </w:tcPr>
          <w:p>
            <w:pPr>
              <w:spacing w:before="0" w:after="0" w:line="259" w:lineRule="auto"/>
              <w:jc w:val="left"/>
            </w:pPr>
            <w:r/>
            <w:r>
              <w:rPr>
                <w:rFonts w:ascii="Calibri" w:hAnsi="Calibri"/>
                <w:b w:val="0"/>
                <w:color w:val="243746"/>
                <w:sz w:val="17"/>
              </w:rPr>
              <w:t>Unavailable</w:t>
            </w:r>
          </w:p>
        </w:tc>
        <w:tc>
          <w:tcPr>
            <w:tcW w:type="dxa" w:w="2300"/>
          </w:tcPr>
          <w:p>
            <w:pPr>
              <w:spacing w:before="0" w:after="0" w:line="259" w:lineRule="auto"/>
              <w:jc w:val="center"/>
            </w:pPr>
            <w:r/>
            <w:r>
              <w:rPr>
                <w:rFonts w:ascii="Calibri" w:hAnsi="Calibri"/>
                <w:b w:val="0"/>
                <w:color w:val="243746"/>
                <w:sz w:val="17"/>
              </w:rPr>
              <w:t>5,272</w:t>
            </w:r>
          </w:p>
        </w:tc>
      </w:tr>
      <w:tr>
        <w:tc>
          <w:tcPr>
            <w:tcW w:type="dxa" w:w="2400"/>
            <w:shd w:fill="F6F9FC"/>
          </w:tcPr>
          <w:p>
            <w:pPr>
              <w:spacing w:before="0" w:after="0" w:line="259" w:lineRule="auto"/>
              <w:jc w:val="left"/>
            </w:pPr>
            <w:r/>
            <w:r>
              <w:rPr>
                <w:rFonts w:ascii="Calibri" w:hAnsi="Calibri"/>
                <w:b w:val="0"/>
                <w:color w:val="243746"/>
                <w:sz w:val="17"/>
              </w:rPr>
              <w:t>Random</w:t>
            </w:r>
          </w:p>
        </w:tc>
        <w:tc>
          <w:tcPr>
            <w:tcW w:type="dxa" w:w="4660"/>
            <w:shd w:fill="F6F9FC"/>
          </w:tcPr>
          <w:p>
            <w:pPr>
              <w:spacing w:before="0" w:after="0" w:line="259" w:lineRule="auto"/>
              <w:jc w:val="left"/>
            </w:pPr>
            <w:r/>
            <w:r>
              <w:rPr>
                <w:rFonts w:ascii="Calibri" w:hAnsi="Calibri"/>
                <w:b w:val="0"/>
                <w:color w:val="243746"/>
                <w:sz w:val="17"/>
              </w:rPr>
              <w:t>ReadTimeout</w:t>
            </w:r>
          </w:p>
        </w:tc>
        <w:tc>
          <w:tcPr>
            <w:tcW w:type="dxa" w:w="2300"/>
            <w:shd w:fill="F6F9FC"/>
          </w:tcPr>
          <w:p>
            <w:pPr>
              <w:spacing w:before="0" w:after="0" w:line="259" w:lineRule="auto"/>
              <w:jc w:val="center"/>
            </w:pPr>
            <w:r/>
            <w:r>
              <w:rPr>
                <w:rFonts w:ascii="Calibri" w:hAnsi="Calibri"/>
                <w:b w:val="0"/>
                <w:color w:val="243746"/>
                <w:sz w:val="17"/>
              </w:rPr>
              <w:t>15</w:t>
            </w:r>
          </w:p>
        </w:tc>
      </w:tr>
      <w:tr>
        <w:tc>
          <w:tcPr>
            <w:tcW w:type="dxa" w:w="2400"/>
          </w:tcPr>
          <w:p>
            <w:pPr>
              <w:spacing w:before="0" w:after="0" w:line="259" w:lineRule="auto"/>
              <w:jc w:val="left"/>
            </w:pPr>
            <w:r/>
            <w:r>
              <w:rPr>
                <w:rFonts w:ascii="Calibri" w:hAnsi="Calibri"/>
                <w:b w:val="0"/>
                <w:color w:val="243746"/>
                <w:sz w:val="17"/>
              </w:rPr>
              <w:t>Random</w:t>
            </w:r>
          </w:p>
        </w:tc>
        <w:tc>
          <w:tcPr>
            <w:tcW w:type="dxa" w:w="4660"/>
          </w:tcPr>
          <w:p>
            <w:pPr>
              <w:spacing w:before="0" w:after="0" w:line="259" w:lineRule="auto"/>
              <w:jc w:val="left"/>
            </w:pPr>
            <w:r/>
            <w:r>
              <w:rPr>
                <w:rFonts w:ascii="Calibri" w:hAnsi="Calibri"/>
                <w:b w:val="0"/>
                <w:color w:val="243746"/>
                <w:sz w:val="17"/>
              </w:rPr>
              <w:t>WriteTimeout</w:t>
            </w:r>
          </w:p>
        </w:tc>
        <w:tc>
          <w:tcPr>
            <w:tcW w:type="dxa" w:w="2300"/>
          </w:tcPr>
          <w:p>
            <w:pPr>
              <w:spacing w:before="0" w:after="0" w:line="259" w:lineRule="auto"/>
              <w:jc w:val="center"/>
            </w:pPr>
            <w:r/>
            <w:r>
              <w:rPr>
                <w:rFonts w:ascii="Calibri" w:hAnsi="Calibri"/>
                <w:b w:val="0"/>
                <w:color w:val="243746"/>
                <w:sz w:val="17"/>
              </w:rPr>
              <w:t>11</w:t>
            </w:r>
          </w:p>
        </w:tc>
      </w:tr>
      <w:tr>
        <w:tc>
          <w:tcPr>
            <w:tcW w:type="dxa" w:w="2400"/>
            <w:shd w:fill="F6F9FC"/>
          </w:tcPr>
          <w:p>
            <w:pPr>
              <w:spacing w:before="0" w:after="0" w:line="259" w:lineRule="auto"/>
              <w:jc w:val="left"/>
            </w:pPr>
            <w:r/>
            <w:r>
              <w:rPr>
                <w:rFonts w:ascii="Calibri" w:hAnsi="Calibri"/>
                <w:b w:val="0"/>
                <w:color w:val="243746"/>
                <w:sz w:val="17"/>
              </w:rPr>
              <w:t>Token-aware*</w:t>
            </w:r>
          </w:p>
        </w:tc>
        <w:tc>
          <w:tcPr>
            <w:tcW w:type="dxa" w:w="4660"/>
            <w:shd w:fill="F6F9FC"/>
          </w:tcPr>
          <w:p>
            <w:pPr>
              <w:spacing w:before="0" w:after="0" w:line="259" w:lineRule="auto"/>
              <w:jc w:val="left"/>
            </w:pPr>
            <w:r/>
            <w:r>
              <w:rPr>
                <w:rFonts w:ascii="Calibri" w:hAnsi="Calibri"/>
                <w:b w:val="0"/>
                <w:color w:val="243746"/>
                <w:sz w:val="17"/>
              </w:rPr>
              <w:t>Unavailable</w:t>
            </w:r>
          </w:p>
        </w:tc>
        <w:tc>
          <w:tcPr>
            <w:tcW w:type="dxa" w:w="2300"/>
            <w:shd w:fill="F6F9FC"/>
          </w:tcPr>
          <w:p>
            <w:pPr>
              <w:spacing w:before="0" w:after="0" w:line="259" w:lineRule="auto"/>
              <w:jc w:val="center"/>
            </w:pPr>
            <w:r/>
            <w:r>
              <w:rPr>
                <w:rFonts w:ascii="Calibri" w:hAnsi="Calibri"/>
                <w:b w:val="0"/>
                <w:color w:val="243746"/>
                <w:sz w:val="17"/>
              </w:rPr>
              <w:t>18,032</w:t>
            </w:r>
          </w:p>
        </w:tc>
      </w:tr>
      <w:tr>
        <w:tc>
          <w:tcPr>
            <w:tcW w:type="dxa" w:w="2400"/>
          </w:tcPr>
          <w:p>
            <w:pPr>
              <w:spacing w:before="0" w:after="0" w:line="259" w:lineRule="auto"/>
              <w:jc w:val="left"/>
            </w:pPr>
            <w:r/>
            <w:r>
              <w:rPr>
                <w:rFonts w:ascii="Calibri" w:hAnsi="Calibri"/>
                <w:b w:val="0"/>
                <w:color w:val="243746"/>
                <w:sz w:val="17"/>
              </w:rPr>
              <w:t>Token-aware*</w:t>
            </w:r>
          </w:p>
        </w:tc>
        <w:tc>
          <w:tcPr>
            <w:tcW w:type="dxa" w:w="4660"/>
          </w:tcPr>
          <w:p>
            <w:pPr>
              <w:spacing w:before="0" w:after="0" w:line="259" w:lineRule="auto"/>
              <w:jc w:val="left"/>
            </w:pPr>
            <w:r/>
            <w:r>
              <w:rPr>
                <w:rFonts w:ascii="Calibri" w:hAnsi="Calibri"/>
                <w:b w:val="0"/>
                <w:color w:val="243746"/>
                <w:sz w:val="17"/>
              </w:rPr>
              <w:t>ReadTimeout</w:t>
            </w:r>
          </w:p>
        </w:tc>
        <w:tc>
          <w:tcPr>
            <w:tcW w:type="dxa" w:w="2300"/>
          </w:tcPr>
          <w:p>
            <w:pPr>
              <w:spacing w:before="0" w:after="0" w:line="259" w:lineRule="auto"/>
              <w:jc w:val="center"/>
            </w:pPr>
            <w:r/>
            <w:r>
              <w:rPr>
                <w:rFonts w:ascii="Calibri" w:hAnsi="Calibri"/>
                <w:b w:val="0"/>
                <w:color w:val="243746"/>
                <w:sz w:val="17"/>
              </w:rPr>
              <w:t>58</w:t>
            </w:r>
          </w:p>
        </w:tc>
      </w:tr>
      <w:tr>
        <w:tc>
          <w:tcPr>
            <w:tcW w:type="dxa" w:w="2400"/>
            <w:shd w:fill="F6F9FC"/>
          </w:tcPr>
          <w:p>
            <w:pPr>
              <w:spacing w:before="0" w:after="0" w:line="259" w:lineRule="auto"/>
              <w:jc w:val="left"/>
            </w:pPr>
            <w:r/>
            <w:r>
              <w:rPr>
                <w:rFonts w:ascii="Calibri" w:hAnsi="Calibri"/>
                <w:b w:val="0"/>
                <w:color w:val="243746"/>
                <w:sz w:val="17"/>
              </w:rPr>
              <w:t>Token-aware*</w:t>
            </w:r>
          </w:p>
        </w:tc>
        <w:tc>
          <w:tcPr>
            <w:tcW w:type="dxa" w:w="4660"/>
            <w:shd w:fill="F6F9FC"/>
          </w:tcPr>
          <w:p>
            <w:pPr>
              <w:spacing w:before="0" w:after="0" w:line="259" w:lineRule="auto"/>
              <w:jc w:val="left"/>
            </w:pPr>
            <w:r/>
            <w:r>
              <w:rPr>
                <w:rFonts w:ascii="Calibri" w:hAnsi="Calibri"/>
                <w:b w:val="0"/>
                <w:color w:val="243746"/>
                <w:sz w:val="17"/>
              </w:rPr>
              <w:t>WriteTimeout</w:t>
            </w:r>
          </w:p>
        </w:tc>
        <w:tc>
          <w:tcPr>
            <w:tcW w:type="dxa" w:w="2300"/>
            <w:shd w:fill="F6F9FC"/>
          </w:tcPr>
          <w:p>
            <w:pPr>
              <w:spacing w:before="0" w:after="0" w:line="259" w:lineRule="auto"/>
              <w:jc w:val="center"/>
            </w:pPr>
            <w:r/>
            <w:r>
              <w:rPr>
                <w:rFonts w:ascii="Calibri" w:hAnsi="Calibri"/>
                <w:b w:val="0"/>
                <w:color w:val="243746"/>
                <w:sz w:val="17"/>
              </w:rPr>
              <w:t>34</w:t>
            </w:r>
          </w:p>
        </w:tc>
      </w:tr>
      <w:tr>
        <w:tc>
          <w:tcPr>
            <w:tcW w:type="dxa" w:w="2400"/>
          </w:tcPr>
          <w:p>
            <w:pPr>
              <w:spacing w:before="0" w:after="0" w:line="259" w:lineRule="auto"/>
              <w:jc w:val="left"/>
            </w:pPr>
            <w:r/>
            <w:r>
              <w:rPr>
                <w:rFonts w:ascii="Calibri" w:hAnsi="Calibri"/>
                <w:b w:val="0"/>
                <w:color w:val="243746"/>
                <w:sz w:val="17"/>
              </w:rPr>
              <w:t>Token-aware*</w:t>
            </w:r>
          </w:p>
        </w:tc>
        <w:tc>
          <w:tcPr>
            <w:tcW w:type="dxa" w:w="4660"/>
          </w:tcPr>
          <w:p>
            <w:pPr>
              <w:spacing w:before="0" w:after="0" w:line="259" w:lineRule="auto"/>
              <w:jc w:val="left"/>
            </w:pPr>
            <w:r/>
            <w:r>
              <w:rPr>
                <w:rFonts w:ascii="Calibri" w:hAnsi="Calibri"/>
                <w:b w:val="0"/>
                <w:color w:val="243746"/>
                <w:sz w:val="17"/>
              </w:rPr>
              <w:t>NoHostAvailable</w:t>
            </w:r>
          </w:p>
        </w:tc>
        <w:tc>
          <w:tcPr>
            <w:tcW w:type="dxa" w:w="2300"/>
          </w:tcPr>
          <w:p>
            <w:pPr>
              <w:spacing w:before="0" w:after="0" w:line="259" w:lineRule="auto"/>
              <w:jc w:val="center"/>
            </w:pPr>
            <w:r/>
            <w:r>
              <w:rPr>
                <w:rFonts w:ascii="Calibri" w:hAnsi="Calibri"/>
                <w:b w:val="0"/>
                <w:color w:val="243746"/>
                <w:sz w:val="17"/>
              </w:rPr>
              <w:t>36</w:t>
            </w:r>
          </w:p>
        </w:tc>
      </w:tr>
    </w:tbl>
    <w:p>
      <w:pPr>
        <w:spacing w:after="60"/>
      </w:pPr>
    </w:p>
    <w:p>
      <w:r>
        <w:rPr>
          <w:rFonts w:ascii="Calibri" w:hAnsi="Calibri"/>
          <w:color w:val="243746"/>
          <w:sz w:val="21"/>
        </w:rPr>
        <w:t>Unavailable dominated because Cassandra could immediately determine that the requested replica count was not alive from the selected coordinator's view. Timeouts were rarer and indicate that the coordinator began waiting but did not obtain enough responses before the deadline. NoHostAvailable appeared only in the exploratory driver runs, when no eligible host completed the request. These are availability outcomes, not consistency violations.</w:t>
      </w:r>
    </w:p>
    <w:p>
      <w:pPr>
        <w:pStyle w:val="Heading2"/>
      </w:pPr>
      <w:r>
        <w:t>8.6 Control experiments</w:t>
      </w:r>
    </w:p>
    <w:tbl>
      <w:tblPr>
        <w:tblStyle w:val="TableGrid"/>
        <w:tblW w:type="dxa" w:w="9360"/>
        <w:jc w:val="left"/>
        <w:tblLayout w:type="fixed"/>
        <w:tblLook w:firstColumn="1" w:firstRow="1" w:lastColumn="0" w:lastRow="0" w:noHBand="0" w:noVBand="1" w:val="04A0"/>
        <w:tblInd w:w="120" w:type="dxa"/>
      </w:tblPr>
      <w:tblGrid>
        <w:gridCol w:w="1800"/>
        <w:gridCol w:w="1900"/>
        <w:gridCol w:w="1750"/>
        <w:gridCol w:w="1950"/>
        <w:gridCol w:w="1960"/>
      </w:tblGrid>
      <w:tr>
        <w:trPr>
          <w:tblHeader w:val="true"/>
        </w:trPr>
        <w:tc>
          <w:tcPr>
            <w:tcW w:type="dxa" w:w="18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Read-repair no regression</w:t>
            </w:r>
          </w:p>
        </w:tc>
        <w:tc>
          <w:tcPr>
            <w:tcW w:type="dxa" w:w="17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Read-repair regression</w:t>
            </w:r>
          </w:p>
        </w:tc>
        <w:tc>
          <w:tcPr>
            <w:tcW w:type="dxa" w:w="19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Read-repair inconclusive</w:t>
            </w:r>
          </w:p>
        </w:tc>
        <w:tc>
          <w:tcPr>
            <w:tcW w:type="dxa" w:w="19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Timestamp expected</w:t>
            </w:r>
          </w:p>
        </w:tc>
      </w:tr>
      <w:tr>
        <w:tc>
          <w:tcPr>
            <w:tcW w:type="dxa" w:w="1800"/>
          </w:tcPr>
          <w:p>
            <w:pPr>
              <w:spacing w:before="0" w:after="0" w:line="259" w:lineRule="auto"/>
              <w:jc w:val="left"/>
            </w:pPr>
            <w:r/>
            <w:r>
              <w:rPr>
                <w:rFonts w:ascii="Calibri" w:hAnsi="Calibri"/>
                <w:b w:val="0"/>
                <w:color w:val="243746"/>
                <w:sz w:val="16"/>
              </w:rPr>
              <w:t>Random</w:t>
            </w:r>
          </w:p>
        </w:tc>
        <w:tc>
          <w:tcPr>
            <w:tcW w:type="dxa" w:w="1900"/>
          </w:tcPr>
          <w:p>
            <w:pPr>
              <w:spacing w:before="0" w:after="0" w:line="259" w:lineRule="auto"/>
              <w:jc w:val="center"/>
            </w:pPr>
            <w:r/>
            <w:r>
              <w:rPr>
                <w:rFonts w:ascii="Calibri" w:hAnsi="Calibri"/>
                <w:b w:val="0"/>
                <w:color w:val="243746"/>
                <w:sz w:val="16"/>
              </w:rPr>
              <w:t>67</w:t>
            </w:r>
          </w:p>
        </w:tc>
        <w:tc>
          <w:tcPr>
            <w:tcW w:type="dxa" w:w="1750"/>
          </w:tcPr>
          <w:p>
            <w:pPr>
              <w:spacing w:before="0" w:after="0" w:line="259" w:lineRule="auto"/>
              <w:jc w:val="center"/>
            </w:pPr>
            <w:r/>
            <w:r>
              <w:rPr>
                <w:rFonts w:ascii="Calibri" w:hAnsi="Calibri"/>
                <w:b w:val="0"/>
                <w:color w:val="243746"/>
                <w:sz w:val="16"/>
              </w:rPr>
              <w:t>43</w:t>
            </w:r>
          </w:p>
        </w:tc>
        <w:tc>
          <w:tcPr>
            <w:tcW w:type="dxa" w:w="1950"/>
          </w:tcPr>
          <w:p>
            <w:pPr>
              <w:spacing w:before="0" w:after="0" w:line="259" w:lineRule="auto"/>
              <w:jc w:val="center"/>
            </w:pPr>
            <w:r/>
            <w:r>
              <w:rPr>
                <w:rFonts w:ascii="Calibri" w:hAnsi="Calibri"/>
                <w:b w:val="0"/>
                <w:color w:val="243746"/>
                <w:sz w:val="16"/>
              </w:rPr>
              <w:t>140</w:t>
            </w:r>
          </w:p>
        </w:tc>
        <w:tc>
          <w:tcPr>
            <w:tcW w:type="dxa" w:w="1960"/>
          </w:tcPr>
          <w:p>
            <w:pPr>
              <w:spacing w:before="0" w:after="0" w:line="259" w:lineRule="auto"/>
              <w:jc w:val="center"/>
            </w:pPr>
            <w:r/>
            <w:r>
              <w:rPr>
                <w:rFonts w:ascii="Calibri" w:hAnsi="Calibri"/>
                <w:b w:val="0"/>
                <w:color w:val="243746"/>
                <w:sz w:val="16"/>
              </w:rPr>
              <w:t>125</w:t>
            </w:r>
          </w:p>
        </w:tc>
      </w:tr>
      <w:tr>
        <w:tc>
          <w:tcPr>
            <w:tcW w:type="dxa" w:w="1800"/>
            <w:shd w:fill="F6F9FC"/>
          </w:tcPr>
          <w:p>
            <w:pPr>
              <w:spacing w:before="0" w:after="0" w:line="259" w:lineRule="auto"/>
              <w:jc w:val="left"/>
            </w:pPr>
            <w:r/>
            <w:r>
              <w:rPr>
                <w:rFonts w:ascii="Calibri" w:hAnsi="Calibri"/>
                <w:b w:val="0"/>
                <w:color w:val="243746"/>
                <w:sz w:val="16"/>
              </w:rPr>
              <w:t>Token-aware*</w:t>
            </w:r>
          </w:p>
        </w:tc>
        <w:tc>
          <w:tcPr>
            <w:tcW w:type="dxa" w:w="1900"/>
            <w:shd w:fill="F6F9FC"/>
          </w:tcPr>
          <w:p>
            <w:pPr>
              <w:spacing w:before="0" w:after="0" w:line="259" w:lineRule="auto"/>
              <w:jc w:val="center"/>
            </w:pPr>
            <w:r/>
            <w:r>
              <w:rPr>
                <w:rFonts w:ascii="Calibri" w:hAnsi="Calibri"/>
                <w:b w:val="0"/>
                <w:color w:val="243746"/>
                <w:sz w:val="16"/>
              </w:rPr>
              <w:t>70</w:t>
            </w:r>
          </w:p>
        </w:tc>
        <w:tc>
          <w:tcPr>
            <w:tcW w:type="dxa" w:w="1750"/>
            <w:shd w:fill="F6F9FC"/>
          </w:tcPr>
          <w:p>
            <w:pPr>
              <w:spacing w:before="0" w:after="0" w:line="259" w:lineRule="auto"/>
              <w:jc w:val="center"/>
            </w:pPr>
            <w:r/>
            <w:r>
              <w:rPr>
                <w:rFonts w:ascii="Calibri" w:hAnsi="Calibri"/>
                <w:b w:val="0"/>
                <w:color w:val="243746"/>
                <w:sz w:val="16"/>
              </w:rPr>
              <w:t>49</w:t>
            </w:r>
          </w:p>
        </w:tc>
        <w:tc>
          <w:tcPr>
            <w:tcW w:type="dxa" w:w="1950"/>
            <w:shd w:fill="F6F9FC"/>
          </w:tcPr>
          <w:p>
            <w:pPr>
              <w:spacing w:before="0" w:after="0" w:line="259" w:lineRule="auto"/>
              <w:jc w:val="center"/>
            </w:pPr>
            <w:r/>
            <w:r>
              <w:rPr>
                <w:rFonts w:ascii="Calibri" w:hAnsi="Calibri"/>
                <w:b w:val="0"/>
                <w:color w:val="243746"/>
                <w:sz w:val="16"/>
              </w:rPr>
              <w:t>703</w:t>
            </w:r>
          </w:p>
        </w:tc>
        <w:tc>
          <w:tcPr>
            <w:tcW w:type="dxa" w:w="1960"/>
            <w:shd w:fill="F6F9FC"/>
          </w:tcPr>
          <w:p>
            <w:pPr>
              <w:spacing w:before="0" w:after="0" w:line="259" w:lineRule="auto"/>
              <w:jc w:val="center"/>
            </w:pPr>
            <w:r/>
            <w:r>
              <w:rPr>
                <w:rFonts w:ascii="Calibri" w:hAnsi="Calibri"/>
                <w:b w:val="0"/>
                <w:color w:val="243746"/>
                <w:sz w:val="16"/>
              </w:rPr>
              <w:t>411</w:t>
            </w:r>
          </w:p>
        </w:tc>
      </w:tr>
    </w:tbl>
    <w:p>
      <w:pPr>
        <w:spacing w:after="60"/>
      </w:pPr>
    </w:p>
    <w:p>
      <w:r>
        <w:rPr>
          <w:rFonts w:ascii="Calibri" w:hAnsi="Calibri"/>
          <w:color w:val="243746"/>
          <w:sz w:val="21"/>
        </w:rPr>
        <w:t>All 536 timestamp controls were classified control_expected. Read-repair controls had substantial inconclusive populations; regression and no-regression counts are therefore mechanism checks rather than main-model rates. The controls are reported separately and do not alter the 57,168-history denominator.</w:t>
      </w:r>
    </w:p>
    <w:p>
      <w:r>
        <w:br w:type="page"/>
      </w:r>
    </w:p>
    <w:p>
      <w:pPr>
        <w:pStyle w:val="Heading1"/>
      </w:pPr>
      <w:r>
        <w:t>9. Trace case studies</w:t>
      </w:r>
    </w:p>
    <w:p>
      <w:pPr>
        <w:pStyle w:val="Heading2"/>
      </w:pPr>
      <w:r>
        <w:t>9.1 Token-aware RYW counterexample (exploratory)</w:t>
      </w:r>
    </w:p>
    <w:p>
      <w:r>
        <w:rPr>
          <w:rFonts w:ascii="Calibri" w:hAnsi="Calibri"/>
          <w:color w:val="243746"/>
          <w:sz w:val="21"/>
        </w:rPr>
        <w:t>Trial 20260921T233512Z_000000000135283f:network_partition:18:ONE/ONE:RYW ran while n3 was isolated. Client-1 wrote at ONE through n2, then read at ONE through n3. Both operations completed, but the read returned the initialized state {a:0,b:0}. The saved coordinator sequence n2→n3 and crossed_partition_cut=true establish that the application moved between partition sides. This is a direct RYW violation witness for the finite history.</w:t>
      </w:r>
    </w:p>
    <w:tbl>
      <w:tblPr>
        <w:tblStyle w:val="TableGrid"/>
        <w:tblW w:type="dxa" w:w="9360"/>
        <w:jc w:val="left"/>
        <w:tblLayout w:type="fixed"/>
        <w:tblLook w:firstColumn="1" w:firstRow="1" w:lastColumn="0" w:lastRow="0" w:noHBand="0" w:noVBand="1" w:val="04A0"/>
        <w:tblInd w:w="120" w:type="dxa"/>
      </w:tblPr>
      <w:tblGrid>
        <w:gridCol w:w="700"/>
        <w:gridCol w:w="1500"/>
        <w:gridCol w:w="1900"/>
        <w:gridCol w:w="900"/>
        <w:gridCol w:w="1300"/>
        <w:gridCol w:w="3060"/>
      </w:tblGrid>
      <w:tr>
        <w:trPr>
          <w:tblHeader w:val="true"/>
        </w:trPr>
        <w:tc>
          <w:tcPr>
            <w:tcW w:type="dxa" w:w="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Step</w:t>
            </w:r>
          </w:p>
        </w:tc>
        <w:tc>
          <w:tcPr>
            <w:tcW w:type="dxa" w:w="15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Logical client</w:t>
            </w:r>
          </w:p>
        </w:tc>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Operation</w:t>
            </w:r>
          </w:p>
        </w:tc>
        <w:tc>
          <w:tcPr>
            <w:tcW w:type="dxa" w:w="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CL</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Coordinator</w:t>
            </w:r>
          </w:p>
        </w:tc>
        <w:tc>
          <w:tcPr>
            <w:tcW w:type="dxa" w:w="30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Observed result</w:t>
            </w:r>
          </w:p>
        </w:tc>
      </w:tr>
      <w:tr>
        <w:tc>
          <w:tcPr>
            <w:tcW w:type="dxa" w:w="700"/>
          </w:tcPr>
          <w:p>
            <w:pPr>
              <w:spacing w:before="0" w:after="0" w:line="259" w:lineRule="auto"/>
              <w:jc w:val="center"/>
            </w:pPr>
            <w:r/>
            <w:r>
              <w:rPr>
                <w:rFonts w:ascii="Calibri" w:hAnsi="Calibri"/>
                <w:b w:val="0"/>
                <w:color w:val="243746"/>
                <w:sz w:val="17"/>
              </w:rPr>
              <w:t>1</w:t>
            </w:r>
          </w:p>
        </w:tc>
        <w:tc>
          <w:tcPr>
            <w:tcW w:type="dxa" w:w="1500"/>
          </w:tcPr>
          <w:p>
            <w:pPr>
              <w:spacing w:before="0" w:after="0" w:line="259" w:lineRule="auto"/>
              <w:jc w:val="left"/>
            </w:pPr>
            <w:r/>
            <w:r>
              <w:rPr>
                <w:rFonts w:ascii="Calibri" w:hAnsi="Calibri"/>
                <w:b w:val="0"/>
                <w:color w:val="243746"/>
                <w:sz w:val="17"/>
              </w:rPr>
              <w:t>client-1</w:t>
            </w:r>
          </w:p>
        </w:tc>
        <w:tc>
          <w:tcPr>
            <w:tcW w:type="dxa" w:w="1900"/>
          </w:tcPr>
          <w:p>
            <w:pPr>
              <w:spacing w:before="0" w:after="0" w:line="259" w:lineRule="auto"/>
              <w:jc w:val="left"/>
            </w:pPr>
            <w:r/>
            <w:r>
              <w:rPr>
                <w:rFonts w:ascii="Calibri" w:hAnsi="Calibri"/>
                <w:b w:val="0"/>
                <w:color w:val="243746"/>
                <w:sz w:val="17"/>
              </w:rPr>
              <w:t>write a=1</w:t>
            </w:r>
          </w:p>
        </w:tc>
        <w:tc>
          <w:tcPr>
            <w:tcW w:type="dxa" w:w="900"/>
          </w:tcPr>
          <w:p>
            <w:pPr>
              <w:spacing w:before="0" w:after="0" w:line="259" w:lineRule="auto"/>
              <w:jc w:val="center"/>
            </w:pPr>
            <w:r/>
            <w:r>
              <w:rPr>
                <w:rFonts w:ascii="Calibri" w:hAnsi="Calibri"/>
                <w:b w:val="0"/>
                <w:color w:val="243746"/>
                <w:sz w:val="17"/>
              </w:rPr>
              <w:t>ONE</w:t>
            </w:r>
          </w:p>
        </w:tc>
        <w:tc>
          <w:tcPr>
            <w:tcW w:type="dxa" w:w="1300"/>
          </w:tcPr>
          <w:p>
            <w:pPr>
              <w:spacing w:before="0" w:after="0" w:line="259" w:lineRule="auto"/>
              <w:jc w:val="center"/>
            </w:pPr>
            <w:r/>
            <w:r>
              <w:rPr>
                <w:rFonts w:ascii="Calibri" w:hAnsi="Calibri"/>
                <w:b w:val="0"/>
                <w:color w:val="243746"/>
                <w:sz w:val="17"/>
              </w:rPr>
              <w:t>n2</w:t>
            </w:r>
          </w:p>
        </w:tc>
        <w:tc>
          <w:tcPr>
            <w:tcW w:type="dxa" w:w="3060"/>
          </w:tcPr>
          <w:p>
            <w:pPr>
              <w:spacing w:before="0" w:after="0" w:line="259" w:lineRule="auto"/>
              <w:jc w:val="left"/>
            </w:pPr>
            <w:r/>
            <w:r>
              <w:rPr>
                <w:rFonts w:ascii="Calibri" w:hAnsi="Calibri"/>
                <w:b w:val="0"/>
                <w:color w:val="243746"/>
                <w:sz w:val="17"/>
              </w:rPr>
              <w:t>ok</w:t>
            </w:r>
          </w:p>
        </w:tc>
      </w:tr>
      <w:tr>
        <w:tc>
          <w:tcPr>
            <w:tcW w:type="dxa" w:w="700"/>
            <w:shd w:fill="F6F9FC"/>
          </w:tcPr>
          <w:p>
            <w:pPr>
              <w:spacing w:before="0" w:after="0" w:line="259" w:lineRule="auto"/>
              <w:jc w:val="center"/>
            </w:pPr>
            <w:r/>
            <w:r>
              <w:rPr>
                <w:rFonts w:ascii="Calibri" w:hAnsi="Calibri"/>
                <w:b w:val="0"/>
                <w:color w:val="243746"/>
                <w:sz w:val="17"/>
              </w:rPr>
              <w:t>2</w:t>
            </w:r>
          </w:p>
        </w:tc>
        <w:tc>
          <w:tcPr>
            <w:tcW w:type="dxa" w:w="1500"/>
            <w:shd w:fill="F6F9FC"/>
          </w:tcPr>
          <w:p>
            <w:pPr>
              <w:spacing w:before="0" w:after="0" w:line="259" w:lineRule="auto"/>
              <w:jc w:val="left"/>
            </w:pPr>
            <w:r/>
            <w:r>
              <w:rPr>
                <w:rFonts w:ascii="Calibri" w:hAnsi="Calibri"/>
                <w:b w:val="0"/>
                <w:color w:val="243746"/>
                <w:sz w:val="17"/>
              </w:rPr>
              <w:t>client-1</w:t>
            </w:r>
          </w:p>
        </w:tc>
        <w:tc>
          <w:tcPr>
            <w:tcW w:type="dxa" w:w="1900"/>
            <w:shd w:fill="F6F9FC"/>
          </w:tcPr>
          <w:p>
            <w:pPr>
              <w:spacing w:before="0" w:after="0" w:line="259" w:lineRule="auto"/>
              <w:jc w:val="left"/>
            </w:pPr>
            <w:r/>
            <w:r>
              <w:rPr>
                <w:rFonts w:ascii="Calibri" w:hAnsi="Calibri"/>
                <w:b w:val="0"/>
                <w:color w:val="243746"/>
                <w:sz w:val="17"/>
              </w:rPr>
              <w:t>read a,b</w:t>
            </w:r>
          </w:p>
        </w:tc>
        <w:tc>
          <w:tcPr>
            <w:tcW w:type="dxa" w:w="900"/>
            <w:shd w:fill="F6F9FC"/>
          </w:tcPr>
          <w:p>
            <w:pPr>
              <w:spacing w:before="0" w:after="0" w:line="259" w:lineRule="auto"/>
              <w:jc w:val="center"/>
            </w:pPr>
            <w:r/>
            <w:r>
              <w:rPr>
                <w:rFonts w:ascii="Calibri" w:hAnsi="Calibri"/>
                <w:b w:val="0"/>
                <w:color w:val="243746"/>
                <w:sz w:val="17"/>
              </w:rPr>
              <w:t>ONE</w:t>
            </w:r>
          </w:p>
        </w:tc>
        <w:tc>
          <w:tcPr>
            <w:tcW w:type="dxa" w:w="1300"/>
            <w:shd w:fill="F6F9FC"/>
          </w:tcPr>
          <w:p>
            <w:pPr>
              <w:spacing w:before="0" w:after="0" w:line="259" w:lineRule="auto"/>
              <w:jc w:val="center"/>
            </w:pPr>
            <w:r/>
            <w:r>
              <w:rPr>
                <w:rFonts w:ascii="Calibri" w:hAnsi="Calibri"/>
                <w:b w:val="0"/>
                <w:color w:val="243746"/>
                <w:sz w:val="17"/>
              </w:rPr>
              <w:t>n3</w:t>
            </w:r>
          </w:p>
        </w:tc>
        <w:tc>
          <w:tcPr>
            <w:tcW w:type="dxa" w:w="3060"/>
            <w:shd w:fill="F6F9FC"/>
          </w:tcPr>
          <w:p>
            <w:pPr>
              <w:spacing w:before="0" w:after="0" w:line="259" w:lineRule="auto"/>
              <w:jc w:val="left"/>
            </w:pPr>
            <w:r/>
            <w:r>
              <w:rPr>
                <w:rFonts w:ascii="Calibri" w:hAnsi="Calibri"/>
                <w:b w:val="0"/>
                <w:color w:val="243746"/>
                <w:sz w:val="17"/>
              </w:rPr>
              <w:t>{a:0,b:0}</w:t>
            </w:r>
          </w:p>
        </w:tc>
      </w:tr>
    </w:tbl>
    <w:p>
      <w:pPr>
        <w:spacing w:after="60"/>
      </w:pPr>
    </w:p>
    <w:p>
      <w:pPr>
        <w:pStyle w:val="Callout"/>
        <w:shd w:fill="EAF7F1"/>
        <w:pBdr>
          <w:top w:val="single" w:sz="8" w:color="2E8B68" w:space="5"/>
          <w:left w:val="single" w:sz="8" w:color="2E8B68" w:space="5"/>
          <w:bottom w:val="single" w:sz="8" w:color="2E8B68" w:space="5"/>
          <w:right w:val="single" w:sz="8" w:color="2E8B68" w:space="5"/>
        </w:pBdr>
      </w:pPr>
      <w:r>
        <w:rPr>
          <w:rFonts w:ascii="Calibri" w:hAnsi="Calibri"/>
          <w:b/>
          <w:color w:val="2E8B68"/>
          <w:sz w:val="21"/>
        </w:rPr>
        <w:t xml:space="preserve">Assessment: [x] Expected  </w:t>
      </w:r>
      <w:r>
        <w:rPr>
          <w:rFonts w:ascii="Calibri" w:hAnsi="Calibri"/>
          <w:color w:val="17324D"/>
          <w:sz w:val="21"/>
        </w:rPr>
        <w:t>ONE/ONE does not force read/write intersection. The trace directly proves a cross-cut route and stale application observation; it does not reveal the internal replica response selected for each operation.</w:t>
      </w:r>
    </w:p>
    <w:p>
      <w:pPr>
        <w:pStyle w:val="Heading2"/>
      </w:pPr>
      <w:r>
        <w:t>9.2 Random-routing WFR counterexample</w:t>
      </w:r>
    </w:p>
    <w:p>
      <w:r>
        <w:rPr>
          <w:rFonts w:ascii="Calibri" w:hAnsi="Calibri"/>
          <w:color w:val="243746"/>
          <w:sz w:val="21"/>
        </w:rPr>
        <w:t>Trial 20260919T100850Z_000000000135283b:network_partition:0:ONE/ONE:WFR established the dependency before testing it. The producer wrote a=1 through n2; the dependent client read a=1 through n2; the dependent write b=1 went through n3; and the observer read through n1, returning {a:0,b:1}. The dependent write was visible without the state that triggered it.</w:t>
      </w:r>
    </w:p>
    <w:tbl>
      <w:tblPr>
        <w:tblStyle w:val="TableGrid"/>
        <w:tblW w:type="dxa" w:w="9360"/>
        <w:jc w:val="left"/>
        <w:tblLayout w:type="fixed"/>
        <w:tblLook w:firstColumn="1" w:firstRow="1" w:lastColumn="0" w:lastRow="0" w:noHBand="0" w:noVBand="1" w:val="04A0"/>
        <w:tblInd w:w="120" w:type="dxa"/>
      </w:tblPr>
      <w:tblGrid>
        <w:gridCol w:w="700"/>
        <w:gridCol w:w="1500"/>
        <w:gridCol w:w="1900"/>
        <w:gridCol w:w="900"/>
        <w:gridCol w:w="1300"/>
        <w:gridCol w:w="3060"/>
      </w:tblGrid>
      <w:tr>
        <w:trPr>
          <w:tblHeader w:val="true"/>
        </w:trPr>
        <w:tc>
          <w:tcPr>
            <w:tcW w:type="dxa" w:w="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Step</w:t>
            </w:r>
          </w:p>
        </w:tc>
        <w:tc>
          <w:tcPr>
            <w:tcW w:type="dxa" w:w="15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Logical role</w:t>
            </w:r>
          </w:p>
        </w:tc>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Operation</w:t>
            </w:r>
          </w:p>
        </w:tc>
        <w:tc>
          <w:tcPr>
            <w:tcW w:type="dxa" w:w="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CL</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Coordinator</w:t>
            </w:r>
          </w:p>
        </w:tc>
        <w:tc>
          <w:tcPr>
            <w:tcW w:type="dxa" w:w="30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Observed result</w:t>
            </w:r>
          </w:p>
        </w:tc>
      </w:tr>
      <w:tr>
        <w:tc>
          <w:tcPr>
            <w:tcW w:type="dxa" w:w="700"/>
          </w:tcPr>
          <w:p>
            <w:pPr>
              <w:spacing w:before="0" w:after="0" w:line="259" w:lineRule="auto"/>
              <w:jc w:val="center"/>
            </w:pPr>
            <w:r/>
            <w:r>
              <w:rPr>
                <w:rFonts w:ascii="Calibri" w:hAnsi="Calibri"/>
                <w:b w:val="0"/>
                <w:color w:val="243746"/>
                <w:sz w:val="16"/>
              </w:rPr>
              <w:t>1</w:t>
            </w:r>
          </w:p>
        </w:tc>
        <w:tc>
          <w:tcPr>
            <w:tcW w:type="dxa" w:w="1500"/>
          </w:tcPr>
          <w:p>
            <w:pPr>
              <w:spacing w:before="0" w:after="0" w:line="259" w:lineRule="auto"/>
              <w:jc w:val="left"/>
            </w:pPr>
            <w:r/>
            <w:r>
              <w:rPr>
                <w:rFonts w:ascii="Calibri" w:hAnsi="Calibri"/>
                <w:b w:val="0"/>
                <w:color w:val="243746"/>
                <w:sz w:val="16"/>
              </w:rPr>
              <w:t>producer-1</w:t>
            </w:r>
          </w:p>
        </w:tc>
        <w:tc>
          <w:tcPr>
            <w:tcW w:type="dxa" w:w="1900"/>
          </w:tcPr>
          <w:p>
            <w:pPr>
              <w:spacing w:before="0" w:after="0" w:line="259" w:lineRule="auto"/>
              <w:jc w:val="left"/>
            </w:pPr>
            <w:r/>
            <w:r>
              <w:rPr>
                <w:rFonts w:ascii="Calibri" w:hAnsi="Calibri"/>
                <w:b w:val="0"/>
                <w:color w:val="243746"/>
                <w:sz w:val="16"/>
              </w:rPr>
              <w:t>write a=1</w:t>
            </w:r>
          </w:p>
        </w:tc>
        <w:tc>
          <w:tcPr>
            <w:tcW w:type="dxa" w:w="900"/>
          </w:tcPr>
          <w:p>
            <w:pPr>
              <w:spacing w:before="0" w:after="0" w:line="259" w:lineRule="auto"/>
              <w:jc w:val="center"/>
            </w:pPr>
            <w:r/>
            <w:r>
              <w:rPr>
                <w:rFonts w:ascii="Calibri" w:hAnsi="Calibri"/>
                <w:b w:val="0"/>
                <w:color w:val="243746"/>
                <w:sz w:val="16"/>
              </w:rPr>
              <w:t>ONE</w:t>
            </w:r>
          </w:p>
        </w:tc>
        <w:tc>
          <w:tcPr>
            <w:tcW w:type="dxa" w:w="1300"/>
          </w:tcPr>
          <w:p>
            <w:pPr>
              <w:spacing w:before="0" w:after="0" w:line="259" w:lineRule="auto"/>
              <w:jc w:val="center"/>
            </w:pPr>
            <w:r/>
            <w:r>
              <w:rPr>
                <w:rFonts w:ascii="Calibri" w:hAnsi="Calibri"/>
                <w:b w:val="0"/>
                <w:color w:val="243746"/>
                <w:sz w:val="16"/>
              </w:rPr>
              <w:t>n2</w:t>
            </w:r>
          </w:p>
        </w:tc>
        <w:tc>
          <w:tcPr>
            <w:tcW w:type="dxa" w:w="3060"/>
          </w:tcPr>
          <w:p>
            <w:pPr>
              <w:spacing w:before="0" w:after="0" w:line="259" w:lineRule="auto"/>
              <w:jc w:val="left"/>
            </w:pPr>
            <w:r/>
            <w:r>
              <w:rPr>
                <w:rFonts w:ascii="Calibri" w:hAnsi="Calibri"/>
                <w:b w:val="0"/>
                <w:color w:val="243746"/>
                <w:sz w:val="16"/>
              </w:rPr>
              <w:t>ok</w:t>
            </w:r>
          </w:p>
        </w:tc>
      </w:tr>
      <w:tr>
        <w:tc>
          <w:tcPr>
            <w:tcW w:type="dxa" w:w="700"/>
            <w:shd w:fill="F6F9FC"/>
          </w:tcPr>
          <w:p>
            <w:pPr>
              <w:spacing w:before="0" w:after="0" w:line="259" w:lineRule="auto"/>
              <w:jc w:val="center"/>
            </w:pPr>
            <w:r/>
            <w:r>
              <w:rPr>
                <w:rFonts w:ascii="Calibri" w:hAnsi="Calibri"/>
                <w:b w:val="0"/>
                <w:color w:val="243746"/>
                <w:sz w:val="16"/>
              </w:rPr>
              <w:t>2</w:t>
            </w:r>
          </w:p>
        </w:tc>
        <w:tc>
          <w:tcPr>
            <w:tcW w:type="dxa" w:w="1500"/>
            <w:shd w:fill="F6F9FC"/>
          </w:tcPr>
          <w:p>
            <w:pPr>
              <w:spacing w:before="0" w:after="0" w:line="259" w:lineRule="auto"/>
              <w:jc w:val="left"/>
            </w:pPr>
            <w:r/>
            <w:r>
              <w:rPr>
                <w:rFonts w:ascii="Calibri" w:hAnsi="Calibri"/>
                <w:b w:val="0"/>
                <w:color w:val="243746"/>
                <w:sz w:val="16"/>
              </w:rPr>
              <w:t>dependent</w:t>
            </w:r>
          </w:p>
        </w:tc>
        <w:tc>
          <w:tcPr>
            <w:tcW w:type="dxa" w:w="1900"/>
            <w:shd w:fill="F6F9FC"/>
          </w:tcPr>
          <w:p>
            <w:pPr>
              <w:spacing w:before="0" w:after="0" w:line="259" w:lineRule="auto"/>
              <w:jc w:val="left"/>
            </w:pPr>
            <w:r/>
            <w:r>
              <w:rPr>
                <w:rFonts w:ascii="Calibri" w:hAnsi="Calibri"/>
                <w:b w:val="0"/>
                <w:color w:val="243746"/>
                <w:sz w:val="16"/>
              </w:rPr>
              <w:t>read a,b</w:t>
            </w:r>
          </w:p>
        </w:tc>
        <w:tc>
          <w:tcPr>
            <w:tcW w:type="dxa" w:w="900"/>
            <w:shd w:fill="F6F9FC"/>
          </w:tcPr>
          <w:p>
            <w:pPr>
              <w:spacing w:before="0" w:after="0" w:line="259" w:lineRule="auto"/>
              <w:jc w:val="center"/>
            </w:pPr>
            <w:r/>
            <w:r>
              <w:rPr>
                <w:rFonts w:ascii="Calibri" w:hAnsi="Calibri"/>
                <w:b w:val="0"/>
                <w:color w:val="243746"/>
                <w:sz w:val="16"/>
              </w:rPr>
              <w:t>ONE</w:t>
            </w:r>
          </w:p>
        </w:tc>
        <w:tc>
          <w:tcPr>
            <w:tcW w:type="dxa" w:w="1300"/>
            <w:shd w:fill="F6F9FC"/>
          </w:tcPr>
          <w:p>
            <w:pPr>
              <w:spacing w:before="0" w:after="0" w:line="259" w:lineRule="auto"/>
              <w:jc w:val="center"/>
            </w:pPr>
            <w:r/>
            <w:r>
              <w:rPr>
                <w:rFonts w:ascii="Calibri" w:hAnsi="Calibri"/>
                <w:b w:val="0"/>
                <w:color w:val="243746"/>
                <w:sz w:val="16"/>
              </w:rPr>
              <w:t>n2</w:t>
            </w:r>
          </w:p>
        </w:tc>
        <w:tc>
          <w:tcPr>
            <w:tcW w:type="dxa" w:w="3060"/>
            <w:shd w:fill="F6F9FC"/>
          </w:tcPr>
          <w:p>
            <w:pPr>
              <w:spacing w:before="0" w:after="0" w:line="259" w:lineRule="auto"/>
              <w:jc w:val="left"/>
            </w:pPr>
            <w:r/>
            <w:r>
              <w:rPr>
                <w:rFonts w:ascii="Calibri" w:hAnsi="Calibri"/>
                <w:b w:val="0"/>
                <w:color w:val="243746"/>
                <w:sz w:val="16"/>
              </w:rPr>
              <w:t>{a:1,b:0}</w:t>
            </w:r>
          </w:p>
        </w:tc>
      </w:tr>
      <w:tr>
        <w:tc>
          <w:tcPr>
            <w:tcW w:type="dxa" w:w="700"/>
          </w:tcPr>
          <w:p>
            <w:pPr>
              <w:spacing w:before="0" w:after="0" w:line="259" w:lineRule="auto"/>
              <w:jc w:val="center"/>
            </w:pPr>
            <w:r/>
            <w:r>
              <w:rPr>
                <w:rFonts w:ascii="Calibri" w:hAnsi="Calibri"/>
                <w:b w:val="0"/>
                <w:color w:val="243746"/>
                <w:sz w:val="16"/>
              </w:rPr>
              <w:t>3</w:t>
            </w:r>
          </w:p>
        </w:tc>
        <w:tc>
          <w:tcPr>
            <w:tcW w:type="dxa" w:w="1500"/>
          </w:tcPr>
          <w:p>
            <w:pPr>
              <w:spacing w:before="0" w:after="0" w:line="259" w:lineRule="auto"/>
              <w:jc w:val="left"/>
            </w:pPr>
            <w:r/>
            <w:r>
              <w:rPr>
                <w:rFonts w:ascii="Calibri" w:hAnsi="Calibri"/>
                <w:b w:val="0"/>
                <w:color w:val="243746"/>
                <w:sz w:val="16"/>
              </w:rPr>
              <w:t>dependent</w:t>
            </w:r>
          </w:p>
        </w:tc>
        <w:tc>
          <w:tcPr>
            <w:tcW w:type="dxa" w:w="1900"/>
          </w:tcPr>
          <w:p>
            <w:pPr>
              <w:spacing w:before="0" w:after="0" w:line="259" w:lineRule="auto"/>
              <w:jc w:val="left"/>
            </w:pPr>
            <w:r/>
            <w:r>
              <w:rPr>
                <w:rFonts w:ascii="Calibri" w:hAnsi="Calibri"/>
                <w:b w:val="0"/>
                <w:color w:val="243746"/>
                <w:sz w:val="16"/>
              </w:rPr>
              <w:t>write b=1</w:t>
            </w:r>
          </w:p>
        </w:tc>
        <w:tc>
          <w:tcPr>
            <w:tcW w:type="dxa" w:w="900"/>
          </w:tcPr>
          <w:p>
            <w:pPr>
              <w:spacing w:before="0" w:after="0" w:line="259" w:lineRule="auto"/>
              <w:jc w:val="center"/>
            </w:pPr>
            <w:r/>
            <w:r>
              <w:rPr>
                <w:rFonts w:ascii="Calibri" w:hAnsi="Calibri"/>
                <w:b w:val="0"/>
                <w:color w:val="243746"/>
                <w:sz w:val="16"/>
              </w:rPr>
              <w:t>ONE</w:t>
            </w:r>
          </w:p>
        </w:tc>
        <w:tc>
          <w:tcPr>
            <w:tcW w:type="dxa" w:w="1300"/>
          </w:tcPr>
          <w:p>
            <w:pPr>
              <w:spacing w:before="0" w:after="0" w:line="259" w:lineRule="auto"/>
              <w:jc w:val="center"/>
            </w:pPr>
            <w:r/>
            <w:r>
              <w:rPr>
                <w:rFonts w:ascii="Calibri" w:hAnsi="Calibri"/>
                <w:b w:val="0"/>
                <w:color w:val="243746"/>
                <w:sz w:val="16"/>
              </w:rPr>
              <w:t>n3</w:t>
            </w:r>
          </w:p>
        </w:tc>
        <w:tc>
          <w:tcPr>
            <w:tcW w:type="dxa" w:w="3060"/>
          </w:tcPr>
          <w:p>
            <w:pPr>
              <w:spacing w:before="0" w:after="0" w:line="259" w:lineRule="auto"/>
              <w:jc w:val="left"/>
            </w:pPr>
            <w:r/>
            <w:r>
              <w:rPr>
                <w:rFonts w:ascii="Calibri" w:hAnsi="Calibri"/>
                <w:b w:val="0"/>
                <w:color w:val="243746"/>
                <w:sz w:val="16"/>
              </w:rPr>
              <w:t>ok</w:t>
            </w:r>
          </w:p>
        </w:tc>
      </w:tr>
      <w:tr>
        <w:tc>
          <w:tcPr>
            <w:tcW w:type="dxa" w:w="700"/>
            <w:shd w:fill="F6F9FC"/>
          </w:tcPr>
          <w:p>
            <w:pPr>
              <w:spacing w:before="0" w:after="0" w:line="259" w:lineRule="auto"/>
              <w:jc w:val="center"/>
            </w:pPr>
            <w:r/>
            <w:r>
              <w:rPr>
                <w:rFonts w:ascii="Calibri" w:hAnsi="Calibri"/>
                <w:b w:val="0"/>
                <w:color w:val="243746"/>
                <w:sz w:val="16"/>
              </w:rPr>
              <w:t>4</w:t>
            </w:r>
          </w:p>
        </w:tc>
        <w:tc>
          <w:tcPr>
            <w:tcW w:type="dxa" w:w="1500"/>
            <w:shd w:fill="F6F9FC"/>
          </w:tcPr>
          <w:p>
            <w:pPr>
              <w:spacing w:before="0" w:after="0" w:line="259" w:lineRule="auto"/>
              <w:jc w:val="left"/>
            </w:pPr>
            <w:r/>
            <w:r>
              <w:rPr>
                <w:rFonts w:ascii="Calibri" w:hAnsi="Calibri"/>
                <w:b w:val="0"/>
                <w:color w:val="243746"/>
                <w:sz w:val="16"/>
              </w:rPr>
              <w:t>observer-1</w:t>
            </w:r>
          </w:p>
        </w:tc>
        <w:tc>
          <w:tcPr>
            <w:tcW w:type="dxa" w:w="1900"/>
            <w:shd w:fill="F6F9FC"/>
          </w:tcPr>
          <w:p>
            <w:pPr>
              <w:spacing w:before="0" w:after="0" w:line="259" w:lineRule="auto"/>
              <w:jc w:val="left"/>
            </w:pPr>
            <w:r/>
            <w:r>
              <w:rPr>
                <w:rFonts w:ascii="Calibri" w:hAnsi="Calibri"/>
                <w:b w:val="0"/>
                <w:color w:val="243746"/>
                <w:sz w:val="16"/>
              </w:rPr>
              <w:t>read a,b</w:t>
            </w:r>
          </w:p>
        </w:tc>
        <w:tc>
          <w:tcPr>
            <w:tcW w:type="dxa" w:w="900"/>
            <w:shd w:fill="F6F9FC"/>
          </w:tcPr>
          <w:p>
            <w:pPr>
              <w:spacing w:before="0" w:after="0" w:line="259" w:lineRule="auto"/>
              <w:jc w:val="center"/>
            </w:pPr>
            <w:r/>
            <w:r>
              <w:rPr>
                <w:rFonts w:ascii="Calibri" w:hAnsi="Calibri"/>
                <w:b w:val="0"/>
                <w:color w:val="243746"/>
                <w:sz w:val="16"/>
              </w:rPr>
              <w:t>ONE</w:t>
            </w:r>
          </w:p>
        </w:tc>
        <w:tc>
          <w:tcPr>
            <w:tcW w:type="dxa" w:w="1300"/>
            <w:shd w:fill="F6F9FC"/>
          </w:tcPr>
          <w:p>
            <w:pPr>
              <w:spacing w:before="0" w:after="0" w:line="259" w:lineRule="auto"/>
              <w:jc w:val="center"/>
            </w:pPr>
            <w:r/>
            <w:r>
              <w:rPr>
                <w:rFonts w:ascii="Calibri" w:hAnsi="Calibri"/>
                <w:b w:val="0"/>
                <w:color w:val="243746"/>
                <w:sz w:val="16"/>
              </w:rPr>
              <w:t>n1</w:t>
            </w:r>
          </w:p>
        </w:tc>
        <w:tc>
          <w:tcPr>
            <w:tcW w:type="dxa" w:w="3060"/>
            <w:shd w:fill="F6F9FC"/>
          </w:tcPr>
          <w:p>
            <w:pPr>
              <w:spacing w:before="0" w:after="0" w:line="259" w:lineRule="auto"/>
              <w:jc w:val="left"/>
            </w:pPr>
            <w:r/>
            <w:r>
              <w:rPr>
                <w:rFonts w:ascii="Calibri" w:hAnsi="Calibri"/>
                <w:b w:val="0"/>
                <w:color w:val="243746"/>
                <w:sz w:val="16"/>
              </w:rPr>
              <w:t>{a:0,b:1}</w:t>
            </w:r>
          </w:p>
        </w:tc>
      </w:tr>
    </w:tbl>
    <w:p>
      <w:pPr>
        <w:spacing w:after="60"/>
      </w:pPr>
    </w:p>
    <w:p>
      <w:pPr>
        <w:pStyle w:val="Callout"/>
        <w:shd w:fill="EAF7F1"/>
        <w:pBdr>
          <w:top w:val="single" w:sz="8" w:color="2E8B68" w:space="5"/>
          <w:left w:val="single" w:sz="8" w:color="2E8B68" w:space="5"/>
          <w:bottom w:val="single" w:sz="8" w:color="2E8B68" w:space="5"/>
          <w:right w:val="single" w:sz="8" w:color="2E8B68" w:space="5"/>
        </w:pBdr>
      </w:pPr>
      <w:r>
        <w:rPr>
          <w:rFonts w:ascii="Calibri" w:hAnsi="Calibri"/>
          <w:b/>
          <w:color w:val="2E8B68"/>
          <w:sz w:val="21"/>
        </w:rPr>
        <w:t xml:space="preserve">Assessment: [x] Expected  </w:t>
      </w:r>
      <w:r>
        <w:rPr>
          <w:rFonts w:ascii="Calibri" w:hAnsi="Calibri"/>
          <w:color w:val="17324D"/>
          <w:sz w:val="21"/>
        </w:rPr>
        <w:t>The dependency was observed before b=1 was issued, and the final read exposed b without a. The four saved coordinators and cross-cut flag make this a strong WFR counterexample for the defined workload.</w:t>
      </w:r>
    </w:p>
    <w:p>
      <w:pPr>
        <w:pStyle w:val="Heading2"/>
      </w:pPr>
      <w:r>
        <w:t>9.3 Inconclusive availability trace</w:t>
      </w:r>
    </w:p>
    <w:p>
      <w:r>
        <w:rPr>
          <w:rFonts w:ascii="Calibri" w:hAnsi="Calibri"/>
          <w:color w:val="243746"/>
          <w:sz w:val="21"/>
        </w:rPr>
        <w:t>Trial 20260921T080637Z_00000000000003e9:network_partition:0:ONE/ALL:MR ran with n3 isolated. A producer write at ONE succeeded through n3. Both later reads requested ALL through n3 and returned Unavailable with required_replicas=3 and alive_replicas=1. Since the reads produced no usable values, the MR oracle correctly returned inconclusive rather than violation.</w:t>
      </w:r>
    </w:p>
    <w:p>
      <w:pPr>
        <w:pStyle w:val="Callout"/>
        <w:shd w:fill="FFF4DD"/>
        <w:pBdr>
          <w:top w:val="single" w:sz="8" w:color="C47A14" w:space="5"/>
          <w:left w:val="single" w:sz="8" w:color="C47A14" w:space="5"/>
          <w:bottom w:val="single" w:sz="8" w:color="C47A14" w:space="5"/>
          <w:right w:val="single" w:sz="8" w:color="C47A14" w:space="5"/>
        </w:pBdr>
      </w:pPr>
      <w:r>
        <w:rPr>
          <w:rFonts w:ascii="Calibri" w:hAnsi="Calibri"/>
          <w:b/>
          <w:color w:val="C47A14"/>
          <w:sz w:val="21"/>
        </w:rPr>
        <w:t xml:space="preserve">Assessment: [x] Expected  </w:t>
      </w:r>
      <w:r>
        <w:rPr>
          <w:rFonts w:ascii="Calibri" w:hAnsi="Calibri"/>
          <w:color w:val="17324D"/>
          <w:sz w:val="21"/>
        </w:rPr>
        <w:t>ALL cannot be satisfied on either side of a 2|1 partition. The trace demonstrates the intended availability cost of a strong response requirement.</w:t>
      </w:r>
    </w:p>
    <w:p>
      <w:pPr>
        <w:pStyle w:val="Heading1"/>
        <w:pageBreakBefore/>
      </w:pPr>
      <w:r>
        <w:t>10. Cross-design discussion</w:t>
      </w:r>
    </w:p>
    <w:p>
      <w:pPr>
        <w:pStyle w:val="Heading2"/>
      </w:pPr>
      <w:r>
        <w:t>10.1 What the results support</w:t>
      </w:r>
    </w:p>
    <w:p>
      <w:r>
        <w:rPr>
          <w:rFonts w:ascii="Calibri" w:hAnsi="Calibri"/>
          <w:color w:val="243746"/>
          <w:sz w:val="21"/>
        </w:rPr>
        <w:t>The results support three bounded conclusions. First, the normal cluster produced no counterexample in either saved population. Second, established failures converted stronger replica requirements primarily into unavailability rather than successful stale observations. Third, network partitions plus weak or non-intersecting write/read paths created the conditions for every observed counterexample.</w:t>
      </w:r>
    </w:p>
    <w:p>
      <w:pPr>
        <w:pStyle w:val="Heading2"/>
      </w:pPr>
      <w:r>
        <w:t>10.2 Why routing changed the observed rate</w:t>
      </w:r>
    </w:p>
    <w:p>
      <w:r>
        <w:rPr>
          <w:rFonts w:ascii="Calibri" w:hAnsi="Calibri"/>
          <w:color w:val="243746"/>
          <w:sz w:val="21"/>
        </w:rPr>
        <w:t>The random design actively moved successive operations among Cassandra coordinators and across the 2|1 cut. The token-aware policy generated a stable first-live-local-replica ordering for most histories. Since every node was a replica at RF=3, token awareness did not narrow the replica set, but driver state and query-plan reuse strongly narrowed actual coordinator transitions. The two designs therefore sampled different histories even when they requested the same consistency levels.</w:t>
      </w:r>
    </w:p>
    <w:p>
      <w:r>
        <w:rPr>
          <w:rFonts w:ascii="Calibri" w:hAnsi="Calibri"/>
          <w:color w:val="243746"/>
          <w:sz w:val="21"/>
        </w:rPr>
        <w:t>The lower exploratory token-aware violation rate is consistent with lower cross-cut exposure. It is not evidence that TokenAwarePolicy adds RYW, MR, MW, or WFR guarantees. A fairer causal comparison would stratify or match histories by coordinator changes and partition-side crossings, then compare outcomes within those exposure classes.</w:t>
      </w:r>
    </w:p>
    <w:p>
      <w:pPr>
        <w:pStyle w:val="Heading2"/>
      </w:pPr>
      <w:r>
        <w:t>10.3 Agreement with predictions</w:t>
      </w:r>
    </w:p>
    <w:tbl>
      <w:tblPr>
        <w:tblStyle w:val="TableGrid"/>
        <w:tblW w:type="dxa" w:w="9360"/>
        <w:jc w:val="left"/>
        <w:tblLayout w:type="fixed"/>
        <w:tblLook w:firstColumn="1" w:firstRow="1" w:lastColumn="0" w:lastRow="0" w:noHBand="0" w:noVBand="1" w:val="04A0"/>
        <w:tblInd w:w="120" w:type="dxa"/>
      </w:tblPr>
      <w:tblGrid>
        <w:gridCol w:w="1900"/>
        <w:gridCol w:w="1600"/>
        <w:gridCol w:w="1700"/>
        <w:gridCol w:w="4160"/>
      </w:tblGrid>
      <w:tr>
        <w:trPr>
          <w:tblHeader w:val="true"/>
        </w:trPr>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Observation</w:t>
            </w:r>
          </w:p>
        </w:tc>
        <w:tc>
          <w:tcPr>
            <w:tcW w:type="dxa" w:w="16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Prediction</w:t>
            </w:r>
          </w:p>
        </w:tc>
        <w:tc>
          <w:tcPr>
            <w:tcW w:type="dxa" w:w="1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Assessment</w:t>
            </w:r>
          </w:p>
        </w:tc>
        <w:tc>
          <w:tcPr>
            <w:tcW w:type="dxa" w:w="41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Comment</w:t>
            </w:r>
          </w:p>
        </w:tc>
      </w:tr>
      <w:tr>
        <w:tc>
          <w:tcPr>
            <w:tcW w:type="dxa" w:w="1900"/>
          </w:tcPr>
          <w:p>
            <w:pPr>
              <w:spacing w:before="0" w:after="0" w:line="259" w:lineRule="auto"/>
              <w:jc w:val="left"/>
            </w:pPr>
            <w:r/>
            <w:r>
              <w:rPr>
                <w:rFonts w:ascii="Calibri" w:hAnsi="Calibri"/>
                <w:b/>
                <w:color w:val="243746"/>
                <w:sz w:val="16"/>
              </w:rPr>
              <w:t>No normal-operation violations</w:t>
            </w:r>
          </w:p>
        </w:tc>
        <w:tc>
          <w:tcPr>
            <w:tcW w:type="dxa" w:w="1600"/>
          </w:tcPr>
          <w:p>
            <w:pPr>
              <w:spacing w:before="0" w:after="0" w:line="259" w:lineRule="auto"/>
              <w:jc w:val="left"/>
            </w:pPr>
            <w:r/>
            <w:r>
              <w:rPr>
                <w:rFonts w:ascii="Calibri" w:hAnsi="Calibri"/>
                <w:b w:val="0"/>
                <w:color w:val="243746"/>
                <w:sz w:val="16"/>
              </w:rPr>
              <w:t>Generally expected</w:t>
            </w:r>
          </w:p>
        </w:tc>
        <w:tc>
          <w:tcPr>
            <w:tcW w:type="dxa" w:w="1700"/>
          </w:tcPr>
          <w:p>
            <w:pPr>
              <w:spacing w:before="0" w:after="0" w:line="259" w:lineRule="auto"/>
              <w:jc w:val="left"/>
            </w:pPr>
            <w:r/>
            <w:r>
              <w:rPr>
                <w:rFonts w:ascii="Calibri" w:hAnsi="Calibri"/>
                <w:b w:val="0"/>
                <w:color w:val="243746"/>
                <w:sz w:val="16"/>
              </w:rPr>
              <w:t>[x] Expected</w:t>
            </w:r>
          </w:p>
        </w:tc>
        <w:tc>
          <w:tcPr>
            <w:tcW w:type="dxa" w:w="4160"/>
          </w:tcPr>
          <w:p>
            <w:pPr>
              <w:spacing w:before="0" w:after="0" w:line="259" w:lineRule="auto"/>
              <w:jc w:val="left"/>
            </w:pPr>
            <w:r/>
            <w:r>
              <w:rPr>
                <w:rFonts w:ascii="Calibri" w:hAnsi="Calibri"/>
                <w:b w:val="0"/>
                <w:color w:val="243746"/>
                <w:sz w:val="16"/>
              </w:rPr>
              <w:t>Healthy RF=3 cluster and short sequential histories provided broad visibility.</w:t>
            </w:r>
          </w:p>
        </w:tc>
      </w:tr>
      <w:tr>
        <w:tc>
          <w:tcPr>
            <w:tcW w:type="dxa" w:w="1900"/>
            <w:shd w:fill="F6F9FC"/>
          </w:tcPr>
          <w:p>
            <w:pPr>
              <w:spacing w:before="0" w:after="0" w:line="259" w:lineRule="auto"/>
              <w:jc w:val="left"/>
            </w:pPr>
            <w:r/>
            <w:r>
              <w:rPr>
                <w:rFonts w:ascii="Calibri" w:hAnsi="Calibri"/>
                <w:b/>
                <w:color w:val="243746"/>
                <w:sz w:val="16"/>
              </w:rPr>
              <w:t>No node-failure violations</w:t>
            </w:r>
          </w:p>
        </w:tc>
        <w:tc>
          <w:tcPr>
            <w:tcW w:type="dxa" w:w="1600"/>
            <w:shd w:fill="F6F9FC"/>
          </w:tcPr>
          <w:p>
            <w:pPr>
              <w:spacing w:before="0" w:after="0" w:line="259" w:lineRule="auto"/>
              <w:jc w:val="left"/>
            </w:pPr>
            <w:r/>
            <w:r>
              <w:rPr>
                <w:rFonts w:ascii="Calibri" w:hAnsi="Calibri"/>
                <w:b w:val="0"/>
                <w:color w:val="243746"/>
                <w:sz w:val="16"/>
              </w:rPr>
              <w:t>Plausible with errors</w:t>
            </w:r>
          </w:p>
        </w:tc>
        <w:tc>
          <w:tcPr>
            <w:tcW w:type="dxa" w:w="1700"/>
            <w:shd w:fill="F6F9FC"/>
          </w:tcPr>
          <w:p>
            <w:pPr>
              <w:spacing w:before="0" w:after="0" w:line="259" w:lineRule="auto"/>
              <w:jc w:val="left"/>
            </w:pPr>
            <w:r/>
            <w:r>
              <w:rPr>
                <w:rFonts w:ascii="Calibri" w:hAnsi="Calibri"/>
                <w:b w:val="0"/>
                <w:color w:val="243746"/>
                <w:sz w:val="16"/>
              </w:rPr>
              <w:t>[x] Expected</w:t>
            </w:r>
          </w:p>
        </w:tc>
        <w:tc>
          <w:tcPr>
            <w:tcW w:type="dxa" w:w="4160"/>
            <w:shd w:fill="F6F9FC"/>
          </w:tcPr>
          <w:p>
            <w:pPr>
              <w:spacing w:before="0" w:after="0" w:line="259" w:lineRule="auto"/>
              <w:jc w:val="left"/>
            </w:pPr>
            <w:r/>
            <w:r>
              <w:rPr>
                <w:rFonts w:ascii="Calibri" w:hAnsi="Calibri"/>
                <w:b w:val="0"/>
                <w:color w:val="243746"/>
                <w:sz w:val="16"/>
              </w:rPr>
              <w:t>Unavailable histories were not misclassified as violations.</w:t>
            </w:r>
          </w:p>
        </w:tc>
      </w:tr>
      <w:tr>
        <w:tc>
          <w:tcPr>
            <w:tcW w:type="dxa" w:w="1900"/>
          </w:tcPr>
          <w:p>
            <w:pPr>
              <w:spacing w:before="0" w:after="0" w:line="259" w:lineRule="auto"/>
              <w:jc w:val="left"/>
            </w:pPr>
            <w:r/>
            <w:r>
              <w:rPr>
                <w:rFonts w:ascii="Calibri" w:hAnsi="Calibri"/>
                <w:b/>
                <w:color w:val="243746"/>
                <w:sz w:val="16"/>
              </w:rPr>
              <w:t>Weak-path partition violations</w:t>
            </w:r>
          </w:p>
        </w:tc>
        <w:tc>
          <w:tcPr>
            <w:tcW w:type="dxa" w:w="1600"/>
          </w:tcPr>
          <w:p>
            <w:pPr>
              <w:spacing w:before="0" w:after="0" w:line="259" w:lineRule="auto"/>
              <w:jc w:val="left"/>
            </w:pPr>
            <w:r/>
            <w:r>
              <w:rPr>
                <w:rFonts w:ascii="Calibri" w:hAnsi="Calibri"/>
                <w:b w:val="0"/>
                <w:color w:val="243746"/>
                <w:sz w:val="16"/>
              </w:rPr>
              <w:t>Predicted</w:t>
            </w:r>
          </w:p>
        </w:tc>
        <w:tc>
          <w:tcPr>
            <w:tcW w:type="dxa" w:w="1700"/>
          </w:tcPr>
          <w:p>
            <w:pPr>
              <w:spacing w:before="0" w:after="0" w:line="259" w:lineRule="auto"/>
              <w:jc w:val="left"/>
            </w:pPr>
            <w:r/>
            <w:r>
              <w:rPr>
                <w:rFonts w:ascii="Calibri" w:hAnsi="Calibri"/>
                <w:b w:val="0"/>
                <w:color w:val="243746"/>
                <w:sz w:val="16"/>
              </w:rPr>
              <w:t>[x] Expected</w:t>
            </w:r>
          </w:p>
        </w:tc>
        <w:tc>
          <w:tcPr>
            <w:tcW w:type="dxa" w:w="4160"/>
          </w:tcPr>
          <w:p>
            <w:pPr>
              <w:spacing w:before="0" w:after="0" w:line="259" w:lineRule="auto"/>
              <w:jc w:val="left"/>
            </w:pPr>
            <w:r/>
            <w:r>
              <w:rPr>
                <w:rFonts w:ascii="Calibri" w:hAnsi="Calibri"/>
                <w:b w:val="0"/>
                <w:color w:val="243746"/>
                <w:sz w:val="16"/>
              </w:rPr>
              <w:t>ONE/ONE and non-intersecting pairs can expose partition-side divergence.</w:t>
            </w:r>
          </w:p>
        </w:tc>
      </w:tr>
      <w:tr>
        <w:tc>
          <w:tcPr>
            <w:tcW w:type="dxa" w:w="1900"/>
            <w:shd w:fill="F6F9FC"/>
          </w:tcPr>
          <w:p>
            <w:pPr>
              <w:spacing w:before="0" w:after="0" w:line="259" w:lineRule="auto"/>
              <w:jc w:val="left"/>
            </w:pPr>
            <w:r/>
            <w:r>
              <w:rPr>
                <w:rFonts w:ascii="Calibri" w:hAnsi="Calibri"/>
                <w:b/>
                <w:color w:val="243746"/>
                <w:sz w:val="16"/>
              </w:rPr>
              <w:t>No QQ or ALL-cell violations</w:t>
            </w:r>
          </w:p>
        </w:tc>
        <w:tc>
          <w:tcPr>
            <w:tcW w:type="dxa" w:w="1600"/>
            <w:shd w:fill="F6F9FC"/>
          </w:tcPr>
          <w:p>
            <w:pPr>
              <w:spacing w:before="0" w:after="0" w:line="259" w:lineRule="auto"/>
              <w:jc w:val="left"/>
            </w:pPr>
            <w:r/>
            <w:r>
              <w:rPr>
                <w:rFonts w:ascii="Calibri" w:hAnsi="Calibri"/>
                <w:b w:val="0"/>
                <w:color w:val="243746"/>
                <w:sz w:val="16"/>
              </w:rPr>
              <w:t>Predicted while evaluable</w:t>
            </w:r>
          </w:p>
        </w:tc>
        <w:tc>
          <w:tcPr>
            <w:tcW w:type="dxa" w:w="1700"/>
            <w:shd w:fill="F6F9FC"/>
          </w:tcPr>
          <w:p>
            <w:pPr>
              <w:spacing w:before="0" w:after="0" w:line="259" w:lineRule="auto"/>
              <w:jc w:val="left"/>
            </w:pPr>
            <w:r/>
            <w:r>
              <w:rPr>
                <w:rFonts w:ascii="Calibri" w:hAnsi="Calibri"/>
                <w:b w:val="0"/>
                <w:color w:val="243746"/>
                <w:sz w:val="16"/>
              </w:rPr>
              <w:t>[x] Expected</w:t>
            </w:r>
          </w:p>
        </w:tc>
        <w:tc>
          <w:tcPr>
            <w:tcW w:type="dxa" w:w="4160"/>
            <w:shd w:fill="F6F9FC"/>
          </w:tcPr>
          <w:p>
            <w:pPr>
              <w:spacing w:before="0" w:after="0" w:line="259" w:lineRule="auto"/>
              <w:jc w:val="left"/>
            </w:pPr>
            <w:r/>
            <w:r>
              <w:rPr>
                <w:rFonts w:ascii="Calibri" w:hAnsi="Calibri"/>
                <w:b w:val="0"/>
                <w:color w:val="243746"/>
                <w:sz w:val="16"/>
              </w:rPr>
              <w:t>Intersection/participation blocked completed witnesses; many histories were unavailable.</w:t>
            </w:r>
          </w:p>
        </w:tc>
      </w:tr>
      <w:tr>
        <w:tc>
          <w:tcPr>
            <w:tcW w:type="dxa" w:w="1900"/>
          </w:tcPr>
          <w:p>
            <w:pPr>
              <w:spacing w:before="0" w:after="0" w:line="259" w:lineRule="auto"/>
              <w:jc w:val="left"/>
            </w:pPr>
            <w:r/>
            <w:r>
              <w:rPr>
                <w:rFonts w:ascii="Calibri" w:hAnsi="Calibri"/>
                <w:b/>
                <w:color w:val="243746"/>
                <w:sz w:val="16"/>
              </w:rPr>
              <w:t>Much lower token-aware rate</w:t>
            </w:r>
          </w:p>
        </w:tc>
        <w:tc>
          <w:tcPr>
            <w:tcW w:type="dxa" w:w="1600"/>
          </w:tcPr>
          <w:p>
            <w:pPr>
              <w:spacing w:before="0" w:after="0" w:line="259" w:lineRule="auto"/>
              <w:jc w:val="left"/>
            </w:pPr>
            <w:r/>
            <w:r>
              <w:rPr>
                <w:rFonts w:ascii="Calibri" w:hAnsi="Calibri"/>
                <w:b w:val="0"/>
                <w:color w:val="243746"/>
                <w:sz w:val="16"/>
              </w:rPr>
              <w:t>Exposure-sensitive</w:t>
            </w:r>
          </w:p>
        </w:tc>
        <w:tc>
          <w:tcPr>
            <w:tcW w:type="dxa" w:w="1700"/>
          </w:tcPr>
          <w:p>
            <w:pPr>
              <w:spacing w:before="0" w:after="0" w:line="259" w:lineRule="auto"/>
              <w:jc w:val="left"/>
            </w:pPr>
            <w:r/>
            <w:r>
              <w:rPr>
                <w:rFonts w:ascii="Calibri" w:hAnsi="Calibri"/>
                <w:b w:val="0"/>
                <w:color w:val="243746"/>
                <w:sz w:val="16"/>
              </w:rPr>
              <w:t>[ ] Insufficient exposure</w:t>
            </w:r>
          </w:p>
        </w:tc>
        <w:tc>
          <w:tcPr>
            <w:tcW w:type="dxa" w:w="4160"/>
          </w:tcPr>
          <w:p>
            <w:pPr>
              <w:spacing w:before="0" w:after="0" w:line="259" w:lineRule="auto"/>
              <w:jc w:val="left"/>
            </w:pPr>
            <w:r/>
            <w:r>
              <w:rPr>
                <w:rFonts w:ascii="Calibri" w:hAnsi="Calibri"/>
                <w:b w:val="0"/>
                <w:color w:val="243746"/>
                <w:sz w:val="16"/>
              </w:rPr>
              <w:t>Cross-cut histories were 0.62% versus 63.12%, and token runs were smoke-profile.</w:t>
            </w:r>
          </w:p>
        </w:tc>
      </w:tr>
    </w:tbl>
    <w:p>
      <w:pPr>
        <w:spacing w:after="60"/>
      </w:pPr>
    </w:p>
    <w:p>
      <w:pPr>
        <w:pStyle w:val="Heading2"/>
      </w:pPr>
      <w:r>
        <w:t>10.4 Availability versus safety</w:t>
      </w:r>
    </w:p>
    <w:p>
      <w:r>
        <w:rPr>
          <w:rFonts w:ascii="Calibri" w:hAnsi="Calibri"/>
          <w:color w:val="243746"/>
          <w:sz w:val="21"/>
        </w:rPr>
        <w:t>Safety and availability must be read together. ALL removed many histories from the evaluable denominator during faults. A zero violation count in such cells can mean that the system rejected the operation rather than returned a value satisfying the client-centric model. Conversely, ONE preserved more evaluable histories but allowed minority-side observations. The report therefore avoids a single pass/fail score.</w:t>
      </w:r>
    </w:p>
    <w:p>
      <w:pPr>
        <w:pStyle w:val="Heading1"/>
      </w:pPr>
      <w:r>
        <w:t>11. Limitations and validity</w:t>
      </w:r>
    </w:p>
    <w:p>
      <w:pPr>
        <w:pStyle w:val="ListBullet"/>
      </w:pPr>
      <w:r>
        <w:rPr>
          <w:rFonts w:ascii="Calibri" w:hAnsi="Calibri"/>
          <w:color w:val="243746"/>
          <w:sz w:val="21"/>
        </w:rPr>
        <w:t>Profile validity: all token-aware runs are saved as profile=smoke. Their 44,388 histories are exploratory until a full-profile run passes the experiment-specific verifier.</w:t>
      </w:r>
    </w:p>
    <w:p>
      <w:pPr>
        <w:pStyle w:val="ListBullet"/>
      </w:pPr>
      <w:r>
        <w:rPr>
          <w:rFonts w:ascii="Calibri" w:hAnsi="Calibri"/>
          <w:color w:val="243746"/>
          <w:sz w:val="21"/>
        </w:rPr>
        <w:t>Unequal populations: run counts, rounds, and selected cells differ between the two designs; pooled rates are descriptive rather than randomized causal estimates.</w:t>
      </w:r>
    </w:p>
    <w:p>
      <w:pPr>
        <w:pStyle w:val="ListBullet"/>
      </w:pPr>
      <w:r>
        <w:rPr>
          <w:rFonts w:ascii="Calibri" w:hAnsi="Calibri"/>
          <w:color w:val="243746"/>
          <w:sz w:val="21"/>
        </w:rPr>
        <w:t>Exposure confounding: routing policy substantially changed coordinator and partition-side exposure. This is part of the design effect but prevents interpreting raw violation-rate differences as a consistency guarantee.</w:t>
      </w:r>
    </w:p>
    <w:p>
      <w:pPr>
        <w:pStyle w:val="ListBullet"/>
      </w:pPr>
      <w:r>
        <w:rPr>
          <w:rFonts w:ascii="Calibri" w:hAnsi="Calibri"/>
          <w:color w:val="243746"/>
          <w:sz w:val="21"/>
        </w:rPr>
        <w:t>Single physical host: three containers share Docker Desktop resources, storage, clocks, and failure modes. A container SIGKILL is not identical to loss of an independent server.</w:t>
      </w:r>
    </w:p>
    <w:p>
      <w:pPr>
        <w:pStyle w:val="ListBullet"/>
      </w:pPr>
      <w:r>
        <w:rPr>
          <w:rFonts w:ascii="Calibri" w:hAnsi="Calibri"/>
          <w:color w:val="243746"/>
          <w:sz w:val="21"/>
        </w:rPr>
        <w:t>Single datacenter and RF=3: results do not generalize directly to multiple datacenters, larger replica sets, LOCAL_* levels, or different snitches and rack layouts.</w:t>
      </w:r>
    </w:p>
    <w:p>
      <w:pPr>
        <w:pStyle w:val="ListBullet"/>
      </w:pPr>
      <w:r>
        <w:rPr>
          <w:rFonts w:ascii="Calibri" w:hAnsi="Calibri"/>
          <w:color w:val="243746"/>
          <w:sz w:val="21"/>
        </w:rPr>
        <w:t>Finite counterexample search: no-violation-observed does not prove a universal session property; rare schedules may be missed.</w:t>
      </w:r>
    </w:p>
    <w:p>
      <w:pPr>
        <w:pStyle w:val="ListBullet"/>
      </w:pPr>
      <w:r>
        <w:rPr>
          <w:rFonts w:ascii="Calibri" w:hAnsi="Calibri"/>
          <w:color w:val="243746"/>
          <w:sz w:val="21"/>
        </w:rPr>
        <w:t>Internal response limits: coordinator and attempted-host evidence are recorded, but the exact responding replica set for every successful operation is not always available. Some causal explanations remain plausible rather than proven.</w:t>
      </w:r>
    </w:p>
    <w:p>
      <w:pPr>
        <w:pStyle w:val="ListBullet"/>
      </w:pPr>
      <w:r>
        <w:rPr>
          <w:rFonts w:ascii="Calibri" w:hAnsi="Calibri"/>
          <w:color w:val="243746"/>
          <w:sz w:val="21"/>
        </w:rPr>
        <w:t>Hints disabled: healthy membership after recovery does not prove divergent data converged. Direct post-recovery reads or repair evidence would be needed.</w:t>
      </w:r>
    </w:p>
    <w:p>
      <w:pPr>
        <w:pStyle w:val="ListBullet"/>
      </w:pPr>
      <w:r>
        <w:rPr>
          <w:rFonts w:ascii="Calibri" w:hAnsi="Calibri"/>
          <w:color w:val="243746"/>
          <w:sz w:val="21"/>
        </w:rPr>
        <w:t>Read repair and timestamp semantics: table settings and client-supplied timestamps shape observations and must accompany any reproduction.</w:t>
      </w:r>
    </w:p>
    <w:p>
      <w:pPr>
        <w:pStyle w:val="ListBullet"/>
      </w:pPr>
      <w:r>
        <w:rPr>
          <w:rFonts w:ascii="Calibri" w:hAnsi="Calibri"/>
          <w:color w:val="243746"/>
          <w:sz w:val="21"/>
        </w:rPr>
        <w:t>Environment drift: eligible runs span several Git revisions, Python versions, Docker Compose versions, and macOS/Linux hosts. The run-level CSV retains these values for audit.</w:t>
      </w:r>
    </w:p>
    <w:p>
      <w:pPr>
        <w:pStyle w:val="Callout"/>
        <w:shd w:fill="FCECEF"/>
        <w:pBdr>
          <w:top w:val="single" w:sz="8" w:color="C43D4B" w:space="5"/>
          <w:left w:val="single" w:sz="8" w:color="C43D4B" w:space="5"/>
          <w:bottom w:val="single" w:sz="8" w:color="C43D4B" w:space="5"/>
          <w:right w:val="single" w:sz="8" w:color="C43D4B" w:space="5"/>
        </w:pBdr>
      </w:pPr>
      <w:r>
        <w:rPr>
          <w:rFonts w:ascii="Calibri" w:hAnsi="Calibri"/>
          <w:b/>
          <w:color w:val="C43D4B"/>
          <w:sz w:val="21"/>
        </w:rPr>
        <w:t xml:space="preserve">Required before final submission  </w:t>
      </w:r>
      <w:r>
        <w:rPr>
          <w:rFonts w:ascii="Calibri" w:hAnsi="Calibri"/>
          <w:color w:val="17324D"/>
          <w:sz w:val="21"/>
        </w:rPr>
        <w:t>Run at least one full-profile token-aware experiment from the final code revision, validate it with scripts/verify_randomized.py, regenerate both CSVs, and rebuild this report. Replace the cover's group-member line and recheck every reported denominator.</w:t>
      </w:r>
    </w:p>
    <w:p>
      <w:r>
        <w:br w:type="page"/>
      </w:r>
    </w:p>
    <w:p>
      <w:pPr>
        <w:pStyle w:val="Heading1"/>
      </w:pPr>
      <w:r>
        <w:t>12. Reproduction</w:t>
      </w:r>
    </w:p>
    <w:p>
      <w:pPr>
        <w:pStyle w:val="Heading2"/>
      </w:pPr>
      <w:r>
        <w:t>12.1 Software and deployment parameters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Parameter</w:t>
            </w:r>
          </w:p>
        </w:tc>
        <w:tc>
          <w:tcPr>
            <w:tcW w:type="dxa" w:w="67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Recorded value</w:t>
            </w:r>
          </w:p>
        </w:tc>
      </w:tr>
      <w:tr>
        <w:tc>
          <w:tcPr>
            <w:tcW w:type="dxa" w:w="2600"/>
          </w:tcPr>
          <w:p>
            <w:pPr>
              <w:spacing w:before="0" w:after="0" w:line="259" w:lineRule="auto"/>
              <w:jc w:val="left"/>
            </w:pPr>
            <w:r/>
            <w:r>
              <w:rPr>
                <w:rFonts w:ascii="Calibri" w:hAnsi="Calibri"/>
                <w:b/>
                <w:color w:val="243746"/>
                <w:sz w:val="17"/>
              </w:rPr>
              <w:t>Database image</w:t>
            </w:r>
          </w:p>
        </w:tc>
        <w:tc>
          <w:tcPr>
            <w:tcW w:type="dxa" w:w="6760"/>
          </w:tcPr>
          <w:p>
            <w:pPr>
              <w:spacing w:before="0" w:after="0" w:line="259" w:lineRule="auto"/>
              <w:jc w:val="left"/>
            </w:pPr>
            <w:r/>
            <w:r>
              <w:rPr>
                <w:rFonts w:ascii="Calibri" w:hAnsi="Calibri"/>
                <w:b w:val="0"/>
                <w:color w:val="243746"/>
                <w:sz w:val="17"/>
              </w:rPr>
              <w:t>consistency-lab-cassandra:5.0.9</w:t>
            </w:r>
          </w:p>
        </w:tc>
      </w:tr>
      <w:tr>
        <w:tc>
          <w:tcPr>
            <w:tcW w:type="dxa" w:w="2600"/>
            <w:shd w:fill="F6F9FC"/>
          </w:tcPr>
          <w:p>
            <w:pPr>
              <w:spacing w:before="0" w:after="0" w:line="259" w:lineRule="auto"/>
              <w:jc w:val="left"/>
            </w:pPr>
            <w:r/>
            <w:r>
              <w:rPr>
                <w:rFonts w:ascii="Calibri" w:hAnsi="Calibri"/>
                <w:b/>
                <w:color w:val="243746"/>
                <w:sz w:val="17"/>
              </w:rPr>
              <w:t>Python Cassandra driver</w:t>
            </w:r>
          </w:p>
        </w:tc>
        <w:tc>
          <w:tcPr>
            <w:tcW w:type="dxa" w:w="6760"/>
            <w:shd w:fill="F6F9FC"/>
          </w:tcPr>
          <w:p>
            <w:pPr>
              <w:spacing w:before="0" w:after="0" w:line="259" w:lineRule="auto"/>
              <w:jc w:val="left"/>
            </w:pPr>
            <w:r/>
            <w:r>
              <w:rPr>
                <w:rFonts w:ascii="Calibri" w:hAnsi="Calibri"/>
                <w:b w:val="0"/>
                <w:color w:val="243746"/>
                <w:sz w:val="17"/>
              </w:rPr>
              <w:t>cassandra-driver 3.29.2</w:t>
            </w:r>
          </w:p>
        </w:tc>
      </w:tr>
      <w:tr>
        <w:tc>
          <w:tcPr>
            <w:tcW w:type="dxa" w:w="2600"/>
          </w:tcPr>
          <w:p>
            <w:pPr>
              <w:spacing w:before="0" w:after="0" w:line="259" w:lineRule="auto"/>
              <w:jc w:val="left"/>
            </w:pPr>
            <w:r/>
            <w:r>
              <w:rPr>
                <w:rFonts w:ascii="Calibri" w:hAnsi="Calibri"/>
                <w:b/>
                <w:color w:val="243746"/>
                <w:sz w:val="17"/>
              </w:rPr>
              <w:t>Services</w:t>
            </w:r>
          </w:p>
        </w:tc>
        <w:tc>
          <w:tcPr>
            <w:tcW w:type="dxa" w:w="6760"/>
          </w:tcPr>
          <w:p>
            <w:pPr>
              <w:spacing w:before="0" w:after="0" w:line="259" w:lineRule="auto"/>
              <w:jc w:val="left"/>
            </w:pPr>
            <w:r/>
            <w:r>
              <w:rPr>
                <w:rFonts w:ascii="Calibri" w:hAnsi="Calibri"/>
                <w:b w:val="0"/>
                <w:color w:val="243746"/>
                <w:sz w:val="17"/>
              </w:rPr>
              <w:t>n1, n2, n3, client</w:t>
            </w:r>
          </w:p>
        </w:tc>
      </w:tr>
      <w:tr>
        <w:tc>
          <w:tcPr>
            <w:tcW w:type="dxa" w:w="2600"/>
            <w:shd w:fill="F6F9FC"/>
          </w:tcPr>
          <w:p>
            <w:pPr>
              <w:spacing w:before="0" w:after="0" w:line="259" w:lineRule="auto"/>
              <w:jc w:val="left"/>
            </w:pPr>
            <w:r/>
            <w:r>
              <w:rPr>
                <w:rFonts w:ascii="Calibri" w:hAnsi="Calibri"/>
                <w:b/>
                <w:color w:val="243746"/>
                <w:sz w:val="17"/>
              </w:rPr>
              <w:t>Cluster / datacenter / rack</w:t>
            </w:r>
          </w:p>
        </w:tc>
        <w:tc>
          <w:tcPr>
            <w:tcW w:type="dxa" w:w="6760"/>
            <w:shd w:fill="F6F9FC"/>
          </w:tcPr>
          <w:p>
            <w:pPr>
              <w:spacing w:before="0" w:after="0" w:line="259" w:lineRule="auto"/>
              <w:jc w:val="left"/>
            </w:pPr>
            <w:r/>
            <w:r>
              <w:rPr>
                <w:rFonts w:ascii="Calibri" w:hAnsi="Calibri"/>
                <w:b w:val="0"/>
                <w:color w:val="243746"/>
                <w:sz w:val="17"/>
              </w:rPr>
              <w:t>ConsistencyLab / dc1 / rack1</w:t>
            </w:r>
          </w:p>
        </w:tc>
      </w:tr>
      <w:tr>
        <w:tc>
          <w:tcPr>
            <w:tcW w:type="dxa" w:w="2600"/>
          </w:tcPr>
          <w:p>
            <w:pPr>
              <w:spacing w:before="0" w:after="0" w:line="259" w:lineRule="auto"/>
              <w:jc w:val="left"/>
            </w:pPr>
            <w:r/>
            <w:r>
              <w:rPr>
                <w:rFonts w:ascii="Calibri" w:hAnsi="Calibri"/>
                <w:b/>
                <w:color w:val="243746"/>
                <w:sz w:val="17"/>
              </w:rPr>
              <w:t>Tokens per node</w:t>
            </w:r>
          </w:p>
        </w:tc>
        <w:tc>
          <w:tcPr>
            <w:tcW w:type="dxa" w:w="6760"/>
          </w:tcPr>
          <w:p>
            <w:pPr>
              <w:spacing w:before="0" w:after="0" w:line="259" w:lineRule="auto"/>
              <w:jc w:val="left"/>
            </w:pPr>
            <w:r/>
            <w:r>
              <w:rPr>
                <w:rFonts w:ascii="Calibri" w:hAnsi="Calibri"/>
                <w:b w:val="0"/>
                <w:color w:val="243746"/>
                <w:sz w:val="17"/>
              </w:rPr>
              <w:t>16</w:t>
            </w:r>
          </w:p>
        </w:tc>
      </w:tr>
      <w:tr>
        <w:tc>
          <w:tcPr>
            <w:tcW w:type="dxa" w:w="2600"/>
            <w:shd w:fill="F6F9FC"/>
          </w:tcPr>
          <w:p>
            <w:pPr>
              <w:spacing w:before="0" w:after="0" w:line="259" w:lineRule="auto"/>
              <w:jc w:val="left"/>
            </w:pPr>
            <w:r/>
            <w:r>
              <w:rPr>
                <w:rFonts w:ascii="Calibri" w:hAnsi="Calibri"/>
                <w:b/>
                <w:color w:val="243746"/>
                <w:sz w:val="17"/>
              </w:rPr>
              <w:t>Keyspace</w:t>
            </w:r>
          </w:p>
        </w:tc>
        <w:tc>
          <w:tcPr>
            <w:tcW w:type="dxa" w:w="6760"/>
            <w:shd w:fill="F6F9FC"/>
          </w:tcPr>
          <w:p>
            <w:pPr>
              <w:spacing w:before="0" w:after="0" w:line="259" w:lineRule="auto"/>
              <w:jc w:val="left"/>
            </w:pPr>
            <w:r/>
            <w:r>
              <w:rPr>
                <w:rFonts w:ascii="Calibri" w:hAnsi="Calibri"/>
                <w:b w:val="0"/>
                <w:color w:val="243746"/>
                <w:sz w:val="17"/>
              </w:rPr>
              <w:t>lab; NetworkTopologyStrategy; dc1 RF=3</w:t>
            </w:r>
          </w:p>
        </w:tc>
      </w:tr>
      <w:tr>
        <w:tc>
          <w:tcPr>
            <w:tcW w:type="dxa" w:w="2600"/>
          </w:tcPr>
          <w:p>
            <w:pPr>
              <w:spacing w:before="0" w:after="0" w:line="259" w:lineRule="auto"/>
              <w:jc w:val="left"/>
            </w:pPr>
            <w:r/>
            <w:r>
              <w:rPr>
                <w:rFonts w:ascii="Calibri" w:hAnsi="Calibri"/>
                <w:b/>
                <w:color w:val="243746"/>
                <w:sz w:val="17"/>
              </w:rPr>
              <w:t>Tables</w:t>
            </w:r>
          </w:p>
        </w:tc>
        <w:tc>
          <w:tcPr>
            <w:tcW w:type="dxa" w:w="6760"/>
          </w:tcPr>
          <w:p>
            <w:pPr>
              <w:spacing w:before="0" w:after="0" w:line="259" w:lineRule="auto"/>
              <w:jc w:val="left"/>
            </w:pPr>
            <w:r/>
            <w:r>
              <w:rPr>
                <w:rFonts w:ascii="Calibri" w:hAnsi="Calibri"/>
                <w:b w:val="0"/>
                <w:color w:val="243746"/>
                <w:sz w:val="17"/>
              </w:rPr>
              <w:t>blocking (BLOCKING read repair); no_repair (NONE)</w:t>
            </w:r>
          </w:p>
        </w:tc>
      </w:tr>
      <w:tr>
        <w:tc>
          <w:tcPr>
            <w:tcW w:type="dxa" w:w="2600"/>
            <w:shd w:fill="F6F9FC"/>
          </w:tcPr>
          <w:p>
            <w:pPr>
              <w:spacing w:before="0" w:after="0" w:line="259" w:lineRule="auto"/>
              <w:jc w:val="left"/>
            </w:pPr>
            <w:r/>
            <w:r>
              <w:rPr>
                <w:rFonts w:ascii="Calibri" w:hAnsi="Calibri"/>
                <w:b/>
                <w:color w:val="243746"/>
                <w:sz w:val="17"/>
              </w:rPr>
              <w:t>Hints</w:t>
            </w:r>
          </w:p>
        </w:tc>
        <w:tc>
          <w:tcPr>
            <w:tcW w:type="dxa" w:w="6760"/>
            <w:shd w:fill="F6F9FC"/>
          </w:tcPr>
          <w:p>
            <w:pPr>
              <w:spacing w:before="0" w:after="0" w:line="259" w:lineRule="auto"/>
              <w:jc w:val="left"/>
            </w:pPr>
            <w:r/>
            <w:r>
              <w:rPr>
                <w:rFonts w:ascii="Calibri" w:hAnsi="Calibri"/>
                <w:b w:val="0"/>
                <w:color w:val="243746"/>
                <w:sz w:val="17"/>
              </w:rPr>
              <w:t>disabled</w:t>
            </w:r>
          </w:p>
        </w:tc>
      </w:tr>
      <w:tr>
        <w:tc>
          <w:tcPr>
            <w:tcW w:type="dxa" w:w="2600"/>
          </w:tcPr>
          <w:p>
            <w:pPr>
              <w:spacing w:before="0" w:after="0" w:line="259" w:lineRule="auto"/>
              <w:jc w:val="left"/>
            </w:pPr>
            <w:r/>
            <w:r>
              <w:rPr>
                <w:rFonts w:ascii="Calibri" w:hAnsi="Calibri"/>
                <w:b/>
                <w:color w:val="243746"/>
                <w:sz w:val="17"/>
              </w:rPr>
              <w:t>Speculative execution</w:t>
            </w:r>
          </w:p>
        </w:tc>
        <w:tc>
          <w:tcPr>
            <w:tcW w:type="dxa" w:w="6760"/>
          </w:tcPr>
          <w:p>
            <w:pPr>
              <w:spacing w:before="0" w:after="0" w:line="259" w:lineRule="auto"/>
              <w:jc w:val="left"/>
            </w:pPr>
            <w:r/>
            <w:r>
              <w:rPr>
                <w:rFonts w:ascii="Calibri" w:hAnsi="Calibri"/>
                <w:b w:val="0"/>
                <w:color w:val="243746"/>
                <w:sz w:val="17"/>
              </w:rPr>
              <w:t>disabled</w:t>
            </w:r>
          </w:p>
        </w:tc>
      </w:tr>
      <w:tr>
        <w:tc>
          <w:tcPr>
            <w:tcW w:type="dxa" w:w="2600"/>
            <w:shd w:fill="F6F9FC"/>
          </w:tcPr>
          <w:p>
            <w:pPr>
              <w:spacing w:before="0" w:after="0" w:line="259" w:lineRule="auto"/>
              <w:jc w:val="left"/>
            </w:pPr>
            <w:r/>
            <w:r>
              <w:rPr>
                <w:rFonts w:ascii="Calibri" w:hAnsi="Calibri"/>
                <w:b/>
                <w:color w:val="243746"/>
                <w:sz w:val="17"/>
              </w:rPr>
              <w:t>Network</w:t>
            </w:r>
          </w:p>
        </w:tc>
        <w:tc>
          <w:tcPr>
            <w:tcW w:type="dxa" w:w="6760"/>
            <w:shd w:fill="F6F9FC"/>
          </w:tcPr>
          <w:p>
            <w:pPr>
              <w:spacing w:before="0" w:after="0" w:line="259" w:lineRule="auto"/>
              <w:jc w:val="left"/>
            </w:pPr>
            <w:r/>
            <w:r>
              <w:rPr>
                <w:rFonts w:ascii="Calibri" w:hAnsi="Calibri"/>
                <w:b w:val="0"/>
                <w:color w:val="243746"/>
                <w:sz w:val="17"/>
              </w:rPr>
              <w:t>Docker network lab; CQL 9042; internode 7000/7001</w:t>
            </w:r>
          </w:p>
        </w:tc>
      </w:tr>
    </w:tbl>
    <w:p>
      <w:pPr>
        <w:spacing w:after="60"/>
      </w:pPr>
    </w:p>
    <w:p>
      <w:pPr>
        <w:pStyle w:val="Heading2"/>
      </w:pPr>
      <w:r>
        <w:t>12.2 Main commands</w:t>
      </w:r>
    </w:p>
    <w:p>
      <w:pPr>
        <w:spacing w:after="60"/>
        <w:ind w:left="360"/>
      </w:pPr>
      <w:r>
        <w:rPr>
          <w:rFonts w:ascii="Calibri" w:hAnsi="Calibri"/>
          <w:b/>
          <w:color w:val="607386"/>
          <w:sz w:val="18"/>
        </w:rPr>
        <w:t xml:space="preserve">1. </w:t>
      </w:r>
      <w:r>
        <w:rPr>
          <w:rFonts w:ascii="Menlo" w:hAnsi="Menlo"/>
          <w:color w:val="1F4D78"/>
          <w:sz w:val="16"/>
        </w:rPr>
        <w:t>python3 -m venv .venv</w:t>
      </w:r>
    </w:p>
    <w:p>
      <w:pPr>
        <w:spacing w:after="60"/>
        <w:ind w:left="360"/>
      </w:pPr>
      <w:r>
        <w:rPr>
          <w:rFonts w:ascii="Calibri" w:hAnsi="Calibri"/>
          <w:b/>
          <w:color w:val="607386"/>
          <w:sz w:val="18"/>
        </w:rPr>
        <w:t xml:space="preserve">2. </w:t>
      </w:r>
      <w:r>
        <w:rPr>
          <w:rFonts w:ascii="Menlo" w:hAnsi="Menlo"/>
          <w:color w:val="1F4D78"/>
          <w:sz w:val="16"/>
        </w:rPr>
        <w:t>.venv/bin/python -m pip install -r requirements-report.txt</w:t>
      </w:r>
    </w:p>
    <w:p>
      <w:pPr>
        <w:spacing w:after="60"/>
        <w:ind w:left="360"/>
      </w:pPr>
      <w:r>
        <w:rPr>
          <w:rFonts w:ascii="Calibri" w:hAnsi="Calibri"/>
          <w:b/>
          <w:color w:val="607386"/>
          <w:sz w:val="18"/>
        </w:rPr>
        <w:t xml:space="preserve">3. </w:t>
      </w:r>
      <w:r>
        <w:rPr>
          <w:rFonts w:ascii="Menlo" w:hAnsi="Menlo"/>
          <w:color w:val="1F4D78"/>
          <w:sz w:val="16"/>
        </w:rPr>
        <w:t>python3 scripts/run_randomized.py --config config/cassandra_driver_experiments.json --seed 20260927 --plan-only</w:t>
      </w:r>
    </w:p>
    <w:p>
      <w:pPr>
        <w:spacing w:after="60"/>
        <w:ind w:left="360"/>
      </w:pPr>
      <w:r>
        <w:rPr>
          <w:rFonts w:ascii="Calibri" w:hAnsi="Calibri"/>
          <w:b/>
          <w:color w:val="607386"/>
          <w:sz w:val="18"/>
        </w:rPr>
        <w:t xml:space="preserve">4. </w:t>
      </w:r>
      <w:r>
        <w:rPr>
          <w:rFonts w:ascii="Menlo" w:hAnsi="Menlo"/>
          <w:color w:val="1F4D78"/>
          <w:sz w:val="16"/>
        </w:rPr>
        <w:t>python3 scripts/run_randomized.py --config config/cassandra_driver_experiments.json --seed 20260927</w:t>
      </w:r>
    </w:p>
    <w:p>
      <w:pPr>
        <w:spacing w:after="60"/>
        <w:ind w:left="360"/>
      </w:pPr>
      <w:r>
        <w:rPr>
          <w:rFonts w:ascii="Calibri" w:hAnsi="Calibri"/>
          <w:b/>
          <w:color w:val="607386"/>
          <w:sz w:val="18"/>
        </w:rPr>
        <w:t xml:space="preserve">5. </w:t>
      </w:r>
      <w:r>
        <w:rPr>
          <w:rFonts w:ascii="Menlo" w:hAnsi="Menlo"/>
          <w:color w:val="1F4D78"/>
          <w:sz w:val="16"/>
        </w:rPr>
        <w:t>python3 scripts/verify_randomized.py results/cassandra_policy_&lt;run&gt;</w:t>
      </w:r>
    </w:p>
    <w:p>
      <w:pPr>
        <w:spacing w:after="60"/>
        <w:ind w:left="360"/>
      </w:pPr>
      <w:r>
        <w:rPr>
          <w:rFonts w:ascii="Calibri" w:hAnsi="Calibri"/>
          <w:b/>
          <w:color w:val="607386"/>
          <w:sz w:val="18"/>
        </w:rPr>
        <w:t xml:space="preserve">6. </w:t>
      </w:r>
      <w:r>
        <w:rPr>
          <w:rFonts w:ascii="Menlo" w:hAnsi="Menlo"/>
          <w:color w:val="1F4D78"/>
          <w:sz w:val="16"/>
        </w:rPr>
        <w:t>python3 report/report_generation/export_evidence.py</w:t>
      </w:r>
    </w:p>
    <w:p>
      <w:pPr>
        <w:spacing w:after="60"/>
        <w:ind w:left="360"/>
      </w:pPr>
      <w:r>
        <w:rPr>
          <w:rFonts w:ascii="Calibri" w:hAnsi="Calibri"/>
          <w:b/>
          <w:color w:val="607386"/>
          <w:sz w:val="18"/>
        </w:rPr>
        <w:t xml:space="preserve">7. </w:t>
      </w:r>
      <w:r>
        <w:rPr>
          <w:rFonts w:ascii="Menlo" w:hAnsi="Menlo"/>
          <w:color w:val="1F4D78"/>
          <w:sz w:val="16"/>
        </w:rPr>
        <w:t>python3 report/report_generation/verify_exports.py</w:t>
      </w:r>
    </w:p>
    <w:p>
      <w:pPr>
        <w:pStyle w:val="Heading2"/>
      </w:pPr>
      <w:r>
        <w:t>12.3 Reproduction sequence</w:t>
      </w:r>
    </w:p>
    <w:p>
      <w:pPr>
        <w:pStyle w:val="ListNumber"/>
      </w:pPr>
      <w:r>
        <w:rPr>
          <w:rFonts w:ascii="Calibri" w:hAnsi="Calibri"/>
          <w:color w:val="243746"/>
          <w:sz w:val="21"/>
        </w:rPr>
        <w:t>Start Docker Desktop or Docker Engine and wait until the daemon is ready.</w:t>
      </w:r>
    </w:p>
    <w:p>
      <w:pPr>
        <w:pStyle w:val="ListNumber"/>
      </w:pPr>
      <w:r>
        <w:rPr>
          <w:rFonts w:ascii="Calibri" w:hAnsi="Calibri"/>
          <w:color w:val="243746"/>
          <w:sz w:val="21"/>
        </w:rPr>
        <w:t>Review the registered predictions and final configuration before executing a measured run.</w:t>
      </w:r>
    </w:p>
    <w:p>
      <w:pPr>
        <w:pStyle w:val="ListNumber"/>
      </w:pPr>
      <w:r>
        <w:rPr>
          <w:rFonts w:ascii="Calibri" w:hAnsi="Calibri"/>
          <w:color w:val="243746"/>
          <w:sz w:val="21"/>
        </w:rPr>
        <w:t>Run the plan-only command and confirm expected matrix coverage.</w:t>
      </w:r>
    </w:p>
    <w:p>
      <w:pPr>
        <w:pStyle w:val="ListNumber"/>
      </w:pPr>
      <w:r>
        <w:rPr>
          <w:rFonts w:ascii="Calibri" w:hAnsi="Calibri"/>
          <w:color w:val="243746"/>
          <w:sz w:val="21"/>
        </w:rPr>
        <w:t>Execute with an explicit seed; do not run concurrent controllers.</w:t>
      </w:r>
    </w:p>
    <w:p>
      <w:pPr>
        <w:pStyle w:val="ListNumber"/>
      </w:pPr>
      <w:r>
        <w:rPr>
          <w:rFonts w:ascii="Calibri" w:hAnsi="Calibri"/>
          <w:color w:val="243746"/>
          <w:sz w:val="21"/>
        </w:rPr>
        <w:t>If interrupted, preserve the partial directory and use --recover; use --resume only when the main phase is complete and the runner accepts the checkpoint.</w:t>
      </w:r>
    </w:p>
    <w:p>
      <w:pPr>
        <w:pStyle w:val="ListNumber"/>
      </w:pPr>
      <w:r>
        <w:rPr>
          <w:rFonts w:ascii="Calibri" w:hAnsi="Calibri"/>
          <w:color w:val="243746"/>
          <w:sz w:val="21"/>
        </w:rPr>
        <w:t>Validate the exact run directory. Do not edit raw evidence to make a failed run pass.</w:t>
      </w:r>
    </w:p>
    <w:p>
      <w:pPr>
        <w:pStyle w:val="ListNumber"/>
      </w:pPr>
      <w:r>
        <w:rPr>
          <w:rFonts w:ascii="Calibri" w:hAnsi="Calibri"/>
          <w:color w:val="243746"/>
          <w:sz w:val="21"/>
        </w:rPr>
        <w:t>Regenerate the two report CSVs, run verify_exports.py, rebuild the V2 report, and inspect the rendered pages.</w:t>
      </w:r>
    </w:p>
    <w:p>
      <w:r>
        <w:rPr>
          <w:rFonts w:ascii="Calibri" w:hAnsi="Calibri"/>
          <w:color w:val="243746"/>
          <w:sz w:val="21"/>
        </w:rPr>
        <w:t>The complete operational procedure, troubleshooting guidance, schema barriers, fault proof, and recovery semantics are documented in README.md and docs/execution-guide.md. Raw evidence remains under results/&lt;run_id&gt;/ and is linked from both CSVs by source path and SHA-256 fields.</w:t>
      </w:r>
    </w:p>
    <w:p>
      <w:pPr>
        <w:pStyle w:val="Heading1"/>
      </w:pPr>
      <w:r>
        <w:t>13. Conclusion</w:t>
      </w:r>
    </w:p>
    <w:p>
      <w:r>
        <w:rPr>
          <w:rFonts w:ascii="Calibri" w:hAnsi="Calibri"/>
          <w:color w:val="243746"/>
          <w:sz w:val="21"/>
        </w:rPr>
        <w:t>The experiment demonstrated that Cassandra's operation-level consistency and an application's client-centric history are related but not interchangeable. In this RF=3 deployment, healthy execution produced no saved counterexample. Established node failure primarily reduced availability for operations requiring unreachable replicas. Network partitions created both high inconclusive rates and every observed RYW, MR, MW, and WFR violation.</w:t>
      </w:r>
    </w:p>
    <w:p>
      <w:r>
        <w:rPr>
          <w:rFonts w:ascii="Calibri" w:hAnsi="Calibri"/>
          <w:color w:val="243746"/>
          <w:sz w:val="21"/>
        </w:rPr>
        <w:t>The full-profile randomized coordinator design exposed 194 violations, concentrated in ONE/ONE and non-intersecting ONE/QUORUM or QUORUM/ONE paths. The exploratory token-aware design exposed six RYW violations under the same broad conditions. The large difference followed an equally large difference in route exposure: the random design changed coordinator and crossed the partition far more often.</w:t>
      </w:r>
    </w:p>
    <w:p>
      <w:r>
        <w:rPr>
          <w:rFonts w:ascii="Calibri" w:hAnsi="Calibri"/>
          <w:color w:val="243746"/>
          <w:sz w:val="21"/>
        </w:rPr>
        <w:t>The strongest defensible conclusion is therefore conditional: weak replica-response combinations can expose client-centric counterexamples when successive operations traverse divergent partition views; stronger combinations often trade those observations for unavailability. Token-aware routing reduced the sampled opportunities for those histories, but it did not supply a session guarantee. A final full-profile token-aware run is required before turning the exploratory comparison into a submission-level claim.</w:t>
      </w:r>
    </w:p>
    <w:p>
      <w:r>
        <w:br w:type="page"/>
      </w:r>
    </w:p>
    <w:p>
      <w:pPr>
        <w:pStyle w:val="Heading1"/>
      </w:pPr>
      <w:r>
        <w:t>References</w:t>
      </w:r>
    </w:p>
    <w:p>
      <w:pPr>
        <w:spacing w:after="140"/>
        <w:ind w:left="360" w:hanging="360"/>
      </w:pPr>
      <w:r>
        <w:rPr>
          <w:rFonts w:ascii="Calibri" w:hAnsi="Calibri"/>
          <w:b/>
          <w:color w:val="17324D"/>
          <w:sz w:val="19"/>
        </w:rPr>
        <w:t xml:space="preserve">[1] </w:t>
      </w:r>
      <w:r>
        <w:rPr>
          <w:rFonts w:ascii="Calibri" w:hAnsi="Calibri"/>
          <w:color w:val="243746"/>
          <w:sz w:val="19"/>
        </w:rPr>
        <w:t xml:space="preserve">Apache Cassandra Documentation, “Dynamo: replication and tunable consistency.” </w:t>
      </w:r>
      <w:hyperlink r:id="rId22">
        <w:r>
          <w:rPr>
            <w:color w:val="1779BA"/>
            <w:u w:val="single"/>
          </w:rPr>
          <w:t>https://cassandra.apache.org/doc/stable/cassandra/architecture/dynamo</w:t>
        </w:r>
      </w:hyperlink>
    </w:p>
    <w:p>
      <w:pPr>
        <w:spacing w:after="140"/>
        <w:ind w:left="360" w:hanging="360"/>
      </w:pPr>
      <w:r>
        <w:rPr>
          <w:rFonts w:ascii="Calibri" w:hAnsi="Calibri"/>
          <w:b/>
          <w:color w:val="17324D"/>
          <w:sz w:val="19"/>
        </w:rPr>
        <w:t xml:space="preserve">[2] </w:t>
      </w:r>
      <w:r>
        <w:rPr>
          <w:rFonts w:ascii="Calibri" w:hAnsi="Calibri"/>
          <w:color w:val="243746"/>
          <w:sz w:val="19"/>
        </w:rPr>
        <w:t xml:space="preserve">Apache Cassandra Documentation, “Consistency levels.” </w:t>
      </w:r>
      <w:hyperlink r:id="rId23">
        <w:r>
          <w:rPr>
            <w:color w:val="1779BA"/>
            <w:u w:val="single"/>
          </w:rPr>
          <w:t>https://cassandra.apache.org/doc/stable/cassandra/developing/cql/consistency.html</w:t>
        </w:r>
      </w:hyperlink>
    </w:p>
    <w:p>
      <w:pPr>
        <w:spacing w:after="140"/>
        <w:ind w:left="360" w:hanging="360"/>
      </w:pPr>
      <w:r>
        <w:rPr>
          <w:rFonts w:ascii="Calibri" w:hAnsi="Calibri"/>
          <w:b/>
          <w:color w:val="17324D"/>
          <w:sz w:val="19"/>
        </w:rPr>
        <w:t xml:space="preserve">[3] </w:t>
      </w:r>
      <w:r>
        <w:rPr>
          <w:rFonts w:ascii="Calibri" w:hAnsi="Calibri"/>
          <w:color w:val="243746"/>
          <w:sz w:val="19"/>
        </w:rPr>
        <w:t xml:space="preserve">Apache Cassandra Documentation, “Read repair.” </w:t>
      </w:r>
      <w:hyperlink r:id="rId24">
        <w:r>
          <w:rPr>
            <w:color w:val="1779BA"/>
            <w:u w:val="single"/>
          </w:rPr>
          <w:t>https://cassandra.apache.org/doc/stable/cassandra/managing/operating/read_repair.html</w:t>
        </w:r>
      </w:hyperlink>
    </w:p>
    <w:p>
      <w:pPr>
        <w:spacing w:after="140"/>
        <w:ind w:left="360" w:hanging="360"/>
      </w:pPr>
      <w:r>
        <w:rPr>
          <w:rFonts w:ascii="Calibri" w:hAnsi="Calibri"/>
          <w:b/>
          <w:color w:val="17324D"/>
          <w:sz w:val="19"/>
        </w:rPr>
        <w:t xml:space="preserve">[4] </w:t>
      </w:r>
      <w:r>
        <w:rPr>
          <w:rFonts w:ascii="Calibri" w:hAnsi="Calibri"/>
          <w:color w:val="243746"/>
          <w:sz w:val="19"/>
        </w:rPr>
        <w:t xml:space="preserve">Apache Cassandra Documentation, “Hints.” </w:t>
      </w:r>
      <w:hyperlink r:id="rId25">
        <w:r>
          <w:rPr>
            <w:color w:val="1779BA"/>
            <w:u w:val="single"/>
          </w:rPr>
          <w:t>https://cassandra.apache.org/doc/latest/cassandra/managing/operating/hints.html</w:t>
        </w:r>
      </w:hyperlink>
    </w:p>
    <w:p>
      <w:pPr>
        <w:spacing w:after="140"/>
        <w:ind w:left="360" w:hanging="360"/>
      </w:pPr>
      <w:r>
        <w:rPr>
          <w:rFonts w:ascii="Calibri" w:hAnsi="Calibri"/>
          <w:b/>
          <w:color w:val="17324D"/>
          <w:sz w:val="19"/>
        </w:rPr>
        <w:t xml:space="preserve">[5] </w:t>
      </w:r>
      <w:r>
        <w:rPr>
          <w:rFonts w:ascii="Calibri" w:hAnsi="Calibri"/>
          <w:color w:val="243746"/>
          <w:sz w:val="19"/>
        </w:rPr>
        <w:t xml:space="preserve">DataStax Drivers Documentation, “Load balancing with Cassandra drivers.” </w:t>
      </w:r>
      <w:hyperlink r:id="rId26">
        <w:r>
          <w:rPr>
            <w:color w:val="1779BA"/>
            <w:u w:val="single"/>
          </w:rPr>
          <w:t>https://docs.datastax.com/en/datastax-drivers/managing/balance-load.html</w:t>
        </w:r>
      </w:hyperlink>
    </w:p>
    <w:p>
      <w:pPr>
        <w:spacing w:after="140"/>
        <w:ind w:left="360" w:hanging="360"/>
      </w:pPr>
      <w:r>
        <w:rPr>
          <w:rFonts w:ascii="Calibri" w:hAnsi="Calibri"/>
          <w:b/>
          <w:color w:val="17324D"/>
          <w:sz w:val="19"/>
        </w:rPr>
        <w:t xml:space="preserve">[6] </w:t>
      </w:r>
      <w:r>
        <w:rPr>
          <w:rFonts w:ascii="Calibri" w:hAnsi="Calibri"/>
          <w:color w:val="243746"/>
          <w:sz w:val="19"/>
        </w:rPr>
        <w:t xml:space="preserve">Docker Documentation, “Networking on Docker Desktop.” </w:t>
      </w:r>
      <w:hyperlink r:id="rId27">
        <w:r>
          <w:rPr>
            <w:color w:val="1779BA"/>
            <w:u w:val="single"/>
          </w:rPr>
          <w:t>https://docs.docker.com/desktop/features/networking/</w:t>
        </w:r>
      </w:hyperlink>
    </w:p>
    <w:p>
      <w:pPr>
        <w:spacing w:after="140"/>
        <w:ind w:left="360" w:hanging="360"/>
      </w:pPr>
      <w:r>
        <w:rPr>
          <w:rFonts w:ascii="Calibri" w:hAnsi="Calibri"/>
          <w:b/>
          <w:color w:val="17324D"/>
          <w:sz w:val="19"/>
        </w:rPr>
        <w:t xml:space="preserve">[7] </w:t>
      </w:r>
      <w:r>
        <w:rPr>
          <w:rFonts w:ascii="Calibri" w:hAnsi="Calibri"/>
          <w:color w:val="243746"/>
          <w:sz w:val="19"/>
        </w:rPr>
        <w:t xml:space="preserve">Project repository artifacts: compose.yaml, configuration files, experiment workloads, verifier, raw results, and report-generation CSV exports. </w:t>
      </w:r>
      <w:hyperlink r:id="rId28">
        <w:r>
          <w:rPr>
            <w:color w:val="1779BA"/>
            <w:u w:val="single"/>
          </w:rPr>
          <w:t>https://github.com/whitetiger1399/scalableDistributed</w:t>
        </w:r>
      </w:hyperlink>
    </w:p>
    <w:p>
      <w:pPr>
        <w:pStyle w:val="Heading1"/>
      </w:pPr>
      <w:r>
        <w:t>AI-use disclosure</w:t>
      </w:r>
    </w:p>
    <w:p>
      <w:r>
        <w:rPr>
          <w:rFonts w:ascii="Calibri" w:hAnsi="Calibri"/>
          <w:color w:val="243746"/>
          <w:sz w:val="21"/>
        </w:rPr>
        <w:t>OpenAI Codex was used to review the draft and action plan, calculate aggregate summaries from the project-generated CSV files, create result visualizations, restructure the report, and generate the DOCX layout. The experiments and raw evidence were produced by the project software, not by AI. AI-generated interpretations were constrained to saved measurements and cited documentation. The project group remains responsible for checking the source data, technical claims, citations, group details, and final submission.</w:t>
      </w:r>
    </w:p>
    <w:p>
      <w:r>
        <w:br w:type="page"/>
      </w:r>
    </w:p>
    <w:p>
      <w:pPr>
        <w:pStyle w:val="Heading1"/>
      </w:pPr>
      <w:r>
        <w:t>Appendix A. Run inventory</w:t>
      </w:r>
    </w:p>
    <w:p>
      <w:pPr>
        <w:pStyle w:val="Heading2"/>
      </w:pPr>
      <w:r>
        <w:t>A.1 Included structurally eligible runs</w:t>
      </w:r>
    </w:p>
    <w:tbl>
      <w:tblPr>
        <w:tblStyle w:val="TableGrid"/>
        <w:tblW w:type="dxa" w:w="9360"/>
        <w:jc w:val="left"/>
        <w:tblLayout w:type="fixed"/>
        <w:tblLook w:firstColumn="1" w:firstRow="1" w:lastColumn="0" w:lastRow="0" w:noHBand="0" w:noVBand="1" w:val="04A0"/>
        <w:tblInd w:w="120" w:type="dxa"/>
      </w:tblPr>
      <w:tblGrid>
        <w:gridCol w:w="1450"/>
        <w:gridCol w:w="4450"/>
        <w:gridCol w:w="850"/>
        <w:gridCol w:w="1350"/>
        <w:gridCol w:w="1260"/>
      </w:tblGrid>
      <w:tr>
        <w:trPr>
          <w:tblHeader w:val="true"/>
        </w:trPr>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4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Run ID</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Rounds</w:t>
            </w:r>
          </w:p>
        </w:tc>
        <w:tc>
          <w:tcPr>
            <w:tcW w:type="dxa" w:w="1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Main histories</w:t>
            </w:r>
          </w:p>
        </w:tc>
        <w:tc>
          <w:tcPr>
            <w:tcW w:type="dxa" w:w="12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Structural status</w:t>
            </w:r>
          </w:p>
        </w:tc>
      </w:tr>
      <w:tr>
        <w:tc>
          <w:tcPr>
            <w:tcW w:type="dxa" w:w="1450"/>
          </w:tcPr>
          <w:p>
            <w:pPr>
              <w:spacing w:before="0" w:after="0" w:line="259" w:lineRule="auto"/>
              <w:jc w:val="left"/>
            </w:pPr>
            <w:r/>
            <w:r>
              <w:rPr>
                <w:rFonts w:ascii="Calibri" w:hAnsi="Calibri"/>
                <w:b w:val="0"/>
                <w:color w:val="243746"/>
                <w:sz w:val="15"/>
              </w:rPr>
              <w:t>Token-aware*</w:t>
            </w:r>
          </w:p>
        </w:tc>
        <w:tc>
          <w:tcPr>
            <w:tcW w:type="dxa" w:w="4450"/>
          </w:tcPr>
          <w:p>
            <w:pPr>
              <w:spacing w:before="0" w:after="0" w:line="259" w:lineRule="auto"/>
              <w:jc w:val="left"/>
            </w:pPr>
            <w:r/>
            <w:r>
              <w:rPr>
                <w:rFonts w:ascii="Calibri" w:hAnsi="Calibri"/>
                <w:b w:val="0"/>
                <w:color w:val="243746"/>
                <w:sz w:val="15"/>
              </w:rPr>
              <w:t>20260921T080637Z_00000000000003e9</w:t>
            </w:r>
          </w:p>
        </w:tc>
        <w:tc>
          <w:tcPr>
            <w:tcW w:type="dxa" w:w="850"/>
          </w:tcPr>
          <w:p>
            <w:pPr>
              <w:spacing w:before="0" w:after="0" w:line="259" w:lineRule="auto"/>
              <w:jc w:val="center"/>
            </w:pPr>
            <w:r/>
            <w:r>
              <w:rPr>
                <w:rFonts w:ascii="Calibri" w:hAnsi="Calibri"/>
                <w:b w:val="0"/>
                <w:color w:val="243746"/>
                <w:sz w:val="15"/>
              </w:rPr>
              <w:t>1</w:t>
            </w:r>
          </w:p>
        </w:tc>
        <w:tc>
          <w:tcPr>
            <w:tcW w:type="dxa" w:w="1350"/>
          </w:tcPr>
          <w:p>
            <w:pPr>
              <w:spacing w:before="0" w:after="0" w:line="259" w:lineRule="auto"/>
              <w:jc w:val="center"/>
            </w:pPr>
            <w:r/>
            <w:r>
              <w:rPr>
                <w:rFonts w:ascii="Calibri" w:hAnsi="Calibri"/>
                <w:b w:val="0"/>
                <w:color w:val="243746"/>
                <w:sz w:val="15"/>
              </w:rPr>
              <w:t>108</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Token-aware*</w:t>
            </w:r>
          </w:p>
        </w:tc>
        <w:tc>
          <w:tcPr>
            <w:tcW w:type="dxa" w:w="4450"/>
            <w:shd w:fill="F6F9FC"/>
          </w:tcPr>
          <w:p>
            <w:pPr>
              <w:spacing w:before="0" w:after="0" w:line="259" w:lineRule="auto"/>
              <w:jc w:val="left"/>
            </w:pPr>
            <w:r/>
            <w:r>
              <w:rPr>
                <w:rFonts w:ascii="Calibri" w:hAnsi="Calibri"/>
                <w:b w:val="0"/>
                <w:color w:val="243746"/>
                <w:sz w:val="15"/>
              </w:rPr>
              <w:t>20260921T081729Z_000000000135283f</w:t>
            </w:r>
          </w:p>
        </w:tc>
        <w:tc>
          <w:tcPr>
            <w:tcW w:type="dxa" w:w="850"/>
            <w:shd w:fill="F6F9FC"/>
          </w:tcPr>
          <w:p>
            <w:pPr>
              <w:spacing w:before="0" w:after="0" w:line="259" w:lineRule="auto"/>
              <w:jc w:val="center"/>
            </w:pPr>
            <w:r/>
            <w:r>
              <w:rPr>
                <w:rFonts w:ascii="Calibri" w:hAnsi="Calibri"/>
                <w:b w:val="0"/>
                <w:color w:val="243746"/>
                <w:sz w:val="15"/>
              </w:rPr>
              <w:t>10</w:t>
            </w:r>
          </w:p>
        </w:tc>
        <w:tc>
          <w:tcPr>
            <w:tcW w:type="dxa" w:w="1350"/>
            <w:shd w:fill="F6F9FC"/>
          </w:tcPr>
          <w:p>
            <w:pPr>
              <w:spacing w:before="0" w:after="0" w:line="259" w:lineRule="auto"/>
              <w:jc w:val="center"/>
            </w:pPr>
            <w:r/>
            <w:r>
              <w:rPr>
                <w:rFonts w:ascii="Calibri" w:hAnsi="Calibri"/>
                <w:b w:val="0"/>
                <w:color w:val="243746"/>
                <w:sz w:val="15"/>
              </w:rPr>
              <w:t>1080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Token-aware*</w:t>
            </w:r>
          </w:p>
        </w:tc>
        <w:tc>
          <w:tcPr>
            <w:tcW w:type="dxa" w:w="4450"/>
          </w:tcPr>
          <w:p>
            <w:pPr>
              <w:spacing w:before="0" w:after="0" w:line="259" w:lineRule="auto"/>
              <w:jc w:val="left"/>
            </w:pPr>
            <w:r/>
            <w:r>
              <w:rPr>
                <w:rFonts w:ascii="Calibri" w:hAnsi="Calibri"/>
                <w:b w:val="0"/>
                <w:color w:val="243746"/>
                <w:sz w:val="15"/>
              </w:rPr>
              <w:t>20260921T095705Z_000000000135283f</w:t>
            </w:r>
          </w:p>
        </w:tc>
        <w:tc>
          <w:tcPr>
            <w:tcW w:type="dxa" w:w="850"/>
          </w:tcPr>
          <w:p>
            <w:pPr>
              <w:spacing w:before="0" w:after="0" w:line="259" w:lineRule="auto"/>
              <w:jc w:val="center"/>
            </w:pPr>
            <w:r/>
            <w:r>
              <w:rPr>
                <w:rFonts w:ascii="Calibri" w:hAnsi="Calibri"/>
                <w:b w:val="0"/>
                <w:color w:val="243746"/>
                <w:sz w:val="15"/>
              </w:rPr>
              <w:t>100</w:t>
            </w:r>
          </w:p>
        </w:tc>
        <w:tc>
          <w:tcPr>
            <w:tcW w:type="dxa" w:w="1350"/>
          </w:tcPr>
          <w:p>
            <w:pPr>
              <w:spacing w:before="0" w:after="0" w:line="259" w:lineRule="auto"/>
              <w:jc w:val="center"/>
            </w:pPr>
            <w:r/>
            <w:r>
              <w:rPr>
                <w:rFonts w:ascii="Calibri" w:hAnsi="Calibri"/>
                <w:b w:val="0"/>
                <w:color w:val="243746"/>
                <w:sz w:val="15"/>
              </w:rPr>
              <w:t>10800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Token-aware*</w:t>
            </w:r>
          </w:p>
        </w:tc>
        <w:tc>
          <w:tcPr>
            <w:tcW w:type="dxa" w:w="4450"/>
            <w:shd w:fill="F6F9FC"/>
          </w:tcPr>
          <w:p>
            <w:pPr>
              <w:spacing w:before="0" w:after="0" w:line="259" w:lineRule="auto"/>
              <w:jc w:val="left"/>
            </w:pPr>
            <w:r/>
            <w:r>
              <w:rPr>
                <w:rFonts w:ascii="Calibri" w:hAnsi="Calibri"/>
                <w:b w:val="0"/>
                <w:color w:val="243746"/>
                <w:sz w:val="15"/>
              </w:rPr>
              <w:t>20260921T233512Z_000000000135283f</w:t>
            </w:r>
          </w:p>
        </w:tc>
        <w:tc>
          <w:tcPr>
            <w:tcW w:type="dxa" w:w="850"/>
            <w:shd w:fill="F6F9FC"/>
          </w:tcPr>
          <w:p>
            <w:pPr>
              <w:spacing w:before="0" w:after="0" w:line="259" w:lineRule="auto"/>
              <w:jc w:val="center"/>
            </w:pPr>
            <w:r/>
            <w:r>
              <w:rPr>
                <w:rFonts w:ascii="Calibri" w:hAnsi="Calibri"/>
                <w:b w:val="0"/>
                <w:color w:val="243746"/>
                <w:sz w:val="15"/>
              </w:rPr>
              <w:t>100</w:t>
            </w:r>
          </w:p>
        </w:tc>
        <w:tc>
          <w:tcPr>
            <w:tcW w:type="dxa" w:w="1350"/>
            <w:shd w:fill="F6F9FC"/>
          </w:tcPr>
          <w:p>
            <w:pPr>
              <w:spacing w:before="0" w:after="0" w:line="259" w:lineRule="auto"/>
              <w:jc w:val="center"/>
            </w:pPr>
            <w:r/>
            <w:r>
              <w:rPr>
                <w:rFonts w:ascii="Calibri" w:hAnsi="Calibri"/>
                <w:b w:val="0"/>
                <w:color w:val="243746"/>
                <w:sz w:val="15"/>
              </w:rPr>
              <w:t>10800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Token-aware*</w:t>
            </w:r>
          </w:p>
        </w:tc>
        <w:tc>
          <w:tcPr>
            <w:tcW w:type="dxa" w:w="4450"/>
          </w:tcPr>
          <w:p>
            <w:pPr>
              <w:spacing w:before="0" w:after="0" w:line="259" w:lineRule="auto"/>
              <w:jc w:val="left"/>
            </w:pPr>
            <w:r/>
            <w:r>
              <w:rPr>
                <w:rFonts w:ascii="Calibri" w:hAnsi="Calibri"/>
                <w:b w:val="0"/>
                <w:color w:val="243746"/>
                <w:sz w:val="15"/>
              </w:rPr>
              <w:t>20260922T093902Z_000000000135283f</w:t>
            </w:r>
          </w:p>
        </w:tc>
        <w:tc>
          <w:tcPr>
            <w:tcW w:type="dxa" w:w="850"/>
          </w:tcPr>
          <w:p>
            <w:pPr>
              <w:spacing w:before="0" w:after="0" w:line="259" w:lineRule="auto"/>
              <w:jc w:val="center"/>
            </w:pPr>
            <w:r/>
            <w:r>
              <w:rPr>
                <w:rFonts w:ascii="Calibri" w:hAnsi="Calibri"/>
                <w:b w:val="0"/>
                <w:color w:val="243746"/>
                <w:sz w:val="15"/>
              </w:rPr>
              <w:t>100</w:t>
            </w:r>
          </w:p>
        </w:tc>
        <w:tc>
          <w:tcPr>
            <w:tcW w:type="dxa" w:w="1350"/>
          </w:tcPr>
          <w:p>
            <w:pPr>
              <w:spacing w:before="0" w:after="0" w:line="259" w:lineRule="auto"/>
              <w:jc w:val="center"/>
            </w:pPr>
            <w:r/>
            <w:r>
              <w:rPr>
                <w:rFonts w:ascii="Calibri" w:hAnsi="Calibri"/>
                <w:b w:val="0"/>
                <w:color w:val="243746"/>
                <w:sz w:val="15"/>
              </w:rPr>
              <w:t>10800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Token-aware*</w:t>
            </w:r>
          </w:p>
        </w:tc>
        <w:tc>
          <w:tcPr>
            <w:tcW w:type="dxa" w:w="4450"/>
            <w:shd w:fill="F6F9FC"/>
          </w:tcPr>
          <w:p>
            <w:pPr>
              <w:spacing w:before="0" w:after="0" w:line="259" w:lineRule="auto"/>
              <w:jc w:val="left"/>
            </w:pPr>
            <w:r/>
            <w:r>
              <w:rPr>
                <w:rFonts w:ascii="Calibri" w:hAnsi="Calibri"/>
                <w:b w:val="0"/>
                <w:color w:val="243746"/>
                <w:sz w:val="15"/>
              </w:rPr>
              <w:t>20260922T231838Z_000000000135283f</w:t>
            </w:r>
          </w:p>
        </w:tc>
        <w:tc>
          <w:tcPr>
            <w:tcW w:type="dxa" w:w="850"/>
            <w:shd w:fill="F6F9FC"/>
          </w:tcPr>
          <w:p>
            <w:pPr>
              <w:spacing w:before="0" w:after="0" w:line="259" w:lineRule="auto"/>
              <w:jc w:val="center"/>
            </w:pPr>
            <w:r/>
            <w:r>
              <w:rPr>
                <w:rFonts w:ascii="Calibri" w:hAnsi="Calibri"/>
                <w:b w:val="0"/>
                <w:color w:val="243746"/>
                <w:sz w:val="15"/>
              </w:rPr>
              <w:t>100</w:t>
            </w:r>
          </w:p>
        </w:tc>
        <w:tc>
          <w:tcPr>
            <w:tcW w:type="dxa" w:w="1350"/>
            <w:shd w:fill="F6F9FC"/>
          </w:tcPr>
          <w:p>
            <w:pPr>
              <w:spacing w:before="0" w:after="0" w:line="259" w:lineRule="auto"/>
              <w:jc w:val="center"/>
            </w:pPr>
            <w:r/>
            <w:r>
              <w:rPr>
                <w:rFonts w:ascii="Calibri" w:hAnsi="Calibri"/>
                <w:b w:val="0"/>
                <w:color w:val="243746"/>
                <w:sz w:val="15"/>
              </w:rPr>
              <w:t>10800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20260919T094446Z_0000000001352837</w:t>
            </w:r>
          </w:p>
        </w:tc>
        <w:tc>
          <w:tcPr>
            <w:tcW w:type="dxa" w:w="850"/>
          </w:tcPr>
          <w:p>
            <w:pPr>
              <w:spacing w:before="0" w:after="0" w:line="259" w:lineRule="auto"/>
              <w:jc w:val="center"/>
            </w:pPr>
            <w:r/>
            <w:r>
              <w:rPr>
                <w:rFonts w:ascii="Calibri" w:hAnsi="Calibri"/>
                <w:b w:val="0"/>
                <w:color w:val="243746"/>
                <w:sz w:val="15"/>
              </w:rPr>
              <w:t>1</w:t>
            </w:r>
          </w:p>
        </w:tc>
        <w:tc>
          <w:tcPr>
            <w:tcW w:type="dxa" w:w="1350"/>
          </w:tcPr>
          <w:p>
            <w:pPr>
              <w:spacing w:before="0" w:after="0" w:line="259" w:lineRule="auto"/>
              <w:jc w:val="center"/>
            </w:pPr>
            <w:r/>
            <w:r>
              <w:rPr>
                <w:rFonts w:ascii="Calibri" w:hAnsi="Calibri"/>
                <w:b w:val="0"/>
                <w:color w:val="243746"/>
                <w:sz w:val="15"/>
              </w:rPr>
              <w:t>60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Random</w:t>
            </w:r>
          </w:p>
        </w:tc>
        <w:tc>
          <w:tcPr>
            <w:tcW w:type="dxa" w:w="4450"/>
            <w:shd w:fill="F6F9FC"/>
          </w:tcPr>
          <w:p>
            <w:pPr>
              <w:spacing w:before="0" w:after="0" w:line="259" w:lineRule="auto"/>
              <w:jc w:val="left"/>
            </w:pPr>
            <w:r/>
            <w:r>
              <w:rPr>
                <w:rFonts w:ascii="Calibri" w:hAnsi="Calibri"/>
                <w:b w:val="0"/>
                <w:color w:val="243746"/>
                <w:sz w:val="15"/>
              </w:rPr>
              <w:t>20260919T095446Z_0000000001352839</w:t>
            </w:r>
          </w:p>
        </w:tc>
        <w:tc>
          <w:tcPr>
            <w:tcW w:type="dxa" w:w="850"/>
            <w:shd w:fill="F6F9FC"/>
          </w:tcPr>
          <w:p>
            <w:pPr>
              <w:spacing w:before="0" w:after="0" w:line="259" w:lineRule="auto"/>
              <w:jc w:val="center"/>
            </w:pPr>
            <w:r/>
            <w:r>
              <w:rPr>
                <w:rFonts w:ascii="Calibri" w:hAnsi="Calibri"/>
                <w:b w:val="0"/>
                <w:color w:val="243746"/>
                <w:sz w:val="15"/>
              </w:rPr>
              <w:t>1</w:t>
            </w:r>
          </w:p>
        </w:tc>
        <w:tc>
          <w:tcPr>
            <w:tcW w:type="dxa" w:w="1350"/>
            <w:shd w:fill="F6F9FC"/>
          </w:tcPr>
          <w:p>
            <w:pPr>
              <w:spacing w:before="0" w:after="0" w:line="259" w:lineRule="auto"/>
              <w:jc w:val="center"/>
            </w:pPr>
            <w:r/>
            <w:r>
              <w:rPr>
                <w:rFonts w:ascii="Calibri" w:hAnsi="Calibri"/>
                <w:b w:val="0"/>
                <w:color w:val="243746"/>
                <w:sz w:val="15"/>
              </w:rPr>
              <w:t>60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20260919T100144Z_000000000135283a</w:t>
            </w:r>
          </w:p>
        </w:tc>
        <w:tc>
          <w:tcPr>
            <w:tcW w:type="dxa" w:w="850"/>
          </w:tcPr>
          <w:p>
            <w:pPr>
              <w:spacing w:before="0" w:after="0" w:line="259" w:lineRule="auto"/>
              <w:jc w:val="center"/>
            </w:pPr>
            <w:r/>
            <w:r>
              <w:rPr>
                <w:rFonts w:ascii="Calibri" w:hAnsi="Calibri"/>
                <w:b w:val="0"/>
                <w:color w:val="243746"/>
                <w:sz w:val="15"/>
              </w:rPr>
              <w:t>1</w:t>
            </w:r>
          </w:p>
        </w:tc>
        <w:tc>
          <w:tcPr>
            <w:tcW w:type="dxa" w:w="1350"/>
          </w:tcPr>
          <w:p>
            <w:pPr>
              <w:spacing w:before="0" w:after="0" w:line="259" w:lineRule="auto"/>
              <w:jc w:val="center"/>
            </w:pPr>
            <w:r/>
            <w:r>
              <w:rPr>
                <w:rFonts w:ascii="Calibri" w:hAnsi="Calibri"/>
                <w:b w:val="0"/>
                <w:color w:val="243746"/>
                <w:sz w:val="15"/>
              </w:rPr>
              <w:t>60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Random</w:t>
            </w:r>
          </w:p>
        </w:tc>
        <w:tc>
          <w:tcPr>
            <w:tcW w:type="dxa" w:w="4450"/>
            <w:shd w:fill="F6F9FC"/>
          </w:tcPr>
          <w:p>
            <w:pPr>
              <w:spacing w:before="0" w:after="0" w:line="259" w:lineRule="auto"/>
              <w:jc w:val="left"/>
            </w:pPr>
            <w:r/>
            <w:r>
              <w:rPr>
                <w:rFonts w:ascii="Calibri" w:hAnsi="Calibri"/>
                <w:b w:val="0"/>
                <w:color w:val="243746"/>
                <w:sz w:val="15"/>
              </w:rPr>
              <w:t>20260919T100850Z_000000000135283b</w:t>
            </w:r>
          </w:p>
        </w:tc>
        <w:tc>
          <w:tcPr>
            <w:tcW w:type="dxa" w:w="850"/>
            <w:shd w:fill="F6F9FC"/>
          </w:tcPr>
          <w:p>
            <w:pPr>
              <w:spacing w:before="0" w:after="0" w:line="259" w:lineRule="auto"/>
              <w:jc w:val="center"/>
            </w:pPr>
            <w:r/>
            <w:r>
              <w:rPr>
                <w:rFonts w:ascii="Calibri" w:hAnsi="Calibri"/>
                <w:b w:val="0"/>
                <w:color w:val="243746"/>
                <w:sz w:val="15"/>
              </w:rPr>
              <w:t>1</w:t>
            </w:r>
          </w:p>
        </w:tc>
        <w:tc>
          <w:tcPr>
            <w:tcW w:type="dxa" w:w="1350"/>
            <w:shd w:fill="F6F9FC"/>
          </w:tcPr>
          <w:p>
            <w:pPr>
              <w:spacing w:before="0" w:after="0" w:line="259" w:lineRule="auto"/>
              <w:jc w:val="center"/>
            </w:pPr>
            <w:r/>
            <w:r>
              <w:rPr>
                <w:rFonts w:ascii="Calibri" w:hAnsi="Calibri"/>
                <w:b w:val="0"/>
                <w:color w:val="243746"/>
                <w:sz w:val="15"/>
              </w:rPr>
              <w:t>60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20260920T035710Z_000000000135283f</w:t>
            </w:r>
          </w:p>
        </w:tc>
        <w:tc>
          <w:tcPr>
            <w:tcW w:type="dxa" w:w="850"/>
          </w:tcPr>
          <w:p>
            <w:pPr>
              <w:spacing w:before="0" w:after="0" w:line="259" w:lineRule="auto"/>
              <w:jc w:val="center"/>
            </w:pPr>
            <w:r/>
            <w:r>
              <w:rPr>
                <w:rFonts w:ascii="Calibri" w:hAnsi="Calibri"/>
                <w:b w:val="0"/>
                <w:color w:val="243746"/>
                <w:sz w:val="15"/>
              </w:rPr>
              <w:t>10</w:t>
            </w:r>
          </w:p>
        </w:tc>
        <w:tc>
          <w:tcPr>
            <w:tcW w:type="dxa" w:w="1350"/>
          </w:tcPr>
          <w:p>
            <w:pPr>
              <w:spacing w:before="0" w:after="0" w:line="259" w:lineRule="auto"/>
              <w:jc w:val="center"/>
            </w:pPr>
            <w:r/>
            <w:r>
              <w:rPr>
                <w:rFonts w:ascii="Calibri" w:hAnsi="Calibri"/>
                <w:b w:val="0"/>
                <w:color w:val="243746"/>
                <w:sz w:val="15"/>
              </w:rPr>
              <w:t>600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Random</w:t>
            </w:r>
          </w:p>
        </w:tc>
        <w:tc>
          <w:tcPr>
            <w:tcW w:type="dxa" w:w="4450"/>
            <w:shd w:fill="F6F9FC"/>
          </w:tcPr>
          <w:p>
            <w:pPr>
              <w:spacing w:before="0" w:after="0" w:line="259" w:lineRule="auto"/>
              <w:jc w:val="left"/>
            </w:pPr>
            <w:r/>
            <w:r>
              <w:rPr>
                <w:rFonts w:ascii="Calibri" w:hAnsi="Calibri"/>
                <w:b w:val="0"/>
                <w:color w:val="243746"/>
                <w:sz w:val="15"/>
              </w:rPr>
              <w:t>20260919T135936Z_e9f0cc36454d5986</w:t>
            </w:r>
          </w:p>
        </w:tc>
        <w:tc>
          <w:tcPr>
            <w:tcW w:type="dxa" w:w="850"/>
            <w:shd w:fill="F6F9FC"/>
          </w:tcPr>
          <w:p>
            <w:pPr>
              <w:spacing w:before="0" w:after="0" w:line="259" w:lineRule="auto"/>
              <w:jc w:val="center"/>
            </w:pPr>
            <w:r/>
            <w:r>
              <w:rPr>
                <w:rFonts w:ascii="Calibri" w:hAnsi="Calibri"/>
                <w:b w:val="0"/>
                <w:color w:val="243746"/>
                <w:sz w:val="15"/>
              </w:rPr>
              <w:t>1</w:t>
            </w:r>
          </w:p>
        </w:tc>
        <w:tc>
          <w:tcPr>
            <w:tcW w:type="dxa" w:w="1350"/>
            <w:shd w:fill="F6F9FC"/>
          </w:tcPr>
          <w:p>
            <w:pPr>
              <w:spacing w:before="0" w:after="0" w:line="259" w:lineRule="auto"/>
              <w:jc w:val="center"/>
            </w:pPr>
            <w:r/>
            <w:r>
              <w:rPr>
                <w:rFonts w:ascii="Calibri" w:hAnsi="Calibri"/>
                <w:b w:val="0"/>
                <w:color w:val="243746"/>
                <w:sz w:val="15"/>
              </w:rPr>
              <w:t>60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20260920T000159Z_36915629d2b6f5ad</w:t>
            </w:r>
          </w:p>
        </w:tc>
        <w:tc>
          <w:tcPr>
            <w:tcW w:type="dxa" w:w="850"/>
          </w:tcPr>
          <w:p>
            <w:pPr>
              <w:spacing w:before="0" w:after="0" w:line="259" w:lineRule="auto"/>
              <w:jc w:val="center"/>
            </w:pPr>
            <w:r/>
            <w:r>
              <w:rPr>
                <w:rFonts w:ascii="Calibri" w:hAnsi="Calibri"/>
                <w:b w:val="0"/>
                <w:color w:val="243746"/>
                <w:sz w:val="15"/>
              </w:rPr>
              <w:t>10</w:t>
            </w:r>
          </w:p>
        </w:tc>
        <w:tc>
          <w:tcPr>
            <w:tcW w:type="dxa" w:w="1350"/>
          </w:tcPr>
          <w:p>
            <w:pPr>
              <w:spacing w:before="0" w:after="0" w:line="259" w:lineRule="auto"/>
              <w:jc w:val="center"/>
            </w:pPr>
            <w:r/>
            <w:r>
              <w:rPr>
                <w:rFonts w:ascii="Calibri" w:hAnsi="Calibri"/>
                <w:b w:val="0"/>
                <w:color w:val="243746"/>
                <w:sz w:val="15"/>
              </w:rPr>
              <w:t>1080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Random</w:t>
            </w:r>
          </w:p>
        </w:tc>
        <w:tc>
          <w:tcPr>
            <w:tcW w:type="dxa" w:w="4450"/>
            <w:shd w:fill="F6F9FC"/>
          </w:tcPr>
          <w:p>
            <w:pPr>
              <w:spacing w:before="0" w:after="0" w:line="259" w:lineRule="auto"/>
              <w:jc w:val="left"/>
            </w:pPr>
            <w:r/>
            <w:r>
              <w:rPr>
                <w:rFonts w:ascii="Calibri" w:hAnsi="Calibri"/>
                <w:b w:val="0"/>
                <w:color w:val="243746"/>
                <w:sz w:val="15"/>
              </w:rPr>
              <w:t>20260920T010744Z_0977bac4dcb260ac</w:t>
            </w:r>
          </w:p>
        </w:tc>
        <w:tc>
          <w:tcPr>
            <w:tcW w:type="dxa" w:w="850"/>
            <w:shd w:fill="F6F9FC"/>
          </w:tcPr>
          <w:p>
            <w:pPr>
              <w:spacing w:before="0" w:after="0" w:line="259" w:lineRule="auto"/>
              <w:jc w:val="center"/>
            </w:pPr>
            <w:r/>
            <w:r>
              <w:rPr>
                <w:rFonts w:ascii="Calibri" w:hAnsi="Calibri"/>
                <w:b w:val="0"/>
                <w:color w:val="243746"/>
                <w:sz w:val="15"/>
              </w:rPr>
              <w:t>10</w:t>
            </w:r>
          </w:p>
        </w:tc>
        <w:tc>
          <w:tcPr>
            <w:tcW w:type="dxa" w:w="1350"/>
            <w:shd w:fill="F6F9FC"/>
          </w:tcPr>
          <w:p>
            <w:pPr>
              <w:spacing w:before="0" w:after="0" w:line="259" w:lineRule="auto"/>
              <w:jc w:val="center"/>
            </w:pPr>
            <w:r/>
            <w:r>
              <w:rPr>
                <w:rFonts w:ascii="Calibri" w:hAnsi="Calibri"/>
                <w:b w:val="0"/>
                <w:color w:val="243746"/>
                <w:sz w:val="15"/>
              </w:rPr>
              <w:t>1080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20260920T021504Z_dc8094a55ebf425f</w:t>
            </w:r>
          </w:p>
        </w:tc>
        <w:tc>
          <w:tcPr>
            <w:tcW w:type="dxa" w:w="850"/>
          </w:tcPr>
          <w:p>
            <w:pPr>
              <w:spacing w:before="0" w:after="0" w:line="259" w:lineRule="auto"/>
              <w:jc w:val="center"/>
            </w:pPr>
            <w:r/>
            <w:r>
              <w:rPr>
                <w:rFonts w:ascii="Calibri" w:hAnsi="Calibri"/>
                <w:b w:val="0"/>
                <w:color w:val="243746"/>
                <w:sz w:val="15"/>
              </w:rPr>
              <w:t>10</w:t>
            </w:r>
          </w:p>
        </w:tc>
        <w:tc>
          <w:tcPr>
            <w:tcW w:type="dxa" w:w="1350"/>
          </w:tcPr>
          <w:p>
            <w:pPr>
              <w:spacing w:before="0" w:after="0" w:line="259" w:lineRule="auto"/>
              <w:jc w:val="center"/>
            </w:pPr>
            <w:r/>
            <w:r>
              <w:rPr>
                <w:rFonts w:ascii="Calibri" w:hAnsi="Calibri"/>
                <w:b w:val="0"/>
                <w:color w:val="243746"/>
                <w:sz w:val="15"/>
              </w:rPr>
              <w:t>1080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Random</w:t>
            </w:r>
          </w:p>
        </w:tc>
        <w:tc>
          <w:tcPr>
            <w:tcW w:type="dxa" w:w="4450"/>
            <w:shd w:fill="F6F9FC"/>
          </w:tcPr>
          <w:p>
            <w:pPr>
              <w:spacing w:before="0" w:after="0" w:line="259" w:lineRule="auto"/>
              <w:jc w:val="left"/>
            </w:pPr>
            <w:r/>
            <w:r>
              <w:rPr>
                <w:rFonts w:ascii="Calibri" w:hAnsi="Calibri"/>
                <w:b w:val="0"/>
                <w:color w:val="243746"/>
                <w:sz w:val="15"/>
              </w:rPr>
              <w:t>20260920T032029Z_4d1c6194b3309a6b</w:t>
            </w:r>
          </w:p>
        </w:tc>
        <w:tc>
          <w:tcPr>
            <w:tcW w:type="dxa" w:w="850"/>
            <w:shd w:fill="F6F9FC"/>
          </w:tcPr>
          <w:p>
            <w:pPr>
              <w:spacing w:before="0" w:after="0" w:line="259" w:lineRule="auto"/>
              <w:jc w:val="center"/>
            </w:pPr>
            <w:r/>
            <w:r>
              <w:rPr>
                <w:rFonts w:ascii="Calibri" w:hAnsi="Calibri"/>
                <w:b w:val="0"/>
                <w:color w:val="243746"/>
                <w:sz w:val="15"/>
              </w:rPr>
              <w:t>10</w:t>
            </w:r>
          </w:p>
        </w:tc>
        <w:tc>
          <w:tcPr>
            <w:tcW w:type="dxa" w:w="1350"/>
            <w:shd w:fill="F6F9FC"/>
          </w:tcPr>
          <w:p>
            <w:pPr>
              <w:spacing w:before="0" w:after="0" w:line="259" w:lineRule="auto"/>
              <w:jc w:val="center"/>
            </w:pPr>
            <w:r/>
            <w:r>
              <w:rPr>
                <w:rFonts w:ascii="Calibri" w:hAnsi="Calibri"/>
                <w:b w:val="0"/>
                <w:color w:val="243746"/>
                <w:sz w:val="15"/>
              </w:rPr>
              <w:t>1080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20260920T042616Z_b3e212c5ede5c29f</w:t>
            </w:r>
          </w:p>
        </w:tc>
        <w:tc>
          <w:tcPr>
            <w:tcW w:type="dxa" w:w="850"/>
          </w:tcPr>
          <w:p>
            <w:pPr>
              <w:spacing w:before="0" w:after="0" w:line="259" w:lineRule="auto"/>
              <w:jc w:val="center"/>
            </w:pPr>
            <w:r/>
            <w:r>
              <w:rPr>
                <w:rFonts w:ascii="Calibri" w:hAnsi="Calibri"/>
                <w:b w:val="0"/>
                <w:color w:val="243746"/>
                <w:sz w:val="15"/>
              </w:rPr>
              <w:t>10</w:t>
            </w:r>
          </w:p>
        </w:tc>
        <w:tc>
          <w:tcPr>
            <w:tcW w:type="dxa" w:w="1350"/>
          </w:tcPr>
          <w:p>
            <w:pPr>
              <w:spacing w:before="0" w:after="0" w:line="259" w:lineRule="auto"/>
              <w:jc w:val="center"/>
            </w:pPr>
            <w:r/>
            <w:r>
              <w:rPr>
                <w:rFonts w:ascii="Calibri" w:hAnsi="Calibri"/>
                <w:b w:val="0"/>
                <w:color w:val="243746"/>
                <w:sz w:val="15"/>
              </w:rPr>
              <w:t>1080</w:t>
            </w:r>
          </w:p>
        </w:tc>
        <w:tc>
          <w:tcPr>
            <w:tcW w:type="dxa" w:w="1260"/>
          </w:tcPr>
          <w:p>
            <w:pPr>
              <w:spacing w:before="0" w:after="0" w:line="259" w:lineRule="auto"/>
              <w:jc w:val="center"/>
            </w:pPr>
            <w:r/>
            <w:r>
              <w:rPr>
                <w:rFonts w:ascii="Calibri" w:hAnsi="Calibri"/>
                <w:b w:val="0"/>
                <w:color w:val="243746"/>
                <w:sz w:val="15"/>
              </w:rPr>
              <w:t>passed</w:t>
            </w:r>
          </w:p>
        </w:tc>
      </w:tr>
      <w:tr>
        <w:tc>
          <w:tcPr>
            <w:tcW w:type="dxa" w:w="1450"/>
            <w:shd w:fill="F6F9FC"/>
          </w:tcPr>
          <w:p>
            <w:pPr>
              <w:spacing w:before="0" w:after="0" w:line="259" w:lineRule="auto"/>
              <w:jc w:val="left"/>
            </w:pPr>
            <w:r/>
            <w:r>
              <w:rPr>
                <w:rFonts w:ascii="Calibri" w:hAnsi="Calibri"/>
                <w:b w:val="0"/>
                <w:color w:val="243746"/>
                <w:sz w:val="15"/>
              </w:rPr>
              <w:t>Random</w:t>
            </w:r>
          </w:p>
        </w:tc>
        <w:tc>
          <w:tcPr>
            <w:tcW w:type="dxa" w:w="4450"/>
            <w:shd w:fill="F6F9FC"/>
          </w:tcPr>
          <w:p>
            <w:pPr>
              <w:spacing w:before="0" w:after="0" w:line="259" w:lineRule="auto"/>
              <w:jc w:val="left"/>
            </w:pPr>
            <w:r/>
            <w:r>
              <w:rPr>
                <w:rFonts w:ascii="Calibri" w:hAnsi="Calibri"/>
                <w:b w:val="0"/>
                <w:color w:val="243746"/>
                <w:sz w:val="15"/>
              </w:rPr>
              <w:t>20260920T061739Z_e6f386623a3b950e</w:t>
            </w:r>
          </w:p>
        </w:tc>
        <w:tc>
          <w:tcPr>
            <w:tcW w:type="dxa" w:w="850"/>
            <w:shd w:fill="F6F9FC"/>
          </w:tcPr>
          <w:p>
            <w:pPr>
              <w:spacing w:before="0" w:after="0" w:line="259" w:lineRule="auto"/>
              <w:jc w:val="center"/>
            </w:pPr>
            <w:r/>
            <w:r>
              <w:rPr>
                <w:rFonts w:ascii="Calibri" w:hAnsi="Calibri"/>
                <w:b w:val="0"/>
                <w:color w:val="243746"/>
                <w:sz w:val="15"/>
              </w:rPr>
              <w:t>10</w:t>
            </w:r>
          </w:p>
        </w:tc>
        <w:tc>
          <w:tcPr>
            <w:tcW w:type="dxa" w:w="1350"/>
            <w:shd w:fill="F6F9FC"/>
          </w:tcPr>
          <w:p>
            <w:pPr>
              <w:spacing w:before="0" w:after="0" w:line="259" w:lineRule="auto"/>
              <w:jc w:val="center"/>
            </w:pPr>
            <w:r/>
            <w:r>
              <w:rPr>
                <w:rFonts w:ascii="Calibri" w:hAnsi="Calibri"/>
                <w:b w:val="0"/>
                <w:color w:val="243746"/>
                <w:sz w:val="15"/>
              </w:rPr>
              <w:t>1080</w:t>
            </w:r>
          </w:p>
        </w:tc>
        <w:tc>
          <w:tcPr>
            <w:tcW w:type="dxa" w:w="1260"/>
            <w:shd w:fill="F6F9FC"/>
          </w:tcPr>
          <w:p>
            <w:pPr>
              <w:spacing w:before="0" w:after="0" w:line="259" w:lineRule="auto"/>
              <w:jc w:val="center"/>
            </w:pPr>
            <w:r/>
            <w:r>
              <w:rPr>
                <w:rFonts w:ascii="Calibri" w:hAnsi="Calibri"/>
                <w:b w:val="0"/>
                <w:color w:val="243746"/>
                <w:sz w:val="15"/>
              </w:rPr>
              <w:t>passed</w:t>
            </w:r>
          </w:p>
        </w:tc>
      </w:tr>
      <w:tr>
        <w:tc>
          <w:tcPr>
            <w:tcW w:type="dxa" w:w="1450"/>
          </w:tcPr>
          <w:p>
            <w:pPr>
              <w:spacing w:before="0" w:after="0" w:line="259" w:lineRule="auto"/>
              <w:jc w:val="left"/>
            </w:pPr>
            <w:r/>
            <w:r>
              <w:rPr>
                <w:rFonts w:ascii="Calibri" w:hAnsi="Calibri"/>
                <w:b w:val="0"/>
                <w:color w:val="243746"/>
                <w:sz w:val="15"/>
              </w:rPr>
              <w:t>Random</w:t>
            </w:r>
          </w:p>
        </w:tc>
        <w:tc>
          <w:tcPr>
            <w:tcW w:type="dxa" w:w="4450"/>
          </w:tcPr>
          <w:p>
            <w:pPr>
              <w:spacing w:before="0" w:after="0" w:line="259" w:lineRule="auto"/>
              <w:jc w:val="left"/>
            </w:pPr>
            <w:r/>
            <w:r>
              <w:rPr>
                <w:rFonts w:ascii="Calibri" w:hAnsi="Calibri"/>
                <w:b w:val="0"/>
                <w:color w:val="243746"/>
                <w:sz w:val="15"/>
              </w:rPr>
              <w:t>20260921T000348Z_000000000135283f</w:t>
            </w:r>
          </w:p>
        </w:tc>
        <w:tc>
          <w:tcPr>
            <w:tcW w:type="dxa" w:w="850"/>
          </w:tcPr>
          <w:p>
            <w:pPr>
              <w:spacing w:before="0" w:after="0" w:line="259" w:lineRule="auto"/>
              <w:jc w:val="center"/>
            </w:pPr>
            <w:r/>
            <w:r>
              <w:rPr>
                <w:rFonts w:ascii="Calibri" w:hAnsi="Calibri"/>
                <w:b w:val="0"/>
                <w:color w:val="243746"/>
                <w:sz w:val="15"/>
              </w:rPr>
              <w:t>50</w:t>
            </w:r>
          </w:p>
        </w:tc>
        <w:tc>
          <w:tcPr>
            <w:tcW w:type="dxa" w:w="1350"/>
          </w:tcPr>
          <w:p>
            <w:pPr>
              <w:spacing w:before="0" w:after="0" w:line="259" w:lineRule="auto"/>
              <w:jc w:val="center"/>
            </w:pPr>
            <w:r/>
            <w:r>
              <w:rPr>
                <w:rFonts w:ascii="Calibri" w:hAnsi="Calibri"/>
                <w:b w:val="0"/>
                <w:color w:val="243746"/>
                <w:sz w:val="15"/>
              </w:rPr>
              <w:t>5400</w:t>
            </w:r>
          </w:p>
        </w:tc>
        <w:tc>
          <w:tcPr>
            <w:tcW w:type="dxa" w:w="1260"/>
          </w:tcPr>
          <w:p>
            <w:pPr>
              <w:spacing w:before="0" w:after="0" w:line="259" w:lineRule="auto"/>
              <w:jc w:val="center"/>
            </w:pPr>
            <w:r/>
            <w:r>
              <w:rPr>
                <w:rFonts w:ascii="Calibri" w:hAnsi="Calibri"/>
                <w:b w:val="0"/>
                <w:color w:val="243746"/>
                <w:sz w:val="15"/>
              </w:rPr>
              <w:t>passed</w:t>
            </w:r>
          </w:p>
        </w:tc>
      </w:tr>
    </w:tbl>
    <w:p>
      <w:pPr>
        <w:spacing w:after="60"/>
      </w:pPr>
    </w:p>
    <w:p>
      <w:pPr>
        <w:pStyle w:val="EvidenceTag"/>
        <w:spacing w:before="80" w:after="80"/>
      </w:pPr>
      <w:r>
        <w:t>* Token-aware runs are structurally eligible but saved as profile=smoke; reported exploratorily.</w:t>
      </w:r>
    </w:p>
    <w:p>
      <w:pPr>
        <w:pStyle w:val="Heading2"/>
      </w:pPr>
      <w:r>
        <w:t>A.2 Excluded runs</w:t>
      </w:r>
    </w:p>
    <w:tbl>
      <w:tblPr>
        <w:tblStyle w:val="TableGrid"/>
        <w:tblW w:type="dxa" w:w="9360"/>
        <w:jc w:val="left"/>
        <w:tblLayout w:type="fixed"/>
        <w:tblLook w:firstColumn="1" w:firstRow="1" w:lastColumn="0" w:lastRow="0" w:noHBand="0" w:noVBand="1" w:val="04A0"/>
        <w:tblInd w:w="120" w:type="dxa"/>
      </w:tblPr>
      <w:tblGrid>
        <w:gridCol w:w="1400"/>
        <w:gridCol w:w="4350"/>
        <w:gridCol w:w="1000"/>
        <w:gridCol w:w="1100"/>
        <w:gridCol w:w="1510"/>
      </w:tblGrid>
      <w:tr>
        <w:trPr>
          <w:tblHeader w:val="true"/>
        </w:trPr>
        <w:tc>
          <w:tcPr>
            <w:tcW w:type="dxa" w:w="14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Setup</w:t>
            </w:r>
          </w:p>
        </w:tc>
        <w:tc>
          <w:tcPr>
            <w:tcW w:type="dxa" w:w="4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Run ID</w:t>
            </w:r>
          </w:p>
        </w:tc>
        <w:tc>
          <w:tcPr>
            <w:tcW w:type="dxa" w:w="1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Completed</w:t>
            </w:r>
          </w:p>
        </w:tc>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Status</w:t>
            </w:r>
          </w:p>
        </w:tc>
        <w:tc>
          <w:tcPr>
            <w:tcW w:type="dxa" w:w="15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Reason</w:t>
            </w:r>
          </w:p>
        </w:tc>
      </w:tr>
      <w:tr>
        <w:tc>
          <w:tcPr>
            <w:tcW w:type="dxa" w:w="1400"/>
          </w:tcPr>
          <w:p>
            <w:pPr>
              <w:spacing w:before="0" w:after="0" w:line="259" w:lineRule="auto"/>
              <w:jc w:val="left"/>
            </w:pPr>
            <w:r/>
            <w:r>
              <w:rPr>
                <w:rFonts w:ascii="Calibri" w:hAnsi="Calibri"/>
                <w:b w:val="0"/>
                <w:color w:val="243746"/>
                <w:sz w:val="15"/>
              </w:rPr>
              <w:t>Token-aware</w:t>
            </w:r>
          </w:p>
        </w:tc>
        <w:tc>
          <w:tcPr>
            <w:tcW w:type="dxa" w:w="4350"/>
          </w:tcPr>
          <w:p>
            <w:pPr>
              <w:spacing w:before="0" w:after="0" w:line="259" w:lineRule="auto"/>
              <w:jc w:val="left"/>
            </w:pPr>
            <w:r/>
            <w:r>
              <w:rPr>
                <w:rFonts w:ascii="Calibri" w:hAnsi="Calibri"/>
                <w:b w:val="0"/>
                <w:color w:val="243746"/>
                <w:sz w:val="15"/>
              </w:rPr>
              <w:t>20260921T061911Z_000000000135283f</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Token-aware</w:t>
            </w:r>
          </w:p>
        </w:tc>
        <w:tc>
          <w:tcPr>
            <w:tcW w:type="dxa" w:w="4350"/>
            <w:shd w:fill="F6F9FC"/>
          </w:tcPr>
          <w:p>
            <w:pPr>
              <w:spacing w:before="0" w:after="0" w:line="259" w:lineRule="auto"/>
              <w:jc w:val="left"/>
            </w:pPr>
            <w:r/>
            <w:r>
              <w:rPr>
                <w:rFonts w:ascii="Calibri" w:hAnsi="Calibri"/>
                <w:b w:val="0"/>
                <w:color w:val="243746"/>
                <w:sz w:val="15"/>
              </w:rPr>
              <w:t>20260921T064120Z_000000000135283f</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r>
        <w:tc>
          <w:tcPr>
            <w:tcW w:type="dxa" w:w="1400"/>
          </w:tcPr>
          <w:p>
            <w:pPr>
              <w:spacing w:before="0" w:after="0" w:line="259" w:lineRule="auto"/>
              <w:jc w:val="left"/>
            </w:pPr>
            <w:r/>
            <w:r>
              <w:rPr>
                <w:rFonts w:ascii="Calibri" w:hAnsi="Calibri"/>
                <w:b w:val="0"/>
                <w:color w:val="243746"/>
                <w:sz w:val="15"/>
              </w:rPr>
              <w:t>Token-aware</w:t>
            </w:r>
          </w:p>
        </w:tc>
        <w:tc>
          <w:tcPr>
            <w:tcW w:type="dxa" w:w="4350"/>
          </w:tcPr>
          <w:p>
            <w:pPr>
              <w:spacing w:before="0" w:after="0" w:line="259" w:lineRule="auto"/>
              <w:jc w:val="left"/>
            </w:pPr>
            <w:r/>
            <w:r>
              <w:rPr>
                <w:rFonts w:ascii="Calibri" w:hAnsi="Calibri"/>
                <w:b w:val="0"/>
                <w:color w:val="243746"/>
                <w:sz w:val="15"/>
              </w:rPr>
              <w:t>20260921T080423Z_000000000135283f</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Random</w:t>
            </w:r>
          </w:p>
        </w:tc>
        <w:tc>
          <w:tcPr>
            <w:tcW w:type="dxa" w:w="4350"/>
            <w:shd w:fill="F6F9FC"/>
          </w:tcPr>
          <w:p>
            <w:pPr>
              <w:spacing w:before="0" w:after="0" w:line="259" w:lineRule="auto"/>
              <w:jc w:val="left"/>
            </w:pPr>
            <w:r/>
            <w:r>
              <w:rPr>
                <w:rFonts w:ascii="Calibri" w:hAnsi="Calibri"/>
                <w:b w:val="0"/>
                <w:color w:val="243746"/>
                <w:sz w:val="15"/>
              </w:rPr>
              <w:t>20260919T094231Z_0000000001352837</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r>
        <w:tc>
          <w:tcPr>
            <w:tcW w:type="dxa" w:w="1400"/>
          </w:tcPr>
          <w:p>
            <w:pPr>
              <w:spacing w:before="0" w:after="0" w:line="259" w:lineRule="auto"/>
              <w:jc w:val="left"/>
            </w:pPr>
            <w:r/>
            <w:r>
              <w:rPr>
                <w:rFonts w:ascii="Calibri" w:hAnsi="Calibri"/>
                <w:b w:val="0"/>
                <w:color w:val="243746"/>
                <w:sz w:val="15"/>
              </w:rPr>
              <w:t>Random</w:t>
            </w:r>
          </w:p>
        </w:tc>
        <w:tc>
          <w:tcPr>
            <w:tcW w:type="dxa" w:w="4350"/>
          </w:tcPr>
          <w:p>
            <w:pPr>
              <w:spacing w:before="0" w:after="0" w:line="259" w:lineRule="auto"/>
              <w:jc w:val="left"/>
            </w:pPr>
            <w:r/>
            <w:r>
              <w:rPr>
                <w:rFonts w:ascii="Calibri" w:hAnsi="Calibri"/>
                <w:b w:val="0"/>
                <w:color w:val="243746"/>
                <w:sz w:val="15"/>
              </w:rPr>
              <w:t>20260919T094326Z_0000000001352837</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Random</w:t>
            </w:r>
          </w:p>
        </w:tc>
        <w:tc>
          <w:tcPr>
            <w:tcW w:type="dxa" w:w="4350"/>
            <w:shd w:fill="F6F9FC"/>
          </w:tcPr>
          <w:p>
            <w:pPr>
              <w:spacing w:before="0" w:after="0" w:line="259" w:lineRule="auto"/>
              <w:jc w:val="left"/>
            </w:pPr>
            <w:r/>
            <w:r>
              <w:rPr>
                <w:rFonts w:ascii="Calibri" w:hAnsi="Calibri"/>
                <w:b w:val="0"/>
                <w:color w:val="243746"/>
                <w:sz w:val="15"/>
              </w:rPr>
              <w:t>20260919T095158Z_0000000001352838</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r>
        <w:tc>
          <w:tcPr>
            <w:tcW w:type="dxa" w:w="1400"/>
          </w:tcPr>
          <w:p>
            <w:pPr>
              <w:spacing w:before="0" w:after="0" w:line="259" w:lineRule="auto"/>
              <w:jc w:val="left"/>
            </w:pPr>
            <w:r/>
            <w:r>
              <w:rPr>
                <w:rFonts w:ascii="Calibri" w:hAnsi="Calibri"/>
                <w:b w:val="0"/>
                <w:color w:val="243746"/>
                <w:sz w:val="15"/>
              </w:rPr>
              <w:t>Random</w:t>
            </w:r>
          </w:p>
        </w:tc>
        <w:tc>
          <w:tcPr>
            <w:tcW w:type="dxa" w:w="4350"/>
          </w:tcPr>
          <w:p>
            <w:pPr>
              <w:spacing w:before="0" w:after="0" w:line="259" w:lineRule="auto"/>
              <w:jc w:val="left"/>
            </w:pPr>
            <w:r/>
            <w:r>
              <w:rPr>
                <w:rFonts w:ascii="Calibri" w:hAnsi="Calibri"/>
                <w:b w:val="0"/>
                <w:color w:val="243746"/>
                <w:sz w:val="15"/>
              </w:rPr>
              <w:t>20260919T101330Z_000000000135283f</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Random</w:t>
            </w:r>
          </w:p>
        </w:tc>
        <w:tc>
          <w:tcPr>
            <w:tcW w:type="dxa" w:w="4350"/>
            <w:shd w:fill="F6F9FC"/>
          </w:tcPr>
          <w:p>
            <w:pPr>
              <w:spacing w:before="0" w:after="0" w:line="259" w:lineRule="auto"/>
              <w:jc w:val="left"/>
            </w:pPr>
            <w:r/>
            <w:r>
              <w:rPr>
                <w:rFonts w:ascii="Calibri" w:hAnsi="Calibri"/>
                <w:b w:val="0"/>
                <w:color w:val="243746"/>
                <w:sz w:val="15"/>
              </w:rPr>
              <w:t>20260920T124703Z_0000000001352841</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r>
        <w:tc>
          <w:tcPr>
            <w:tcW w:type="dxa" w:w="1400"/>
          </w:tcPr>
          <w:p>
            <w:pPr>
              <w:spacing w:before="0" w:after="0" w:line="259" w:lineRule="auto"/>
              <w:jc w:val="left"/>
            </w:pPr>
            <w:r/>
            <w:r>
              <w:rPr>
                <w:rFonts w:ascii="Calibri" w:hAnsi="Calibri"/>
                <w:b w:val="0"/>
                <w:color w:val="243746"/>
                <w:sz w:val="15"/>
              </w:rPr>
              <w:t>Random</w:t>
            </w:r>
          </w:p>
        </w:tc>
        <w:tc>
          <w:tcPr>
            <w:tcW w:type="dxa" w:w="4350"/>
          </w:tcPr>
          <w:p>
            <w:pPr>
              <w:spacing w:before="0" w:after="0" w:line="259" w:lineRule="auto"/>
              <w:jc w:val="left"/>
            </w:pPr>
            <w:r/>
            <w:r>
              <w:rPr>
                <w:rFonts w:ascii="Calibri" w:hAnsi="Calibri"/>
                <w:b w:val="0"/>
                <w:color w:val="243746"/>
                <w:sz w:val="15"/>
              </w:rPr>
              <w:t>20260920T223912Z_000000000135283f</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Random</w:t>
            </w:r>
          </w:p>
        </w:tc>
        <w:tc>
          <w:tcPr>
            <w:tcW w:type="dxa" w:w="4350"/>
            <w:shd w:fill="F6F9FC"/>
          </w:tcPr>
          <w:p>
            <w:pPr>
              <w:spacing w:before="0" w:after="0" w:line="259" w:lineRule="auto"/>
              <w:jc w:val="left"/>
            </w:pPr>
            <w:r/>
            <w:r>
              <w:rPr>
                <w:rFonts w:ascii="Calibri" w:hAnsi="Calibri"/>
                <w:b w:val="0"/>
                <w:color w:val="243746"/>
                <w:sz w:val="15"/>
              </w:rPr>
              <w:t>20260919T145454Z_b46ec5216eb8950d</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r>
        <w:tc>
          <w:tcPr>
            <w:tcW w:type="dxa" w:w="1400"/>
          </w:tcPr>
          <w:p>
            <w:pPr>
              <w:spacing w:before="0" w:after="0" w:line="259" w:lineRule="auto"/>
              <w:jc w:val="left"/>
            </w:pPr>
            <w:r/>
            <w:r>
              <w:rPr>
                <w:rFonts w:ascii="Calibri" w:hAnsi="Calibri"/>
                <w:b w:val="0"/>
                <w:color w:val="243746"/>
                <w:sz w:val="15"/>
              </w:rPr>
              <w:t>Random</w:t>
            </w:r>
          </w:p>
        </w:tc>
        <w:tc>
          <w:tcPr>
            <w:tcW w:type="dxa" w:w="4350"/>
          </w:tcPr>
          <w:p>
            <w:pPr>
              <w:spacing w:before="0" w:after="0" w:line="259" w:lineRule="auto"/>
              <w:jc w:val="left"/>
            </w:pPr>
            <w:r/>
            <w:r>
              <w:rPr>
                <w:rFonts w:ascii="Calibri" w:hAnsi="Calibri"/>
                <w:b w:val="0"/>
                <w:color w:val="243746"/>
                <w:sz w:val="15"/>
              </w:rPr>
              <w:t>20260920T053335Z_294f018e9c417b5c</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Random</w:t>
            </w:r>
          </w:p>
        </w:tc>
        <w:tc>
          <w:tcPr>
            <w:tcW w:type="dxa" w:w="4350"/>
            <w:shd w:fill="F6F9FC"/>
          </w:tcPr>
          <w:p>
            <w:pPr>
              <w:spacing w:before="0" w:after="0" w:line="259" w:lineRule="auto"/>
              <w:jc w:val="left"/>
            </w:pPr>
            <w:r/>
            <w:r>
              <w:rPr>
                <w:rFonts w:ascii="Calibri" w:hAnsi="Calibri"/>
                <w:b w:val="0"/>
                <w:color w:val="243746"/>
                <w:sz w:val="15"/>
              </w:rPr>
              <w:t>20260920T072816Z_cb13c5a6420fa31f</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r>
        <w:tc>
          <w:tcPr>
            <w:tcW w:type="dxa" w:w="1400"/>
          </w:tcPr>
          <w:p>
            <w:pPr>
              <w:spacing w:before="0" w:after="0" w:line="259" w:lineRule="auto"/>
              <w:jc w:val="left"/>
            </w:pPr>
            <w:r/>
            <w:r>
              <w:rPr>
                <w:rFonts w:ascii="Calibri" w:hAnsi="Calibri"/>
                <w:b w:val="0"/>
                <w:color w:val="243746"/>
                <w:sz w:val="15"/>
              </w:rPr>
              <w:t>Random</w:t>
            </w:r>
          </w:p>
        </w:tc>
        <w:tc>
          <w:tcPr>
            <w:tcW w:type="dxa" w:w="4350"/>
          </w:tcPr>
          <w:p>
            <w:pPr>
              <w:spacing w:before="0" w:after="0" w:line="259" w:lineRule="auto"/>
              <w:jc w:val="left"/>
            </w:pPr>
            <w:r/>
            <w:r>
              <w:rPr>
                <w:rFonts w:ascii="Calibri" w:hAnsi="Calibri"/>
                <w:b w:val="0"/>
                <w:color w:val="243746"/>
                <w:sz w:val="15"/>
              </w:rPr>
              <w:t>20260920T085839Z_0623ed68272cbc84</w:t>
            </w:r>
          </w:p>
        </w:tc>
        <w:tc>
          <w:tcPr>
            <w:tcW w:type="dxa" w:w="1000"/>
          </w:tcPr>
          <w:p>
            <w:pPr>
              <w:spacing w:before="0" w:after="0" w:line="259" w:lineRule="auto"/>
              <w:jc w:val="center"/>
            </w:pPr>
            <w:r/>
            <w:r>
              <w:rPr>
                <w:rFonts w:ascii="Calibri" w:hAnsi="Calibri"/>
                <w:b w:val="0"/>
                <w:color w:val="243746"/>
                <w:sz w:val="15"/>
              </w:rPr>
              <w:t>false</w:t>
            </w:r>
          </w:p>
        </w:tc>
        <w:tc>
          <w:tcPr>
            <w:tcW w:type="dxa" w:w="1100"/>
          </w:tcPr>
          <w:p>
            <w:pPr>
              <w:spacing w:before="0" w:after="0" w:line="259" w:lineRule="auto"/>
              <w:jc w:val="center"/>
            </w:pPr>
            <w:r/>
            <w:r>
              <w:rPr>
                <w:rFonts w:ascii="Calibri" w:hAnsi="Calibri"/>
                <w:b w:val="0"/>
                <w:color w:val="243746"/>
                <w:sz w:val="15"/>
              </w:rPr>
              <w:t>excluded</w:t>
            </w:r>
          </w:p>
        </w:tc>
        <w:tc>
          <w:tcPr>
            <w:tcW w:type="dxa" w:w="1510"/>
          </w:tcPr>
          <w:p>
            <w:pPr>
              <w:spacing w:before="0" w:after="0" w:line="259" w:lineRule="auto"/>
              <w:jc w:val="left"/>
            </w:pPr>
            <w:r/>
            <w:r>
              <w:rPr>
                <w:rFonts w:ascii="Calibri" w:hAnsi="Calibri"/>
                <w:b w:val="0"/>
                <w:color w:val="243746"/>
                <w:sz w:val="15"/>
              </w:rPr>
              <w:t>completion_false</w:t>
            </w:r>
          </w:p>
        </w:tc>
      </w:tr>
      <w:tr>
        <w:tc>
          <w:tcPr>
            <w:tcW w:type="dxa" w:w="1400"/>
            <w:shd w:fill="F6F9FC"/>
          </w:tcPr>
          <w:p>
            <w:pPr>
              <w:spacing w:before="0" w:after="0" w:line="259" w:lineRule="auto"/>
              <w:jc w:val="left"/>
            </w:pPr>
            <w:r/>
            <w:r>
              <w:rPr>
                <w:rFonts w:ascii="Calibri" w:hAnsi="Calibri"/>
                <w:b w:val="0"/>
                <w:color w:val="243746"/>
                <w:sz w:val="15"/>
              </w:rPr>
              <w:t>Random</w:t>
            </w:r>
          </w:p>
        </w:tc>
        <w:tc>
          <w:tcPr>
            <w:tcW w:type="dxa" w:w="4350"/>
            <w:shd w:fill="F6F9FC"/>
          </w:tcPr>
          <w:p>
            <w:pPr>
              <w:spacing w:before="0" w:after="0" w:line="259" w:lineRule="auto"/>
              <w:jc w:val="left"/>
            </w:pPr>
            <w:r/>
            <w:r>
              <w:rPr>
                <w:rFonts w:ascii="Calibri" w:hAnsi="Calibri"/>
                <w:b w:val="0"/>
                <w:color w:val="243746"/>
                <w:sz w:val="15"/>
              </w:rPr>
              <w:t>20260921T041419Z_000000000135283f</w:t>
            </w:r>
          </w:p>
        </w:tc>
        <w:tc>
          <w:tcPr>
            <w:tcW w:type="dxa" w:w="1000"/>
            <w:shd w:fill="F6F9FC"/>
          </w:tcPr>
          <w:p>
            <w:pPr>
              <w:spacing w:before="0" w:after="0" w:line="259" w:lineRule="auto"/>
              <w:jc w:val="center"/>
            </w:pPr>
            <w:r/>
            <w:r>
              <w:rPr>
                <w:rFonts w:ascii="Calibri" w:hAnsi="Calibri"/>
                <w:b w:val="0"/>
                <w:color w:val="243746"/>
                <w:sz w:val="15"/>
              </w:rPr>
              <w:t>false</w:t>
            </w:r>
          </w:p>
        </w:tc>
        <w:tc>
          <w:tcPr>
            <w:tcW w:type="dxa" w:w="1100"/>
            <w:shd w:fill="F6F9FC"/>
          </w:tcPr>
          <w:p>
            <w:pPr>
              <w:spacing w:before="0" w:after="0" w:line="259" w:lineRule="auto"/>
              <w:jc w:val="center"/>
            </w:pPr>
            <w:r/>
            <w:r>
              <w:rPr>
                <w:rFonts w:ascii="Calibri" w:hAnsi="Calibri"/>
                <w:b w:val="0"/>
                <w:color w:val="243746"/>
                <w:sz w:val="15"/>
              </w:rPr>
              <w:t>excluded</w:t>
            </w:r>
          </w:p>
        </w:tc>
        <w:tc>
          <w:tcPr>
            <w:tcW w:type="dxa" w:w="1510"/>
            <w:shd w:fill="F6F9FC"/>
          </w:tcPr>
          <w:p>
            <w:pPr>
              <w:spacing w:before="0" w:after="0" w:line="259" w:lineRule="auto"/>
              <w:jc w:val="left"/>
            </w:pPr>
            <w:r/>
            <w:r>
              <w:rPr>
                <w:rFonts w:ascii="Calibri" w:hAnsi="Calibri"/>
                <w:b w:val="0"/>
                <w:color w:val="243746"/>
                <w:sz w:val="15"/>
              </w:rPr>
              <w:t>completion_false</w:t>
            </w:r>
          </w:p>
        </w:tc>
      </w:tr>
    </w:tbl>
    <w:p>
      <w:pPr>
        <w:spacing w:after="60"/>
      </w:pPr>
    </w:p>
    <w:p>
      <w:r>
        <w:rPr>
          <w:rFonts w:ascii="Calibri" w:hAnsi="Calibri"/>
          <w:color w:val="243746"/>
          <w:sz w:val="21"/>
        </w:rPr>
        <w:t>All 14 exclusions were caused by completion_false. Their partial records remain in the trial-level CSV for audit but were filtered by included_in_analysis=false from every result total in this report.</w:t>
      </w:r>
    </w:p>
    <w:p>
      <w:pPr>
        <w:pStyle w:val="Heading1"/>
      </w:pPr>
      <w:r>
        <w:t>Appendix B. Evidence schema and file map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Artifact</w:t>
            </w:r>
          </w:p>
        </w:tc>
        <w:tc>
          <w:tcPr>
            <w:tcW w:type="dxa" w:w="63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Role in this report</w:t>
            </w:r>
          </w:p>
        </w:tc>
      </w:tr>
      <w:tr>
        <w:tc>
          <w:tcPr>
            <w:tcW w:type="dxa" w:w="3000"/>
          </w:tcPr>
          <w:p>
            <w:pPr>
              <w:spacing w:before="0" w:after="0" w:line="259" w:lineRule="auto"/>
              <w:jc w:val="left"/>
            </w:pPr>
            <w:r/>
            <w:r>
              <w:rPr>
                <w:rFonts w:ascii="Calibri" w:hAnsi="Calibri"/>
                <w:b/>
                <w:color w:val="243746"/>
                <w:sz w:val="17"/>
              </w:rPr>
              <w:t>trial_level_evidence.csv</w:t>
            </w:r>
          </w:p>
        </w:tc>
        <w:tc>
          <w:tcPr>
            <w:tcW w:type="dxa" w:w="6360"/>
          </w:tcPr>
          <w:p>
            <w:pPr>
              <w:spacing w:before="0" w:after="0" w:line="259" w:lineRule="auto"/>
              <w:jc w:val="left"/>
            </w:pPr>
            <w:r/>
            <w:r>
              <w:rPr>
                <w:rFonts w:ascii="Calibri" w:hAnsi="Calibri"/>
                <w:b w:val="0"/>
                <w:color w:val="243746"/>
                <w:sz w:val="17"/>
              </w:rPr>
              <w:t>One row per main history or control, with provenance, verdict, routing, fault, timing, and ordered-operation fields.</w:t>
            </w:r>
          </w:p>
        </w:tc>
      </w:tr>
      <w:tr>
        <w:tc>
          <w:tcPr>
            <w:tcW w:type="dxa" w:w="3000"/>
            <w:shd w:fill="F6F9FC"/>
          </w:tcPr>
          <w:p>
            <w:pPr>
              <w:spacing w:before="0" w:after="0" w:line="259" w:lineRule="auto"/>
              <w:jc w:val="left"/>
            </w:pPr>
            <w:r/>
            <w:r>
              <w:rPr>
                <w:rFonts w:ascii="Calibri" w:hAnsi="Calibri"/>
                <w:b/>
                <w:color w:val="243746"/>
                <w:sz w:val="17"/>
              </w:rPr>
              <w:t>run_level_violation_matrix.csv</w:t>
            </w:r>
          </w:p>
        </w:tc>
        <w:tc>
          <w:tcPr>
            <w:tcW w:type="dxa" w:w="6360"/>
            <w:shd w:fill="F6F9FC"/>
          </w:tcPr>
          <w:p>
            <w:pPr>
              <w:spacing w:before="0" w:after="0" w:line="259" w:lineRule="auto"/>
              <w:jc w:val="left"/>
            </w:pPr>
            <w:r/>
            <w:r>
              <w:rPr>
                <w:rFonts w:ascii="Calibri" w:hAnsi="Calibri"/>
                <w:b w:val="0"/>
                <w:color w:val="243746"/>
                <w:sz w:val="17"/>
              </w:rPr>
              <w:t>One row per run, including completion, validation, counts, environment, and complete cell matrix.</w:t>
            </w:r>
          </w:p>
        </w:tc>
      </w:tr>
      <w:tr>
        <w:tc>
          <w:tcPr>
            <w:tcW w:type="dxa" w:w="3000"/>
          </w:tcPr>
          <w:p>
            <w:pPr>
              <w:spacing w:before="0" w:after="0" w:line="259" w:lineRule="auto"/>
              <w:jc w:val="left"/>
            </w:pPr>
            <w:r/>
            <w:r>
              <w:rPr>
                <w:rFonts w:ascii="Calibri" w:hAnsi="Calibri"/>
                <w:b/>
                <w:color w:val="243746"/>
                <w:sz w:val="17"/>
              </w:rPr>
              <w:t>v2_analysis_summary.json</w:t>
            </w:r>
          </w:p>
        </w:tc>
        <w:tc>
          <w:tcPr>
            <w:tcW w:type="dxa" w:w="6360"/>
          </w:tcPr>
          <w:p>
            <w:pPr>
              <w:spacing w:before="0" w:after="0" w:line="259" w:lineRule="auto"/>
              <w:jc w:val="left"/>
            </w:pPr>
            <w:r/>
            <w:r>
              <w:rPr>
                <w:rFonts w:ascii="Calibri" w:hAnsi="Calibri"/>
                <w:b w:val="0"/>
                <w:color w:val="243746"/>
                <w:sz w:val="17"/>
              </w:rPr>
              <w:t>Derived aggregate and trace selection used by the V2 builder; reproducible from the two CSVs.</w:t>
            </w:r>
          </w:p>
        </w:tc>
      </w:tr>
      <w:tr>
        <w:tc>
          <w:tcPr>
            <w:tcW w:type="dxa" w:w="3000"/>
            <w:shd w:fill="F6F9FC"/>
          </w:tcPr>
          <w:p>
            <w:pPr>
              <w:spacing w:before="0" w:after="0" w:line="259" w:lineRule="auto"/>
              <w:jc w:val="left"/>
            </w:pPr>
            <w:r/>
            <w:r>
              <w:rPr>
                <w:rFonts w:ascii="Calibri" w:hAnsi="Calibri"/>
                <w:b/>
                <w:color w:val="243746"/>
                <w:sz w:val="17"/>
              </w:rPr>
              <w:t>v2_assets/08–11</w:t>
            </w:r>
          </w:p>
        </w:tc>
        <w:tc>
          <w:tcPr>
            <w:tcW w:type="dxa" w:w="6360"/>
            <w:shd w:fill="F6F9FC"/>
          </w:tcPr>
          <w:p>
            <w:pPr>
              <w:spacing w:before="0" w:after="0" w:line="259" w:lineRule="auto"/>
              <w:jc w:val="left"/>
            </w:pPr>
            <w:r/>
            <w:r>
              <w:rPr>
                <w:rFonts w:ascii="Calibri" w:hAnsi="Calibri"/>
                <w:b w:val="0"/>
                <w:color w:val="243746"/>
                <w:sz w:val="17"/>
              </w:rPr>
              <w:t>Result charts derived from the eligible main-history rows.</w:t>
            </w:r>
          </w:p>
        </w:tc>
      </w:tr>
      <w:tr>
        <w:tc>
          <w:tcPr>
            <w:tcW w:type="dxa" w:w="3000"/>
          </w:tcPr>
          <w:p>
            <w:pPr>
              <w:spacing w:before="0" w:after="0" w:line="259" w:lineRule="auto"/>
              <w:jc w:val="left"/>
            </w:pPr>
            <w:r/>
            <w:r>
              <w:rPr>
                <w:rFonts w:ascii="Calibri" w:hAnsi="Calibri"/>
                <w:b/>
                <w:color w:val="243746"/>
                <w:sz w:val="17"/>
              </w:rPr>
              <w:t>figures/png/01–07</w:t>
            </w:r>
          </w:p>
        </w:tc>
        <w:tc>
          <w:tcPr>
            <w:tcW w:type="dxa" w:w="6360"/>
          </w:tcPr>
          <w:p>
            <w:pPr>
              <w:spacing w:before="0" w:after="0" w:line="259" w:lineRule="auto"/>
              <w:jc w:val="left"/>
            </w:pPr>
            <w:r/>
            <w:r>
              <w:rPr>
                <w:rFonts w:ascii="Calibri" w:hAnsi="Calibri"/>
                <w:b w:val="0"/>
                <w:color w:val="243746"/>
                <w:sz w:val="17"/>
              </w:rPr>
              <w:t>Deployment, routing, fault, evidence, and model diagrams.</w:t>
            </w:r>
          </w:p>
        </w:tc>
      </w:tr>
      <w:tr>
        <w:tc>
          <w:tcPr>
            <w:tcW w:type="dxa" w:w="3000"/>
            <w:shd w:fill="F6F9FC"/>
          </w:tcPr>
          <w:p>
            <w:pPr>
              <w:spacing w:before="0" w:after="0" w:line="259" w:lineRule="auto"/>
              <w:jc w:val="left"/>
            </w:pPr>
            <w:r/>
            <w:r>
              <w:rPr>
                <w:rFonts w:ascii="Calibri" w:hAnsi="Calibri"/>
                <w:b/>
                <w:color w:val="243746"/>
                <w:sz w:val="17"/>
              </w:rPr>
              <w:t>results/&lt;run_id&gt;/</w:t>
            </w:r>
          </w:p>
        </w:tc>
        <w:tc>
          <w:tcPr>
            <w:tcW w:type="dxa" w:w="6360"/>
            <w:shd w:fill="F6F9FC"/>
          </w:tcPr>
          <w:p>
            <w:pPr>
              <w:spacing w:before="0" w:after="0" w:line="259" w:lineRule="auto"/>
              <w:jc w:val="left"/>
            </w:pPr>
            <w:r/>
            <w:r>
              <w:rPr>
                <w:rFonts w:ascii="Calibri" w:hAnsi="Calibri"/>
                <w:b w:val="0"/>
                <w:color w:val="243746"/>
                <w:sz w:val="17"/>
              </w:rPr>
              <w:t>Raw immutable JSON/JSONL evidence referenced by CSV source paths and hashes.</w:t>
            </w:r>
          </w:p>
        </w:tc>
      </w:tr>
    </w:tbl>
    <w:p>
      <w:pPr>
        <w:spacing w:after="60"/>
      </w:pPr>
    </w:p>
    <w:p>
      <w:pPr>
        <w:pStyle w:val="Heading2"/>
      </w:pPr>
      <w:r>
        <w:t>B.1 Main analysis filters</w:t>
      </w:r>
    </w:p>
    <w:p>
      <w:pPr>
        <w:pStyle w:val="ListBullet"/>
      </w:pPr>
      <w:r>
        <w:rPr>
          <w:rFonts w:ascii="Calibri" w:hAnsi="Calibri"/>
          <w:color w:val="243746"/>
          <w:sz w:val="21"/>
        </w:rPr>
        <w:t>included_in_analysis == true</w:t>
      </w:r>
    </w:p>
    <w:p>
      <w:pPr>
        <w:pStyle w:val="ListBullet"/>
      </w:pPr>
      <w:r>
        <w:rPr>
          <w:rFonts w:ascii="Calibri" w:hAnsi="Calibri"/>
          <w:color w:val="243746"/>
          <w:sz w:val="21"/>
        </w:rPr>
        <w:t>record_type == main_trial</w:t>
      </w:r>
    </w:p>
    <w:p>
      <w:pPr>
        <w:pStyle w:val="ListBullet"/>
      </w:pPr>
      <w:r>
        <w:rPr>
          <w:rFonts w:ascii="Calibri" w:hAnsi="Calibri"/>
          <w:color w:val="243746"/>
          <w:sz w:val="21"/>
        </w:rPr>
        <w:t>included_in_main_violation_matrix == true</w:t>
      </w:r>
    </w:p>
    <w:p>
      <w:pPr>
        <w:pStyle w:val="ListBullet"/>
      </w:pPr>
      <w:r>
        <w:rPr>
          <w:rFonts w:ascii="Calibri" w:hAnsi="Calibri"/>
          <w:color w:val="243746"/>
          <w:sz w:val="21"/>
        </w:rPr>
        <w:t>setup populations kept separate</w:t>
      </w:r>
    </w:p>
    <w:p>
      <w:pPr>
        <w:pStyle w:val="ListBullet"/>
      </w:pPr>
      <w:r>
        <w:rPr>
          <w:rFonts w:ascii="Calibri" w:hAnsi="Calibri"/>
          <w:color w:val="243746"/>
          <w:sz w:val="21"/>
        </w:rPr>
        <w:t>violation rate denominator = violation + no_violation_observed</w:t>
      </w:r>
    </w:p>
    <w:p>
      <w:pPr>
        <w:pStyle w:val="ListBullet"/>
      </w:pPr>
      <w:r>
        <w:rPr>
          <w:rFonts w:ascii="Calibri" w:hAnsi="Calibri"/>
          <w:color w:val="243746"/>
          <w:sz w:val="21"/>
        </w:rPr>
        <w:t>controls excluded from main denominators</w:t>
      </w:r>
    </w:p>
    <w:p>
      <w:pPr>
        <w:pStyle w:val="Heading2"/>
      </w:pPr>
      <w:r>
        <w:t>B.2 Suggested final-submission checks</w:t>
      </w:r>
    </w:p>
    <w:p>
      <w:pPr>
        <w:pStyle w:val="ListBullet"/>
      </w:pPr>
      <w:r>
        <w:rPr>
          <w:rFonts w:ascii="Calibri" w:hAnsi="Calibri"/>
          <w:color w:val="243746"/>
          <w:sz w:val="21"/>
        </w:rPr>
        <w:t>Replace project-group metadata on the cover.</w:t>
      </w:r>
    </w:p>
    <w:p>
      <w:pPr>
        <w:pStyle w:val="ListBullet"/>
      </w:pPr>
      <w:r>
        <w:rPr>
          <w:rFonts w:ascii="Calibri" w:hAnsi="Calibri"/>
          <w:color w:val="243746"/>
          <w:sz w:val="21"/>
        </w:rPr>
        <w:t>Add and validate a full-profile token-aware run, then regenerate exports and charts.</w:t>
      </w:r>
    </w:p>
    <w:p>
      <w:pPr>
        <w:pStyle w:val="ListBullet"/>
      </w:pPr>
      <w:r>
        <w:rPr>
          <w:rFonts w:ascii="Calibri" w:hAnsi="Calibri"/>
          <w:color w:val="243746"/>
          <w:sz w:val="21"/>
        </w:rPr>
        <w:t>Confirm that the final code revision matches the source hashes recorded by the measured run.</w:t>
      </w:r>
    </w:p>
    <w:p>
      <w:pPr>
        <w:pStyle w:val="ListBullet"/>
      </w:pPr>
      <w:r>
        <w:rPr>
          <w:rFonts w:ascii="Calibri" w:hAnsi="Calibri"/>
          <w:color w:val="243746"/>
          <w:sz w:val="21"/>
        </w:rPr>
        <w:t>Re-run the exporter and verifier; independently sample at least one violation and one inconclusive history.</w:t>
      </w:r>
    </w:p>
    <w:p>
      <w:pPr>
        <w:pStyle w:val="ListBullet"/>
      </w:pPr>
      <w:r>
        <w:rPr>
          <w:rFonts w:ascii="Calibri" w:hAnsi="Calibri"/>
          <w:color w:val="243746"/>
          <w:sz w:val="21"/>
        </w:rPr>
        <w:t>Render the final DOCX/PDF and inspect every page for clipping, table splits, caption placement, and hyperlink correctness.</w:t>
      </w: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386"/>
        <w:sz w:val="16"/>
      </w:rPr>
      <w:t xml:space="preserve">NUS DSA508  |  </w:t>
    </w:r>
    <w:r>
      <w:rPr>
        <w:rFonts w:ascii="Calibri" w:hAnsi="Calibri"/>
        <w:color w:val="60738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7386"/>
        <w:sz w:val="16"/>
      </w:rPr>
      <w:t>CASSANDRA CLIENT-CENTRIC CONSISTENCY • DRAFT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79B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79B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color w:val="24374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Calibri" w:hAnsi="Calibri"/>
      <w:color w:val="24374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jc w:val="center"/>
    </w:pPr>
    <w:rPr>
      <w:rFonts w:ascii="Calibri" w:hAnsi="Calibri"/>
      <w:b/>
      <w:bCs/>
      <w:i/>
      <w:color w:val="6073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Tag">
    <w:name w:val="Evidence Tag"/>
    <w:pPr>
      <w:spacing w:before="40" w:after="160"/>
    </w:pPr>
    <w:rPr>
      <w:rFonts w:ascii="Calibri" w:hAnsi="Calibri"/>
      <w:i/>
      <w:color w:val="607386"/>
      <w:sz w:val="16"/>
    </w:rPr>
  </w:style>
  <w:style w:type="paragraph" w:customStyle="1" w:styleId="Callout">
    <w:name w:val="Callout"/>
    <w:pPr>
      <w:spacing w:before="160" w:after="160" w:line="276" w:lineRule="auto"/>
      <w:ind w:left="288" w:right="288"/>
    </w:pPr>
    <w:rPr>
      <w:rFonts w:ascii="Calibri" w:hAnsi="Calibri"/>
      <w:color w:val="17324D"/>
      <w:sz w:val="21"/>
    </w:rPr>
  </w:style>
  <w:style w:type="character" w:customStyle="1" w:styleId="CodeInline">
    <w:name w:val="Code Inline"/>
    <w:rPr>
      <w:rFonts w:ascii="Menlo" w:hAnsi="Menlo"/>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cassandra.apache.org/doc/stable/cassandra/architecture/dynamo" TargetMode="External"/><Relationship Id="rId23" Type="http://schemas.openxmlformats.org/officeDocument/2006/relationships/hyperlink" Target="https://cassandra.apache.org/doc/stable/cassandra/developing/cql/consistency.html" TargetMode="External"/><Relationship Id="rId24" Type="http://schemas.openxmlformats.org/officeDocument/2006/relationships/hyperlink" Target="https://cassandra.apache.org/doc/stable/cassandra/managing/operating/read_repair.html" TargetMode="External"/><Relationship Id="rId25" Type="http://schemas.openxmlformats.org/officeDocument/2006/relationships/hyperlink" Target="https://cassandra.apache.org/doc/latest/cassandra/managing/operating/hints.html" TargetMode="External"/><Relationship Id="rId26" Type="http://schemas.openxmlformats.org/officeDocument/2006/relationships/hyperlink" Target="https://docs.datastax.com/en/datastax-drivers/managing/balance-load.html" TargetMode="External"/><Relationship Id="rId27" Type="http://schemas.openxmlformats.org/officeDocument/2006/relationships/hyperlink" Target="https://docs.docker.com/desktop/features/networking/" TargetMode="External"/><Relationship Id="rId28" Type="http://schemas.openxmlformats.org/officeDocument/2006/relationships/hyperlink" Target="https://github.com/whitetiger1399/scalableDistribu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Client-Centric Consistency in Apache Cassandra – Draft V2</dc:title>
  <dc:subject>NUS DSA508 Scalable Distributed Computing project</dc:subject>
  <dc:creator>Project group</dc:creator>
  <cp:keywords>Apache Cassandra, client-centric consistency, tunable consistency, Docker, distributed systems</cp:keywords>
  <dc:description>generated by python-docx</dc:description>
  <cp:lastModifiedBy/>
  <cp:revision>1</cp:revision>
  <dcterms:created xsi:type="dcterms:W3CDTF">2013-12-23T23:15:00Z</dcterms:created>
  <dcterms:modified xsi:type="dcterms:W3CDTF">2013-12-23T23:15:00Z</dcterms:modified>
  <cp:category/>
</cp:coreProperties>
</file>