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40"/>
      </w:pPr>
      <w:r>
        <w:rPr>
          <w:rFonts w:ascii="Cambria" w:cs="Cambria" w:eastAsia="Cambria" w:hAnsi="Cambria"/>
          <w:sz w:val="20"/>
          <w:szCs w:val="20"/>
        </w:rPr>
        <w:t xml:space="preserve">FIN 6155 — Lending in the Digital Age	University of Utah, Fall 2026</w:t>
      </w:r>
    </w:p>
    <w:p>
      <w:pPr>
        <w:spacing w:after="60"/>
      </w:pPr>
      <w:r>
        <w:rPr>
          <w:rFonts w:ascii="Cambria" w:cs="Cambria" w:eastAsia="Cambria" w:hAnsi="Cambria"/>
          <w:b/>
          <w:bCs/>
          <w:sz w:val="30"/>
          <w:szCs w:val="30"/>
        </w:rPr>
        <w:t xml:space="preserve">First Ute Bank — data dictionary</w:t>
      </w:r>
    </w:p>
    <w:p>
      <w:pPr>
        <w:pBdr>
          <w:bottom w:val="single" w:color="000000" w:sz="4" w:space="3"/>
        </w:pBdr>
        <w:spacing w:after="60"/>
      </w:pPr>
      <w:r>
        <w:rPr>
          <w:rFonts w:ascii="Cambria" w:cs="Cambria" w:eastAsia="Cambria" w:hAnsi="Cambria"/>
          <w:sz w:val="20"/>
          <w:szCs w:val="20"/>
        </w:rPr>
        <w:t xml:space="preserve">Digital Credit Build synthetic data release. Version 3.3 (August 21, 2026).</w:t>
      </w:r>
    </w:p>
    <w:p>
      <w:pPr>
        <w:spacing w:after="120" w:line="264"/>
      </w:pPr>
      <w:r>
        <w:rPr>
          <w:rFonts w:ascii="Cambria" w:cs="Cambria" w:eastAsia="Cambria" w:hAnsi="Cambria"/>
          <w:sz w:val="22"/>
          <w:szCs w:val="22"/>
        </w:rPr>
        <w:t xml:space="preserve">Synthetic data; no real consumers. This release is the loan book of an incumbent lender (“First Ute Bank”) plus a queue of pending applications, in exactly the Plaid schema your Stage 1 pipeline produced. You have this dictionary (with the preview files) on Canvas from the start of the course — long before the data itself — so your team can write its Stage 2 feature pre-registration (handout §6.1) from the schema alone. Transaction history runs through 2026-07-31; applications are dated August to mid-September 2026; </w:t>
      </w:r>
      <w:r>
        <w:rPr>
          <w:rFonts w:ascii="Consolas" w:cs="Consolas" w:eastAsia="Consolas" w:hAnsi="Consolas"/>
          <w:sz w:val="19"/>
          <w:szCs w:val="19"/>
        </w:rPr>
        <w:t xml:space="preserve">default_12m</w:t>
      </w:r>
      <w:r>
        <w:rPr>
          <w:rFonts w:ascii="Cambria" w:cs="Cambria" w:eastAsia="Cambria" w:hAnsi="Cambria"/>
          <w:sz w:val="22"/>
          <w:szCs w:val="22"/>
        </w:rPr>
        <w:t xml:space="preserve"> means default within 12 months of origination.</w:t>
      </w:r>
    </w:p>
    <w:p>
      <w:pPr>
        <w:pStyle w:val="Heading1"/>
        <w:spacing w:after="130" w:before="240"/>
      </w:pPr>
      <w:r>
        <w:rPr>
          <w:rFonts w:ascii="Cambria" w:cs="Cambria" w:eastAsia="Cambria" w:hAnsi="Cambria"/>
          <w:b/>
          <w:bCs/>
          <w:color w:val="000000"/>
          <w:sz w:val="26"/>
          <w:szCs w:val="26"/>
        </w:rPr>
        <w:t xml:space="preserve">1. Read this first — the data is a funnel</w:t>
      </w:r>
    </w:p>
    <w:p>
      <w:pPr>
        <w:spacing w:after="120" w:line="264"/>
      </w:pPr>
      <w:r>
        <w:rPr>
          <w:rFonts w:ascii="Cambria" w:cs="Cambria" w:eastAsia="Cambria" w:hAnsi="Cambria"/>
          <w:sz w:val="22"/>
          <w:szCs w:val="22"/>
        </w:rPr>
        <w:t xml:space="preserve">Every applicant in the book went through the incumbent's process:</w:t>
      </w:r>
    </w:p>
    <w:p>
      <w:pPr>
        <w:spacing w:after="30"/>
        <w:ind w:left="720"/>
      </w:pPr>
      <w:r>
        <w:rPr>
          <w:rFonts w:ascii="Consolas" w:cs="Consolas" w:eastAsia="Consolas" w:hAnsi="Consolas"/>
          <w:sz w:val="19"/>
          <w:szCs w:val="19"/>
        </w:rPr>
        <w:t xml:space="preserve">applied (everyone in applications.csv)</w:t>
      </w:r>
    </w:p>
    <w:p>
      <w:pPr>
        <w:spacing w:after="30"/>
        <w:ind w:left="720"/>
      </w:pPr>
      <w:r>
        <w:rPr>
          <w:rFonts w:ascii="Consolas" w:cs="Consolas" w:eastAsia="Consolas" w:hAnsi="Consolas"/>
          <w:sz w:val="19"/>
          <w:szCs w:val="19"/>
        </w:rPr>
        <w:t xml:space="preserve">  → approved      the incumbent's underwriting model accepted a subset</w:t>
      </w:r>
    </w:p>
    <w:p>
      <w:pPr>
        <w:spacing w:after="30"/>
        <w:ind w:left="720"/>
      </w:pPr>
      <w:r>
        <w:rPr>
          <w:rFonts w:ascii="Consolas" w:cs="Consolas" w:eastAsia="Consolas" w:hAnsi="Consolas"/>
          <w:sz w:val="19"/>
          <w:szCs w:val="19"/>
        </w:rPr>
        <w:t xml:space="preserve">  → offered_apr   its pricing model set a risk-based APR for the approved</w:t>
      </w:r>
    </w:p>
    <w:p>
      <w:pPr>
        <w:spacing w:after="30"/>
        <w:ind w:left="720"/>
      </w:pPr>
      <w:r>
        <w:rPr>
          <w:rFonts w:ascii="Consolas" w:cs="Consolas" w:eastAsia="Consolas" w:hAnsi="Consolas"/>
          <w:sz w:val="19"/>
          <w:szCs w:val="19"/>
        </w:rPr>
        <w:t xml:space="preserve">  → took_up       the borrower chose to accept — only some did</w:t>
      </w:r>
    </w:p>
    <w:p>
      <w:pPr>
        <w:spacing w:after="30"/>
        <w:ind w:left="720"/>
      </w:pPr>
      <w:r>
        <w:rPr>
          <w:rFonts w:ascii="Consolas" w:cs="Consolas" w:eastAsia="Consolas" w:hAnsi="Consolas"/>
          <w:sz w:val="19"/>
          <w:szCs w:val="19"/>
        </w:rPr>
        <w:t xml:space="preserve">  → default_12m   performance is observed only for taken-up loans</w:t>
      </w:r>
    </w:p>
    <w:p>
      <w:pPr>
        <w:spacing w:after="120" w:line="264"/>
      </w:pPr>
      <w:r>
        <w:rPr>
          <w:rFonts w:ascii="Cambria" w:cs="Cambria" w:eastAsia="Cambria" w:hAnsi="Cambria"/>
          <w:sz w:val="22"/>
          <w:szCs w:val="22"/>
        </w:rPr>
        <w:t xml:space="preserve">Every observed outcome sits at the end of that funnel: approval was the incumbent's choice, </w:t>
      </w:r>
      <w:r>
        <w:rPr>
          <w:rFonts w:ascii="Consolas" w:cs="Consolas" w:eastAsia="Consolas" w:hAnsi="Consolas"/>
          <w:sz w:val="19"/>
          <w:szCs w:val="19"/>
        </w:rPr>
        <w:t xml:space="preserve">offered_apr</w:t>
      </w:r>
      <w:r>
        <w:rPr>
          <w:rFonts w:ascii="Cambria" w:cs="Cambria" w:eastAsia="Cambria" w:hAnsi="Cambria"/>
          <w:sz w:val="22"/>
          <w:szCs w:val="22"/>
        </w:rPr>
        <w:t xml:space="preserve"> was set as a function of assessed risk, and acceptance was the borrower's choice. Labels exist only for loans that were actually booked. What this implies for training, calibrating, and pricing from this book is the data-shortcomings question your Stage 2 write-up must answer (handout §5.1) — work it out before you model.</w:t>
      </w:r>
    </w:p>
    <w:p>
      <w:pPr>
        <w:pStyle w:val="Heading1"/>
        <w:spacing w:after="130" w:before="240"/>
      </w:pPr>
      <w:r>
        <w:rPr>
          <w:rFonts w:ascii="Cambria" w:cs="Cambria" w:eastAsia="Cambria" w:hAnsi="Cambria"/>
          <w:b/>
          <w:bCs/>
          <w:color w:val="000000"/>
          <w:sz w:val="26"/>
          <w:szCs w:val="26"/>
        </w:rPr>
        <w:t xml:space="preserve">2. The pending queue — who you underwrite and price</w:t>
      </w:r>
    </w:p>
    <w:p>
      <w:pPr>
        <w:spacing w:after="120" w:line="264"/>
      </w:pPr>
      <w:r>
        <w:rPr>
          <w:rFonts w:ascii="Consolas" w:cs="Consolas" w:eastAsia="Consolas" w:hAnsi="Consolas"/>
          <w:sz w:val="19"/>
          <w:szCs w:val="19"/>
        </w:rPr>
        <w:t xml:space="preserve">holdout_ids.csv</w:t>
      </w:r>
      <w:r>
        <w:rPr>
          <w:rFonts w:ascii="Cambria" w:cs="Cambria" w:eastAsia="Cambria" w:hAnsi="Cambria"/>
          <w:sz w:val="22"/>
          <w:szCs w:val="22"/>
        </w:rPr>
        <w:t xml:space="preserve"> lists applicants with no incumbent decision: their </w:t>
      </w:r>
      <w:r>
        <w:rPr>
          <w:rFonts w:ascii="Consolas" w:cs="Consolas" w:eastAsia="Consolas" w:hAnsi="Consolas"/>
          <w:sz w:val="19"/>
          <w:szCs w:val="19"/>
        </w:rPr>
        <w:t xml:space="preserve">approved</w:t>
      </w:r>
      <w:r>
        <w:rPr>
          <w:rFonts w:ascii="Cambria" w:cs="Cambria" w:eastAsia="Cambria" w:hAnsi="Cambria"/>
          <w:sz w:val="22"/>
          <w:szCs w:val="22"/>
        </w:rPr>
        <w:t xml:space="preserve">, </w:t>
      </w:r>
      <w:r>
        <w:rPr>
          <w:rFonts w:ascii="Consolas" w:cs="Consolas" w:eastAsia="Consolas" w:hAnsi="Consolas"/>
          <w:sz w:val="19"/>
          <w:szCs w:val="19"/>
        </w:rPr>
        <w:t xml:space="preserve">offered_apr</w:t>
      </w:r>
      <w:r>
        <w:rPr>
          <w:rFonts w:ascii="Cambria" w:cs="Cambria" w:eastAsia="Cambria" w:hAnsi="Cambria"/>
          <w:sz w:val="22"/>
          <w:szCs w:val="22"/>
        </w:rPr>
        <w:t xml:space="preserve">, and </w:t>
      </w:r>
      <w:r>
        <w:rPr>
          <w:rFonts w:ascii="Consolas" w:cs="Consolas" w:eastAsia="Consolas" w:hAnsi="Consolas"/>
          <w:sz w:val="19"/>
          <w:szCs w:val="19"/>
        </w:rPr>
        <w:t xml:space="preserve">took_up</w:t>
      </w:r>
      <w:r>
        <w:rPr>
          <w:rFonts w:ascii="Cambria" w:cs="Cambria" w:eastAsia="Cambria" w:hAnsi="Cambria"/>
          <w:sz w:val="22"/>
          <w:szCs w:val="22"/>
        </w:rPr>
        <w:t xml:space="preserve"> are blank. Think of them as the applications sitting in your queue on day one — you have their bank data and loan request, but no one has decided yet. These are the applicants you score in every graded submission: PD in Stages 2–3, PD + APR + approve/deny in Stage 5.</w:t>
      </w:r>
    </w:p>
    <w:p>
      <w:pPr>
        <w:spacing w:after="120" w:line="264"/>
      </w:pPr>
      <w:r>
        <w:rPr>
          <w:rFonts w:ascii="Cambria" w:cs="Cambria" w:eastAsia="Cambria" w:hAnsi="Cambria"/>
          <w:b/>
          <w:bCs/>
          <w:sz w:val="22"/>
          <w:szCs w:val="22"/>
        </w:rPr>
        <w:t xml:space="preserve">Scoring semantics: </w:t>
      </w:r>
      <w:r>
        <w:rPr>
          <w:rFonts w:ascii="Cambria" w:cs="Cambria" w:eastAsia="Cambria" w:hAnsi="Cambria"/>
          <w:sz w:val="22"/>
          <w:szCs w:val="22"/>
        </w:rPr>
        <w:t xml:space="preserve">the answer key holds each pending applicant's realized outcome if funded (on incumbent-like terms). Your </w:t>
      </w:r>
      <w:r>
        <w:rPr>
          <w:rFonts w:ascii="Consolas" w:cs="Consolas" w:eastAsia="Consolas" w:hAnsi="Consolas"/>
          <w:sz w:val="19"/>
          <w:szCs w:val="19"/>
        </w:rPr>
        <w:t xml:space="preserve">pd</w:t>
      </w:r>
      <w:r>
        <w:rPr>
          <w:rFonts w:ascii="Cambria" w:cs="Cambria" w:eastAsia="Cambria" w:hAnsi="Cambria"/>
          <w:sz w:val="22"/>
          <w:szCs w:val="22"/>
        </w:rPr>
        <w:t xml:space="preserve"> is therefore “the probability this applicant defaults within 12 months if we book the loan.”</w:t>
      </w:r>
    </w:p>
    <w:p>
      <w:pPr>
        <w:pStyle w:val="Heading1"/>
        <w:spacing w:after="130" w:before="240"/>
      </w:pPr>
      <w:r>
        <w:rPr>
          <w:rFonts w:ascii="Cambria" w:cs="Cambria" w:eastAsia="Cambria" w:hAnsi="Cambria"/>
          <w:b/>
          <w:bCs/>
          <w:color w:val="000000"/>
          <w:sz w:val="26"/>
          <w:szCs w:val="26"/>
        </w:rPr>
        <w:t xml:space="preserve">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File</w:t>
            </w:r>
          </w:p>
        </w:tc>
        <w:tc>
          <w:tcPr>
            <w:tcW w:type="dxa" w:w="646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Contents</w:t>
            </w:r>
          </w:p>
        </w:tc>
      </w:tr>
      <w:tr>
        <w:tc>
          <w:tcPr>
            <w:tcW w:type="dxa" w:w="29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plaid_synth_shard_*.ndjson.gz</w:t>
            </w:r>
          </w:p>
        </w:tc>
        <w:tc>
          <w:tcPr>
            <w:tcW w:type="dxa" w:w="646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One customer bundle per line (500 per shard, 50 shards) for all applicants, pending included: {customer_id, item, identity, accounts, transactions, liabilities} — schemas identical to your Stage 1 output</w:t>
            </w:r>
          </w:p>
        </w:tc>
      </w:tr>
      <w:tr>
        <w:tc>
          <w:tcPr>
            <w:tcW w:type="dxa" w:w="29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applications.csv</w:t>
            </w:r>
          </w:p>
        </w:tc>
        <w:tc>
          <w:tcPr>
            <w:tcW w:type="dxa" w:w="646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One row per applicant: the loan request + the incumbent's funnel (blank funnel = pending)</w:t>
            </w:r>
          </w:p>
        </w:tc>
      </w:tr>
      <w:tr>
        <w:tc>
          <w:tcPr>
            <w:tcW w:type="dxa" w:w="29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outcomes_train.csv</w:t>
            </w:r>
          </w:p>
        </w:tc>
        <w:tc>
          <w:tcPr>
            <w:tcW w:type="dxa" w:w="646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customer_id, default_12m for taken-up loans only</w:t>
            </w:r>
          </w:p>
        </w:tc>
      </w:tr>
      <w:tr>
        <w:tc>
          <w:tcPr>
            <w:tcW w:type="dxa" w:w="29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holdout_ids.csv</w:t>
            </w:r>
          </w:p>
        </w:tc>
        <w:tc>
          <w:tcPr>
            <w:tcW w:type="dxa" w:w="646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The pending queue — the ids you must score</w:t>
            </w:r>
          </w:p>
        </w:tc>
      </w:tr>
      <w:tr>
        <w:tc>
          <w:tcPr>
            <w:tcW w:type="dxa" w:w="290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preview_csv/</w:t>
            </w:r>
          </w:p>
        </w:tc>
        <w:tc>
          <w:tcPr>
            <w:tcW w:type="dxa" w:w="646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30 demo-cohort customers pre-flattened for spreadsheet orientation only (their ids are not in your release)</w:t>
            </w:r>
          </w:p>
        </w:tc>
      </w:tr>
    </w:tbl>
    <w:p>
      <w:pPr>
        <w:spacing w:after="120" w:line="264"/>
      </w:pPr>
      <w:r>
        <w:rPr>
          <w:rFonts w:ascii="Cambria" w:cs="Cambria" w:eastAsia="Cambria" w:hAnsi="Cambria"/>
          <w:sz w:val="22"/>
          <w:szCs w:val="22"/>
        </w:rPr>
        <w:t xml:space="preserve">Counts in your team’s release: 25,000 applicants; 20,000 historical (funnel recorded), of which roughly 7,200–9,300 were taken up and carry labels — the exact count is cohort-specific, so read it off your outcomes_train.csv and treat it as data about your cohort’s take-up; 5,000 pending. The structure is identical for every team; counts always come from the files themselves (rows of applications.csv, outcomes_train.csv, holdout_ids.csv).</w:t>
      </w:r>
    </w:p>
    <w:p>
      <w:pPr>
        <w:pStyle w:val="Heading1"/>
        <w:spacing w:after="130" w:before="240"/>
      </w:pPr>
      <w:r>
        <w:rPr>
          <w:rFonts w:ascii="Cambria" w:cs="Cambria" w:eastAsia="Cambria" w:hAnsi="Cambria"/>
          <w:b/>
          <w:bCs/>
          <w:color w:val="000000"/>
          <w:sz w:val="26"/>
          <w:szCs w:val="26"/>
        </w:rPr>
        <w:t xml:space="preserve">4. applications.csv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6310"/>
      </w:tblGrid>
      <w:tr>
        <w:tc>
          <w:tcPr>
            <w:tcW w:type="dxa" w:w="305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Column</w:t>
            </w:r>
          </w:p>
        </w:tc>
        <w:tc>
          <w:tcPr>
            <w:tcW w:type="dxa" w:w="631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Meaning</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customer_id</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join key to the JSON bundles and outcomes_train.csv</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application_date</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date of the application (August to mid-September 2026)</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requested_amount</w:t>
            </w:r>
            <w:r>
              <w:rPr>
                <w:rFonts w:ascii="Cambria" w:cs="Cambria" w:eastAsia="Cambria" w:hAnsi="Cambria"/>
                <w:sz w:val="19"/>
                <w:szCs w:val="19"/>
              </w:rPr>
              <w:t xml:space="preserve">, </w:t>
            </w:r>
            <w:r>
              <w:rPr>
                <w:rFonts w:ascii="Consolas" w:cs="Consolas" w:eastAsia="Consolas" w:hAnsi="Consolas"/>
                <w:sz w:val="19"/>
                <w:szCs w:val="19"/>
              </w:rPr>
              <w:t xml:space="preserve">term_months</w:t>
            </w:r>
            <w:r>
              <w:rPr>
                <w:rFonts w:ascii="Cambria" w:cs="Cambria" w:eastAsia="Cambria" w:hAnsi="Cambria"/>
                <w:sz w:val="19"/>
                <w:szCs w:val="19"/>
              </w:rPr>
              <w:t xml:space="preserve">, </w:t>
            </w:r>
            <w:r>
              <w:rPr>
                <w:rFonts w:ascii="Consolas" w:cs="Consolas" w:eastAsia="Consolas" w:hAnsi="Consolas"/>
                <w:sz w:val="19"/>
                <w:szCs w:val="19"/>
              </w:rPr>
              <w:t xml:space="preserve">purpose</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the loan request</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stated_monthly_income</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income as stated by the applicant — compare with what the transactions show</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employment_months</w:t>
            </w:r>
            <w:r>
              <w:rPr>
                <w:rFonts w:ascii="Cambria" w:cs="Cambria" w:eastAsia="Cambria" w:hAnsi="Cambria"/>
                <w:sz w:val="19"/>
                <w:szCs w:val="19"/>
              </w:rPr>
              <w:t xml:space="preserve">, </w:t>
            </w:r>
            <w:r>
              <w:rPr>
                <w:rFonts w:ascii="Consolas" w:cs="Consolas" w:eastAsia="Consolas" w:hAnsi="Consolas"/>
                <w:sz w:val="19"/>
                <w:szCs w:val="19"/>
              </w:rPr>
              <w:t xml:space="preserve">housing_status</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stated employment tenure; rent or mortgage</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group</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fair-lending monitoring attribute (A/B). Audit use only — never a model input, at any stage</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approved</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1/0 — did the incumbent's underwriting model approve? Blank = pending</w:t>
            </w:r>
          </w:p>
        </w:tc>
      </w:tr>
      <w:tr>
        <w:tc>
          <w:tcPr>
            <w:tcW w:type="dxa" w:w="30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offered_apr</w:t>
            </w:r>
          </w:p>
        </w:tc>
        <w:tc>
          <w:tcPr>
            <w:tcW w:type="dxa" w:w="631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the incumbent's risk-based APR (decimal, e.g. 0.14). Blank if declined or pending</w:t>
            </w:r>
          </w:p>
        </w:tc>
      </w:tr>
      <w:tr>
        <w:tc>
          <w:tcPr>
            <w:tcW w:type="dxa" w:w="305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took_up</w:t>
            </w:r>
          </w:p>
        </w:tc>
        <w:tc>
          <w:tcPr>
            <w:tcW w:type="dxa" w:w="631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1/0 — did the borrower accept the offer? Blank if declined or pending</w:t>
            </w:r>
          </w:p>
        </w:tc>
      </w:tr>
    </w:tbl>
    <w:p>
      <w:pPr>
        <w:pStyle w:val="Heading1"/>
        <w:spacing w:after="130" w:before="240"/>
      </w:pPr>
      <w:r>
        <w:rPr>
          <w:rFonts w:ascii="Cambria" w:cs="Cambria" w:eastAsia="Cambria" w:hAnsi="Cambria"/>
          <w:b/>
          <w:bCs/>
          <w:color w:val="000000"/>
          <w:sz w:val="26"/>
          <w:szCs w:val="26"/>
        </w:rPr>
        <w:t xml:space="preserve">5. The three models you build (they mirror the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300"/>
        <w:gridCol w:w="2550"/>
        <w:gridCol w:w="2860"/>
      </w:tblGrid>
      <w:tr>
        <w:tc>
          <w:tcPr>
            <w:tcW w:type="dxa" w:w="165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Model</w:t>
            </w:r>
          </w:p>
        </w:tc>
        <w:tc>
          <w:tcPr>
            <w:tcW w:type="dxa" w:w="230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Question</w:t>
            </w:r>
          </w:p>
        </w:tc>
        <w:tc>
          <w:tcPr>
            <w:tcW w:type="dxa" w:w="255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Trainable on</w:t>
            </w:r>
          </w:p>
        </w:tc>
        <w:tc>
          <w:tcPr>
            <w:tcW w:type="dxa" w:w="286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Question to answer in your write-up</w:t>
            </w:r>
          </w:p>
        </w:tc>
      </w:tr>
      <w:tr>
        <w:tc>
          <w:tcPr>
            <w:tcW w:type="dxa" w:w="16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Underwriting</w:t>
            </w:r>
          </w:p>
        </w:tc>
        <w:tc>
          <w:tcPr>
            <w:tcW w:type="dxa" w:w="23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approve or deny?</w:t>
            </w:r>
          </w:p>
        </w:tc>
        <w:tc>
          <w:tcPr>
            <w:tcW w:type="dxa" w:w="25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all historical applicants (target approved)</w:t>
            </w:r>
          </w:p>
        </w:tc>
        <w:tc>
          <w:tcPr>
            <w:tcW w:type="dxa" w:w="286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whose policy are you learning when you fit to approved?</w:t>
            </w:r>
          </w:p>
        </w:tc>
      </w:tr>
      <w:tr>
        <w:tc>
          <w:tcPr>
            <w:tcW w:type="dxa" w:w="16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PD</w:t>
            </w:r>
          </w:p>
        </w:tc>
        <w:tc>
          <w:tcPr>
            <w:tcW w:type="dxa" w:w="23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P(default within 12m if funded)</w:t>
            </w:r>
          </w:p>
        </w:tc>
        <w:tc>
          <w:tcPr>
            <w:tcW w:type="dxa" w:w="255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taken-up loans only (outcomes_train.csv)</w:t>
            </w:r>
          </w:p>
        </w:tc>
        <w:tc>
          <w:tcPr>
            <w:tcW w:type="dxa" w:w="286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for which population is your PD estimate valid?</w:t>
            </w:r>
          </w:p>
        </w:tc>
      </w:tr>
      <w:tr>
        <w:tc>
          <w:tcPr>
            <w:tcW w:type="dxa" w:w="165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Pricing</w:t>
            </w:r>
          </w:p>
        </w:tc>
        <w:tc>
          <w:tcPr>
            <w:tcW w:type="dxa" w:w="230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what APR?</w:t>
            </w:r>
          </w:p>
        </w:tc>
        <w:tc>
          <w:tcPr>
            <w:tcW w:type="dxa" w:w="255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offered_apr of approved applicants</w:t>
            </w:r>
          </w:p>
        </w:tc>
        <w:tc>
          <w:tcPr>
            <w:tcW w:type="dxa" w:w="286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what does a risk-based offered_apr tell you — and not tell you — about how borrowers respond to price?</w:t>
            </w:r>
          </w:p>
        </w:tc>
      </w:tr>
    </w:tbl>
    <w:p>
      <w:pPr>
        <w:pStyle w:val="Heading1"/>
        <w:spacing w:after="130" w:before="240"/>
      </w:pPr>
      <w:r>
        <w:rPr>
          <w:rFonts w:ascii="Cambria" w:cs="Cambria" w:eastAsia="Cambria" w:hAnsi="Cambria"/>
          <w:b/>
          <w:bCs/>
          <w:color w:val="000000"/>
          <w:sz w:val="26"/>
          <w:szCs w:val="26"/>
        </w:rPr>
        <w:t xml:space="preserve">6. What you submit (all stages score the pending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3300"/>
        <w:gridCol w:w="2300"/>
        <w:gridCol w:w="2920"/>
      </w:tblGrid>
      <w:tr>
        <w:tc>
          <w:tcPr>
            <w:tcW w:type="dxa" w:w="84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Stage</w:t>
            </w:r>
          </w:p>
        </w:tc>
        <w:tc>
          <w:tcPr>
            <w:tcW w:type="dxa" w:w="330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File name</w:t>
            </w:r>
          </w:p>
        </w:tc>
        <w:tc>
          <w:tcPr>
            <w:tcW w:type="dxa" w:w="230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Columns</w:t>
            </w:r>
          </w:p>
        </w:tc>
        <w:tc>
          <w:tcPr>
            <w:tcW w:type="dxa" w:w="2920"/>
            <w:tcBorders>
              <w:top w:val="single" w:color="000000" w:sz="8"/>
              <w:left w:val="none" w:color="FFFFFF" w:sz="0"/>
              <w:bottom w:val="single" w:color="000000" w:sz="4"/>
              <w:right w:val="none" w:color="FFFFFF" w:sz="0"/>
            </w:tcBorders>
            <w:tcMar>
              <w:top w:type="dxa" w:w="70"/>
              <w:left w:type="dxa" w:w="60"/>
              <w:bottom w:type="dxa" w:w="70"/>
              <w:right w:type="dxa" w:w="100"/>
            </w:tcMar>
          </w:tcPr>
          <w:p>
            <w:pPr>
              <w:spacing w:after="0" w:line="250"/>
            </w:pPr>
            <w:r>
              <w:rPr>
                <w:rFonts w:ascii="Cambria" w:cs="Cambria" w:eastAsia="Cambria" w:hAnsi="Cambria"/>
                <w:b/>
                <w:bCs/>
                <w:sz w:val="20"/>
                <w:szCs w:val="20"/>
              </w:rPr>
              <w:t xml:space="preserve">Validity rules</w:t>
            </w:r>
          </w:p>
        </w:tc>
      </w:tr>
      <w:tr>
        <w:tc>
          <w:tcPr>
            <w:tcW w:type="dxa" w:w="84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2</w:t>
            </w:r>
          </w:p>
        </w:tc>
        <w:tc>
          <w:tcPr>
            <w:tcW w:type="dxa" w:w="33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TEAMNAME_group_NN_stage2.csv</w:t>
            </w:r>
          </w:p>
        </w:tc>
        <w:tc>
          <w:tcPr>
            <w:tcW w:type="dxa" w:w="23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customer_id,pd</w:t>
            </w:r>
          </w:p>
        </w:tc>
        <w:tc>
          <w:tcPr>
            <w:tcW w:type="dxa" w:w="292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every pending id exactly once; pd strictly in (0,1)</w:t>
            </w:r>
          </w:p>
        </w:tc>
      </w:tr>
      <w:tr>
        <w:tc>
          <w:tcPr>
            <w:tcW w:type="dxa" w:w="84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3</w:t>
            </w:r>
          </w:p>
        </w:tc>
        <w:tc>
          <w:tcPr>
            <w:tcW w:type="dxa" w:w="33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TEAMNAME_group_NN_stage3.csv</w:t>
            </w:r>
          </w:p>
        </w:tc>
        <w:tc>
          <w:tcPr>
            <w:tcW w:type="dxa" w:w="230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customer_id,pd</w:t>
            </w:r>
          </w:p>
        </w:tc>
        <w:tc>
          <w:tcPr>
            <w:tcW w:type="dxa" w:w="2920"/>
            <w:tcBorders>
              <w:top w:val="none" w:color="FFFFFF" w:sz="0"/>
              <w:left w:val="none" w:color="FFFFFF" w:sz="0"/>
              <w:bottom w:val="none" w:color="FFFFFF" w:sz="0"/>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same</w:t>
            </w:r>
          </w:p>
        </w:tc>
      </w:tr>
      <w:tr>
        <w:tc>
          <w:tcPr>
            <w:tcW w:type="dxa" w:w="84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5</w:t>
            </w:r>
          </w:p>
        </w:tc>
        <w:tc>
          <w:tcPr>
            <w:tcW w:type="dxa" w:w="330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TEAMNAME_group_NN_stage5.csv</w:t>
            </w:r>
          </w:p>
        </w:tc>
        <w:tc>
          <w:tcPr>
            <w:tcW w:type="dxa" w:w="230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onsolas" w:cs="Consolas" w:eastAsia="Consolas" w:hAnsi="Consolas"/>
                <w:sz w:val="19"/>
                <w:szCs w:val="19"/>
              </w:rPr>
              <w:t xml:space="preserve">customer_id,pd,apr,approve</w:t>
            </w:r>
          </w:p>
        </w:tc>
        <w:tc>
          <w:tcPr>
            <w:tcW w:type="dxa" w:w="2920"/>
            <w:tcBorders>
              <w:top w:val="none" w:color="FFFFFF" w:sz="0"/>
              <w:left w:val="none" w:color="FFFFFF" w:sz="0"/>
              <w:bottom w:val="single" w:color="000000" w:sz="8"/>
              <w:right w:val="none" w:color="FFFFFF" w:sz="0"/>
            </w:tcBorders>
            <w:tcMar>
              <w:top w:type="dxa" w:w="70"/>
              <w:left w:type="dxa" w:w="60"/>
              <w:bottom w:type="dxa" w:w="70"/>
              <w:right w:type="dxa" w:w="100"/>
            </w:tcMar>
          </w:tcPr>
          <w:p>
            <w:pPr>
              <w:spacing w:after="0" w:line="250"/>
            </w:pPr>
            <w:r>
              <w:rPr>
                <w:rFonts w:ascii="Cambria" w:cs="Cambria" w:eastAsia="Cambria" w:hAnsi="Cambria"/>
                <w:b w:val="false"/>
                <w:bCs w:val="false"/>
                <w:sz w:val="20"/>
                <w:szCs w:val="20"/>
              </w:rPr>
              <w:t xml:space="preserve">plus: apr a decimal (0.13, not 13); approve 0 or 1; an apr for every approved row</w:t>
            </w:r>
          </w:p>
        </w:tc>
      </w:tr>
    </w:tbl>
    <w:p>
      <w:pPr>
        <w:spacing w:after="120" w:line="264"/>
      </w:pPr>
      <w:r>
        <w:rPr>
          <w:rFonts w:ascii="Consolas" w:cs="Consolas" w:eastAsia="Consolas" w:hAnsi="Consolas"/>
          <w:sz w:val="19"/>
          <w:szCs w:val="19"/>
        </w:rPr>
        <w:t xml:space="preserve">NN</w:t>
      </w:r>
      <w:r>
        <w:rPr>
          <w:rFonts w:ascii="Cambria" w:cs="Cambria" w:eastAsia="Cambria" w:hAnsi="Cambria"/>
          <w:sz w:val="22"/>
          <w:szCs w:val="22"/>
        </w:rPr>
        <w:t xml:space="preserve"> is your team's data-group number (told to you with your data). Stages 2/3 are scored on AUC, KS, Brier, and profit under a reference policy; Stage 5 on realized profit in two worlds (baseline, then an undisclosed shock) — see the handout.</w:t>
      </w:r>
    </w:p>
    <w:p>
      <w:pPr>
        <w:pStyle w:val="Heading1"/>
        <w:spacing w:after="130" w:before="240"/>
      </w:pPr>
      <w:r>
        <w:rPr>
          <w:rFonts w:ascii="Cambria" w:cs="Cambria" w:eastAsia="Cambria" w:hAnsi="Cambria"/>
          <w:b/>
          <w:bCs/>
          <w:color w:val="000000"/>
          <w:sz w:val="26"/>
          <w:szCs w:val="26"/>
        </w:rPr>
        <w:t xml:space="preserve">7. Standing rules</w:t>
      </w:r>
    </w:p>
    <w:p>
      <w:pPr>
        <w:pStyle w:val="ListParagraph"/>
        <w:numPr>
          <w:ilvl w:val="0"/>
          <w:numId w:val="2"/>
        </w:numPr>
        <w:spacing w:after="90" w:line="264"/>
      </w:pPr>
      <w:r>
        <w:rPr>
          <w:rFonts w:ascii="Consolas" w:cs="Consolas" w:eastAsia="Consolas" w:hAnsi="Consolas"/>
          <w:sz w:val="19"/>
          <w:szCs w:val="19"/>
        </w:rPr>
        <w:t xml:space="preserve">group</w:t>
      </w:r>
      <w:r>
        <w:rPr>
          <w:rFonts w:ascii="Cambria" w:cs="Cambria" w:eastAsia="Cambria" w:hAnsi="Cambria"/>
          <w:sz w:val="22"/>
          <w:szCs w:val="22"/>
        </w:rPr>
        <w:t xml:space="preserve"> never enters any model as an input; it is used only to audit your model in Stage 3. Document the exclusion.</w:t>
      </w:r>
    </w:p>
    <w:p>
      <w:pPr>
        <w:pStyle w:val="ListParagraph"/>
        <w:numPr>
          <w:ilvl w:val="0"/>
          <w:numId w:val="2"/>
        </w:numPr>
        <w:spacing w:after="90" w:line="264"/>
      </w:pPr>
      <w:r>
        <w:rPr>
          <w:rFonts w:ascii="Cambria" w:cs="Cambria" w:eastAsia="Cambria" w:hAnsi="Cambria"/>
          <w:sz w:val="22"/>
          <w:szCs w:val="22"/>
        </w:rPr>
        <w:t xml:space="preserve">The pending queue is scored against a sealed instructor answer key. Any attempt to reconstruct those outcomes is academic misconduct. The data-generating process has a known performance ceiling (AUC ≈ 0.89, set by unobservable borrower-level risk); a submission above ≈ 0.90 is auto-flagged as leakage, not celebrated.</w:t>
      </w:r>
    </w:p>
    <w:p>
      <w:pPr>
        <w:pStyle w:val="ListParagraph"/>
        <w:numPr>
          <w:ilvl w:val="0"/>
          <w:numId w:val="2"/>
        </w:numPr>
        <w:spacing w:after="90" w:line="264"/>
      </w:pPr>
      <w:r>
        <w:rPr>
          <w:rFonts w:ascii="Cambria" w:cs="Cambria" w:eastAsia="Cambria" w:hAnsi="Cambria"/>
          <w:sz w:val="22"/>
          <w:szCs w:val="22"/>
        </w:rPr>
        <w:t xml:space="preserve">Verify the transaction sign convention before computing anyone's income: Plaid amounts are </w:t>
      </w:r>
      <w:r>
        <w:rPr>
          <w:rFonts w:ascii="Cambria" w:cs="Cambria" w:eastAsia="Cambria" w:hAnsi="Cambria"/>
          <w:b/>
          <w:bCs/>
          <w:sz w:val="22"/>
          <w:szCs w:val="22"/>
        </w:rPr>
        <w:t xml:space="preserve">positive for outflows</w:t>
      </w:r>
      <w:r>
        <w:rPr>
          <w:rFonts w:ascii="Cambria" w:cs="Cambria" w:eastAsia="Cambria" w:hAnsi="Cambria"/>
          <w:sz w:val="22"/>
          <w:szCs w:val="22"/>
        </w:rPr>
        <w:t xml:space="preserve"> (a payroll deposit is negative). The data also contains the ordinary pathologies of bank data — duplicates, thin files, missing liabilities, distress top-ups mislabeled as income. Finding and handling them is part of the assignment.</w:t>
      </w:r>
    </w:p>
    <w:sectPr>
      <w:footerReference w:type="default" r:id="rId7"/>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abstractNum w:abstractNumId="3" w15:restartNumberingAfterBreak="0">
    <w:multiLevelType w:val="hybridMultilevel"/>
    <w:lvl w:ilvl="0" w15:tentative="1">
      <w:start w:val="1"/>
      <w:numFmt w:val="decimal"/>
      <w:lvlText w:val="%1."/>
      <w:lvlJc w:val="left"/>
      <w:pPr>
        <w:ind w:left="6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Ute Bank — data dictionary</dc:title>
  <dc:creator>FIN 6155</dc:creator>
  <cp:lastModifiedBy>Un-named</cp:lastModifiedBy>
  <cp:revision>1</cp:revision>
  <dcterms:created xsi:type="dcterms:W3CDTF">2026-07-07T16:43:08.897Z</dcterms:created>
  <dcterms:modified xsi:type="dcterms:W3CDTF">2026-07-07T16:43:08.897Z</dcterms:modified>
</cp:coreProperties>
</file>

<file path=docProps/custom.xml><?xml version="1.0" encoding="utf-8"?>
<Properties xmlns="http://schemas.openxmlformats.org/officeDocument/2006/custom-properties" xmlns:vt="http://schemas.openxmlformats.org/officeDocument/2006/docPropsVTypes"/>
</file>