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p>
    <w:p>
      <w:pPr>
        <w:pStyle w:val="Title"/>
        <w:bidi w:val="0"/>
      </w:pPr>
    </w:p>
    <w:p>
      <w:pPr>
        <w:pStyle w:val="Title"/>
        <w:bidi w:val="0"/>
      </w:pPr>
    </w:p>
    <w:p>
      <w:pPr>
        <w:pStyle w:val="Title"/>
        <w:bidi w:val="0"/>
      </w:pPr>
    </w:p>
    <w:p>
      <w:pPr>
        <w:pStyle w:val="Title"/>
        <w:bidi w:val="0"/>
      </w:pPr>
    </w:p>
    <w:p>
      <w:pPr>
        <w:pStyle w:val="Title"/>
        <w:bidi w:val="0"/>
      </w:pPr>
      <w:r>
        <w:rPr>
          <w:rFonts w:cs="Arial Unicode MS" w:eastAsia="Arial Unicode MS"/>
          <w:rtl w:val="0"/>
          <w:lang w:val="fr-FR"/>
        </w:rPr>
        <w:t>Academic Report</w:t>
      </w:r>
      <w:r>
        <w:br w:type="textWrapping"/>
      </w:r>
      <w:r>
        <w:rPr>
          <w:rFonts w:cs="Arial Unicode MS" w:eastAsia="Arial Unicode MS"/>
          <w:rtl w:val="0"/>
          <w:lang w:val="da-DK"/>
        </w:rPr>
        <w:t>Cover Page</w:t>
      </w:r>
    </w:p>
    <w:p>
      <w:pPr>
        <w:pStyle w:val="Subtitle"/>
        <w:bidi w:val="0"/>
      </w:pPr>
      <w:r>
        <w:rPr>
          <w:rtl w:val="0"/>
        </w:rPr>
        <w:t>Subtitle</w:t>
      </w:r>
    </w:p>
    <w:p>
      <w:pPr>
        <w:pStyle w:val="Attribution"/>
        <w:bidi w:val="0"/>
      </w:pPr>
    </w:p>
    <w:p>
      <w:pPr>
        <w:pStyle w:val="Attribution"/>
        <w:bidi w:val="0"/>
      </w:pPr>
    </w:p>
    <w:p>
      <w:pPr>
        <w:pStyle w:val="Attribution"/>
        <w:bidi w:val="0"/>
      </w:pPr>
    </w:p>
    <w:p>
      <w:pPr>
        <w:pStyle w:val="Attribution"/>
        <w:bidi w:val="0"/>
      </w:pPr>
    </w:p>
    <w:p>
      <w:pPr>
        <w:pStyle w:val="Attribution"/>
        <w:bidi w:val="0"/>
      </w:pPr>
      <w:r>
        <w:rPr>
          <w:rFonts w:cs="Arial Unicode MS" w:eastAsia="Arial Unicode MS"/>
          <w:rtl w:val="0"/>
        </w:rPr>
        <w:t>jing</w:t>
      </w:r>
    </w:p>
    <w:p>
      <w:pPr>
        <w:pStyle w:val="Attribution"/>
        <w:bidi w:val="0"/>
      </w:pPr>
      <w:r>
        <w:rPr>
          <w:rFonts w:cs="Arial Unicode MS" w:eastAsia="Arial Unicode MS"/>
          <w:rtl w:val="0"/>
          <w:lang w:val="es-ES_tradnl"/>
        </w:rPr>
        <w:t>Instructor</w:t>
      </w:r>
      <w:r>
        <w:rPr>
          <w:rFonts w:cs="Arial Unicode MS" w:eastAsia="Arial Unicode MS" w:hint="default"/>
          <w:rtl w:val="1"/>
        </w:rPr>
        <w:t>’</w:t>
      </w:r>
      <w:r>
        <w:rPr>
          <w:rFonts w:cs="Arial Unicode MS" w:eastAsia="Arial Unicode MS"/>
          <w:rtl w:val="0"/>
          <w:lang w:val="de-DE"/>
        </w:rPr>
        <w:t>s Name</w:t>
      </w:r>
    </w:p>
    <w:p>
      <w:pPr>
        <w:pStyle w:val="Attribution"/>
        <w:bidi w:val="0"/>
      </w:pPr>
      <w:r>
        <w:rPr/>
        <w:fldChar w:fldCharType="begin" w:fldLock="0"/>
      </w:r>
      <w:r>
        <w:instrText xml:space="preserve"> DATE \@ "d MMMM y" </w:instrText>
      </w:r>
      <w:r>
        <w:rPr/>
        <w:fldChar w:fldCharType="separate" w:fldLock="0"/>
      </w:r>
      <w:r>
        <w:rPr>
          <w:rFonts w:cs="Arial Unicode MS" w:eastAsia="Arial Unicode MS"/>
          <w:rtl w:val="0"/>
          <w:lang w:val="en-US"/>
        </w:rPr>
        <w:t>30 January 2025</w:t>
      </w:r>
      <w:r>
        <w:rPr/>
        <w:fldChar w:fldCharType="end" w:fldLock="1"/>
      </w:r>
    </w:p>
    <w:p>
      <w:pPr>
        <w:pStyle w:val="Attribution"/>
        <w:bidi w:val="0"/>
      </w:pPr>
    </w:p>
    <w:p>
      <w:pPr>
        <w:pStyle w:val="Attribution"/>
        <w:bidi w:val="0"/>
      </w:pPr>
      <w:r>
        <w:rPr>
          <w:rFonts w:ascii="Arial Unicode MS" w:cs="Arial Unicode MS" w:hAnsi="Arial Unicode MS" w:eastAsia="Arial Unicode MS"/>
          <w:b w:val="0"/>
          <w:bCs w:val="0"/>
          <w:i w:val="0"/>
          <w:iCs w:val="0"/>
        </w:rPr>
        <w:br w:type="page"/>
      </w:r>
    </w:p>
    <w:p>
      <w:pPr>
        <w:pStyle w:val="Heading"/>
        <w:bidi w:val="0"/>
      </w:pPr>
      <w:r>
        <w:rPr>
          <w:rFonts w:ascii="Arial Unicode MS" w:cs="Arial Unicode MS" w:hAnsi="Arial Unicode MS" w:eastAsia="Arial Unicode MS" w:hint="eastAsia"/>
          <w:b w:val="0"/>
          <w:bCs w:val="0"/>
          <w:i w:val="0"/>
          <w:iCs w:val="0"/>
          <w:rtl w:val="0"/>
        </w:rPr>
        <w:t>引言</w:t>
      </w:r>
    </w:p>
    <w:p>
      <w:pPr>
        <w:pStyle w:val="Body"/>
        <w:bidi w:val="0"/>
      </w:pPr>
      <w:r>
        <w:rPr>
          <w:rFonts w:ascii="Arial Unicode MS" w:cs="Arial Unicode MS" w:hAnsi="Arial Unicode MS" w:eastAsia="Arial Unicode MS" w:hint="eastAsia"/>
          <w:b w:val="0"/>
          <w:bCs w:val="0"/>
          <w:i w:val="0"/>
          <w:iCs w:val="0"/>
          <w:rtl w:val="0"/>
        </w:rPr>
        <w:t>超新星爆发后，产生的高能脉冲星会造成一个混合型超新星遗迹的行程。混合型超新星遗迹通常被认为是由一个壳层型的遗迹，一个相关联的脉冲星风云，以及中子星</w:t>
      </w:r>
      <w:r>
        <w:rPr>
          <w:rFonts w:ascii="Graphik" w:hAnsi="Graphik" w:eastAsia="Arial Unicode MS"/>
          <w:rtl w:val="0"/>
        </w:rPr>
        <w:t xml:space="preserve"> </w:t>
      </w:r>
      <w:r>
        <w:rPr>
          <w:rFonts w:ascii="Graphik" w:hAnsi="Graphik" w:eastAsia="Arial Unicode MS"/>
          <w:rtl w:val="0"/>
        </w:rPr>
        <w:t>(Gaensler &amp; Slane 2006)</w:t>
      </w:r>
      <w:r>
        <w:rPr>
          <w:rFonts w:ascii="Arial Unicode MS" w:cs="Arial Unicode MS" w:hAnsi="Arial Unicode MS" w:eastAsia="Arial Unicode MS" w:hint="eastAsia"/>
          <w:b w:val="0"/>
          <w:bCs w:val="0"/>
          <w:i w:val="0"/>
          <w:iCs w:val="0"/>
          <w:rtl w:val="0"/>
        </w:rPr>
        <w:t>。最近关于这个系统的研究使得一些新的脉冲星的发现，限制了脉冲星注入其附近星风云的谱，以及超新星遗迹反向激波和脉冲星风云的作用。大量的对于混合型超新星遗迹的研究对于我们理解这种系统的详细演化，尤其是被最新的射电，</w:t>
      </w:r>
      <w:r>
        <w:rPr>
          <w:rFonts w:ascii="Graphik" w:hAnsi="Graphik" w:eastAsia="Arial Unicode MS"/>
          <w:rtl w:val="0"/>
        </w:rPr>
        <w:t>X</w:t>
      </w:r>
      <w:r>
        <w:rPr>
          <w:rFonts w:ascii="Arial Unicode MS" w:cs="Arial Unicode MS" w:hAnsi="Arial Unicode MS" w:eastAsia="Arial Unicode MS" w:hint="eastAsia"/>
          <w:b w:val="0"/>
          <w:bCs w:val="0"/>
          <w:i w:val="0"/>
          <w:iCs w:val="0"/>
          <w:rtl w:val="0"/>
        </w:rPr>
        <w:t>射线和伽马射线观测设备能力的巨大提升。</w:t>
      </w:r>
      <w:r>
        <mc:AlternateContent>
          <mc:Choice Requires="wpg">
            <w:drawing xmlns:a="http://schemas.openxmlformats.org/drawingml/2006/main">
              <wp:anchor distT="152400" distB="152400" distL="152400" distR="152400" simplePos="0" relativeHeight="251659264" behindDoc="0" locked="0" layoutInCell="1" allowOverlap="1">
                <wp:simplePos x="0" y="0"/>
                <wp:positionH relativeFrom="margin">
                  <wp:posOffset>307340</wp:posOffset>
                </wp:positionH>
                <wp:positionV relativeFrom="line">
                  <wp:posOffset>363817</wp:posOffset>
                </wp:positionV>
                <wp:extent cx="5524500" cy="3131324"/>
                <wp:effectExtent l="0" t="0" r="0" b="0"/>
                <wp:wrapTopAndBottom distT="152400" distB="152400"/>
                <wp:docPr id="1073741827" name="officeArt object" descr="Group"/>
                <wp:cNvGraphicFramePr/>
                <a:graphic xmlns:a="http://schemas.openxmlformats.org/drawingml/2006/main">
                  <a:graphicData uri="http://schemas.microsoft.com/office/word/2010/wordprocessingGroup">
                    <wpg:wgp>
                      <wpg:cNvGrpSpPr/>
                      <wpg:grpSpPr>
                        <a:xfrm>
                          <a:off x="0" y="0"/>
                          <a:ext cx="5524500" cy="3131324"/>
                          <a:chOff x="0" y="0"/>
                          <a:chExt cx="5524500" cy="3131323"/>
                        </a:xfrm>
                      </wpg:grpSpPr>
                      <pic:pic xmlns:pic="http://schemas.openxmlformats.org/drawingml/2006/picture">
                        <pic:nvPicPr>
                          <pic:cNvPr id="1073741825" name="Screenshot 2025-01-30 at 15.18.26.png" descr="Screenshot 2025-01-30 at 15.18.26.png"/>
                          <pic:cNvPicPr>
                            <a:picLocks noChangeAspect="1"/>
                          </pic:cNvPicPr>
                        </pic:nvPicPr>
                        <pic:blipFill>
                          <a:blip r:embed="rId4">
                            <a:extLst/>
                          </a:blip>
                          <a:srcRect l="0" t="0" r="0" b="0"/>
                          <a:stretch>
                            <a:fillRect/>
                          </a:stretch>
                        </pic:blipFill>
                        <pic:spPr>
                          <a:xfrm>
                            <a:off x="0" y="0"/>
                            <a:ext cx="5524500" cy="2703588"/>
                          </a:xfrm>
                          <a:prstGeom prst="rect">
                            <a:avLst/>
                          </a:prstGeom>
                          <a:ln w="12700" cap="flat">
                            <a:noFill/>
                            <a:miter lim="400000"/>
                          </a:ln>
                          <a:effectLst/>
                        </pic:spPr>
                      </pic:pic>
                      <wps:wsp>
                        <wps:cNvPr id="1073741826" name="Caption"/>
                        <wps:cNvSpPr/>
                        <wps:spPr>
                          <a:xfrm>
                            <a:off x="0" y="2805187"/>
                            <a:ext cx="5524500" cy="326137"/>
                          </a:xfrm>
                          <a:prstGeom prst="roundRect">
                            <a:avLst>
                              <a:gd name="adj" fmla="val 0"/>
                            </a:avLst>
                          </a:prstGeom>
                          <a:noFill/>
                          <a:ln w="12700" cap="flat">
                            <a:noFill/>
                            <a:miter lim="400000"/>
                          </a:ln>
                          <a:effectLst/>
                        </wps:spPr>
                        <wps:txbx>
                          <w:txbxContent>
                            <w:p>
                              <w:pPr>
                                <w:pStyle w:val="Object Caption"/>
                                <w:bidi w:val="0"/>
                              </w:pPr>
                              <w:r>
                                <w:rPr>
                                  <w:rFonts w:ascii="Arial Unicode MS" w:cs="Arial Unicode MS" w:hAnsi="Arial Unicode MS" w:eastAsia="Arial Unicode MS" w:hint="eastAsia"/>
                                  <w:b w:val="0"/>
                                  <w:bCs w:val="0"/>
                                  <w:i w:val="0"/>
                                  <w:iCs w:val="0"/>
                                  <w:rtl w:val="0"/>
                                </w:rPr>
                                <w:t>混合型</w:t>
                              </w:r>
                            </w:p>
                          </w:txbxContent>
                        </wps:txbx>
                        <wps:bodyPr wrap="square" lIns="50800" tIns="50800" rIns="50800" bIns="50800" numCol="1" anchor="t">
                          <a:noAutofit/>
                        </wps:bodyPr>
                      </wps:wsp>
                    </wpg:wgp>
                  </a:graphicData>
                </a:graphic>
              </wp:anchor>
            </w:drawing>
          </mc:Choice>
          <mc:Fallback>
            <w:pict>
              <v:group id="_x0000_s1026" style="visibility:visible;position:absolute;margin-left:24.2pt;margin-top:28.6pt;width:435.0pt;height:246.6pt;z-index:251659264;mso-position-horizontal:absolute;mso-position-horizontal-relative:margin;mso-position-vertical:absolute;mso-position-vertical-relative:line;mso-wrap-distance-left:12.0pt;mso-wrap-distance-top:12.0pt;mso-wrap-distance-right:12.0pt;mso-wrap-distance-bottom:12.0pt;" coordorigin="0,0" coordsize="5524500,3131323">
                <w10:wrap type="topAndBottom" side="bothSides" anchorx="margin"/>
                <v:shape id="_x0000_s1027" type="#_x0000_t75" style="position:absolute;left:0;top:0;width:5524500;height:2703587;">
                  <v:imagedata r:id="rId4" o:title="Screenshot 2025-01-30 at 15.18.26.png" croptop="0.0%"/>
                </v:shape>
                <v:roundrect id="_x0000_s1028" style="position:absolute;left:0;top:2805187;width:5524500;height:326136;" adj="0">
                  <v:fill on="f"/>
                  <v:stroke on="f" weight="1.0pt" dashstyle="solid" endcap="flat" miterlimit="400.0%" joinstyle="miter" linestyle="single" startarrow="none" startarrowwidth="medium" startarrowlength="medium" endarrow="none" endarrowwidth="medium" endarrowlength="medium"/>
                  <v:textbox>
                    <w:txbxContent>
                      <w:p>
                        <w:pPr>
                          <w:pStyle w:val="Object Caption"/>
                          <w:bidi w:val="0"/>
                        </w:pPr>
                        <w:r>
                          <w:rPr>
                            <w:rFonts w:ascii="Arial Unicode MS" w:cs="Arial Unicode MS" w:hAnsi="Arial Unicode MS" w:eastAsia="Arial Unicode MS" w:hint="eastAsia"/>
                            <w:b w:val="0"/>
                            <w:bCs w:val="0"/>
                            <w:i w:val="0"/>
                            <w:iCs w:val="0"/>
                            <w:rtl w:val="0"/>
                          </w:rPr>
                          <w:t>混合型</w:t>
                        </w:r>
                      </w:p>
                    </w:txbxContent>
                  </v:textbox>
                </v:roundrect>
              </v:group>
            </w:pict>
          </mc:Fallback>
        </mc:AlternateContent>
      </w:r>
    </w:p>
    <w:p>
      <w:pPr>
        <w:pStyle w:val="Body"/>
        <w:bidi w:val="0"/>
      </w:pPr>
      <w:r>
        <w:rPr>
          <w:rFonts w:ascii="Arial Unicode MS" w:cs="Arial Unicode MS" w:hAnsi="Arial Unicode MS" w:eastAsia="Arial Unicode MS" w:hint="eastAsia"/>
          <w:b w:val="0"/>
          <w:bCs w:val="0"/>
          <w:i w:val="0"/>
          <w:iCs w:val="0"/>
          <w:rtl w:val="0"/>
        </w:rPr>
        <w:t>伽马射线：</w:t>
      </w:r>
    </w:p>
    <w:p>
      <w:pPr>
        <w:pStyle w:val="Body"/>
        <w:bidi w:val="0"/>
      </w:pPr>
      <w:r>
        <w:rPr>
          <w:rFonts w:ascii="Arial Unicode MS" w:cs="Arial Unicode MS" w:hAnsi="Arial Unicode MS" w:eastAsia="Arial Unicode MS" w:hint="eastAsia"/>
          <w:b w:val="0"/>
          <w:bCs w:val="0"/>
          <w:i w:val="0"/>
          <w:iCs w:val="0"/>
          <w:rtl w:val="0"/>
        </w:rPr>
        <w:t>伽马射线的有限的角分辨率使得溯源其辐射的来源非常困难</w:t>
      </w:r>
    </w:p>
    <w:p>
      <w:pPr>
        <w:pStyle w:val="Body"/>
        <w:bidi w:val="0"/>
      </w:pPr>
      <w:r>
        <w:rPr>
          <w:rFonts w:ascii="Arial Unicode MS" w:cs="Arial Unicode MS" w:hAnsi="Arial Unicode MS" w:eastAsia="Arial Unicode MS" w:hint="eastAsia"/>
          <w:b w:val="0"/>
          <w:bCs w:val="0"/>
          <w:i w:val="0"/>
          <w:iCs w:val="0"/>
          <w:rtl w:val="0"/>
        </w:rPr>
        <w:t>混合型超新星遗迹的演化</w:t>
      </w:r>
    </w:p>
    <w:p>
      <w:pPr>
        <w:pStyle w:val="Body"/>
        <w:bidi w:val="0"/>
      </w:pPr>
    </w:p>
    <w:p>
      <w:pPr>
        <w:pStyle w:val="Body"/>
        <w:bidi w:val="0"/>
      </w:pPr>
    </w:p>
    <w:p>
      <w:pPr>
        <w:pStyle w:val="Body"/>
        <w:bidi w:val="0"/>
      </w:pPr>
    </w:p>
    <w:p>
      <w:pPr>
        <w:pStyle w:val="Body"/>
        <w:bidi w:val="0"/>
      </w:pPr>
    </w:p>
    <w:p>
      <w:pPr>
        <w:pStyle w:val="Heading"/>
        <w:bidi w:val="0"/>
      </w:pPr>
      <w:r>
        <w:rPr>
          <w:rFonts w:ascii="Arial Unicode MS" w:cs="Arial Unicode MS" w:hAnsi="Arial Unicode MS" w:eastAsia="Arial Unicode MS" w:hint="eastAsia"/>
          <w:b w:val="0"/>
          <w:bCs w:val="0"/>
          <w:i w:val="0"/>
          <w:iCs w:val="0"/>
          <w:rtl w:val="0"/>
        </w:rPr>
        <w:t>展望</w:t>
      </w:r>
    </w:p>
    <w:p>
      <w:pPr>
        <w:pStyle w:val="Body"/>
        <w:bidi w:val="0"/>
      </w:pPr>
      <w:r>
        <w:rPr>
          <w:rFonts w:ascii="Arial Unicode MS" w:cs="Arial Unicode MS" w:hAnsi="Arial Unicode MS" w:eastAsia="Arial Unicode MS" w:hint="eastAsia"/>
          <w:b w:val="0"/>
          <w:bCs w:val="0"/>
          <w:i w:val="0"/>
          <w:iCs w:val="0"/>
          <w:rtl w:val="0"/>
        </w:rPr>
        <w:t>随着新一代望远镜的建成和大型巡天项目的良好运行，新的观测信息帮助我们发现和研究混合型超新星遗迹的性质</w:t>
      </w:r>
    </w:p>
    <w:sectPr>
      <w:headerReference w:type="default" r:id="rId5"/>
      <w:footerReference w:type="default" r:id="rId6"/>
      <w:pgSz w:w="11900" w:h="16840" w:orient="portrait"/>
      <w:pgMar w:top="1440" w:right="1600" w:bottom="1440" w:left="16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Graphik Medium">
    <w:charset w:val="00"/>
    <w:family w:val="roman"/>
    <w:pitch w:val="default"/>
  </w:font>
  <w:font w:name="Canela Deck Bold">
    <w:charset w:val="00"/>
    <w:family w:val="roman"/>
    <w:pitch w:val="default"/>
  </w:font>
  <w:font w:name="Graphik">
    <w:charset w:val="00"/>
    <w:family w:val="roman"/>
    <w:pitch w:val="default"/>
  </w:font>
  <w:font w:name="Graphik Semibold">
    <w:charset w:val="00"/>
    <w:family w:val="roman"/>
    <w:pitch w:val="default"/>
  </w:font>
  <w:font w:name="Canela Text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350"/>
        <w:tab w:val="right" w:pos="8700"/>
      </w:tabs>
      <w:jc w:val="left"/>
    </w:pPr>
    <w:r>
      <w:rPr>
        <w:rtl w:val="0"/>
        <w:lang w:val="fr-FR"/>
      </w:rPr>
      <w:t>Academic Report</w:t>
    </w:r>
    <w:r>
      <w:tab/>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Graphik Medium" w:cs="Arial Unicode MS" w:hAnsi="Graphik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lang w:val="fr-FR"/>
      <w14:textOutline>
        <w14:noFill/>
      </w14:textOutline>
      <w14:textFill>
        <w14:solidFill>
          <w14:srgbClr w14:val="000000"/>
        </w14:solidFill>
      </w14:textFill>
    </w:rPr>
  </w:style>
  <w:style w:type="paragraph" w:styleId="Title">
    <w:name w:val="Title"/>
    <w:next w:val="Title"/>
    <w:pPr>
      <w:keepNext w:val="0"/>
      <w:keepLines w:val="0"/>
      <w:pageBreakBefore w:val="0"/>
      <w:widowControl w:val="1"/>
      <w:shd w:val="clear" w:color="auto" w:fill="auto"/>
      <w:suppressAutoHyphens w:val="0"/>
      <w:bidi w:val="0"/>
      <w:spacing w:before="0" w:after="200" w:line="216" w:lineRule="auto"/>
      <w:ind w:left="0" w:right="0" w:firstLine="0"/>
      <w:jc w:val="center"/>
      <w:outlineLvl w:val="9"/>
    </w:pPr>
    <w:rPr>
      <w:rFonts w:ascii="Canela Deck Bold" w:cs="Canela Deck Bold" w:hAnsi="Canela Deck Bold" w:eastAsia="Canela Deck Bold"/>
      <w:b w:val="0"/>
      <w:bCs w:val="0"/>
      <w:i w:val="0"/>
      <w:iCs w:val="0"/>
      <w:caps w:val="0"/>
      <w:smallCaps w:val="0"/>
      <w:strike w:val="0"/>
      <w:dstrike w:val="0"/>
      <w:outline w:val="0"/>
      <w:color w:val="000094"/>
      <w:spacing w:val="-5"/>
      <w:kern w:val="0"/>
      <w:position w:val="0"/>
      <w:sz w:val="56"/>
      <w:szCs w:val="56"/>
      <w:u w:val="none"/>
      <w:shd w:val="nil" w:color="auto" w:fill="auto"/>
      <w:vertAlign w:val="baseline"/>
      <w14:textOutline>
        <w14:noFill/>
      </w14:textOutline>
      <w14:textFill>
        <w14:solidFill>
          <w14:srgbClr w14:val="000094"/>
        </w14:solidFill>
      </w14:textFill>
    </w:rPr>
  </w:style>
  <w:style w:type="paragraph" w:styleId="Subtitle">
    <w:name w:val="Subtitle"/>
    <w:next w:val="Subtitle"/>
    <w:pPr>
      <w:keepNext w:val="0"/>
      <w:keepLines w:val="0"/>
      <w:pageBreakBefore w:val="0"/>
      <w:widowControl w:val="1"/>
      <w:shd w:val="clear" w:color="auto" w:fill="auto"/>
      <w:suppressAutoHyphens w:val="0"/>
      <w:bidi w:val="0"/>
      <w:spacing w:before="0" w:after="160" w:line="240" w:lineRule="auto"/>
      <w:ind w:left="0" w:right="0" w:firstLine="0"/>
      <w:jc w:val="center"/>
      <w:outlineLvl w:val="0"/>
    </w:pPr>
    <w:rPr>
      <w:rFonts w:ascii="Graphik" w:cs="Arial Unicode MS" w:hAnsi="Graphik"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Attribution">
    <w:name w:val="Attribution"/>
    <w:next w:val="Attribution"/>
    <w:pPr>
      <w:keepNext w:val="0"/>
      <w:keepLines w:val="0"/>
      <w:pageBreakBefore w:val="0"/>
      <w:widowControl w:val="1"/>
      <w:shd w:val="clear" w:color="auto" w:fill="auto"/>
      <w:suppressAutoHyphens w:val="0"/>
      <w:bidi w:val="0"/>
      <w:spacing w:before="0" w:after="0" w:line="288" w:lineRule="auto"/>
      <w:ind w:left="0" w:right="0" w:firstLine="0"/>
      <w:jc w:val="center"/>
      <w:outlineLvl w:val="0"/>
    </w:pPr>
    <w:rPr>
      <w:rFonts w:ascii="Graphik" w:cs="Graphik" w:hAnsi="Graphik" w:eastAsia="Graphik"/>
      <w:b w:val="0"/>
      <w:bCs w:val="0"/>
      <w:i w:val="0"/>
      <w:iCs w:val="0"/>
      <w:caps w:val="0"/>
      <w:smallCaps w:val="0"/>
      <w:strike w:val="0"/>
      <w:dstrike w:val="0"/>
      <w:outline w:val="0"/>
      <w:color w:val="000000"/>
      <w:spacing w:val="0"/>
      <w:kern w:val="0"/>
      <w:position w:val="0"/>
      <w:sz w:val="26"/>
      <w:szCs w:val="26"/>
      <w:u w:val="none"/>
      <w:shd w:val="nil" w:color="auto" w:fill="auto"/>
      <w:vertAlign w:val="baseline"/>
      <w14:textOutline>
        <w14:noFill/>
      </w14:textOutline>
      <w14:textFill>
        <w14:solidFill>
          <w14:srgbClr w14:val="000000"/>
        </w14:solidFill>
      </w14:textFill>
    </w:rPr>
  </w:style>
  <w:style w:type="paragraph" w:styleId="Heading">
    <w:name w:val="Heading"/>
    <w:next w:val="Heading"/>
    <w:pPr>
      <w:keepNext w:val="0"/>
      <w:keepLines w:val="0"/>
      <w:pageBreakBefore w:val="0"/>
      <w:widowControl w:val="1"/>
      <w:shd w:val="clear" w:color="auto" w:fill="auto"/>
      <w:suppressAutoHyphens w:val="0"/>
      <w:bidi w:val="0"/>
      <w:spacing w:before="0" w:after="0" w:line="360" w:lineRule="auto"/>
      <w:ind w:left="0" w:right="0" w:firstLine="0"/>
      <w:jc w:val="center"/>
      <w:outlineLvl w:val="0"/>
    </w:pPr>
    <w:rPr>
      <w:rFonts w:ascii="Arial Unicode MS" w:cs="Arial Unicode MS" w:hAnsi="Arial Unicode MS" w:eastAsia="Graphik Semibold" w:hint="eastAsia"/>
      <w:b w:val="0"/>
      <w:bCs w:val="0"/>
      <w:i w:val="0"/>
      <w:iCs w:val="0"/>
      <w:caps w:val="0"/>
      <w:smallCaps w:val="0"/>
      <w:strike w:val="0"/>
      <w:dstrike w:val="0"/>
      <w:outline w:val="0"/>
      <w:color w:val="000094"/>
      <w:spacing w:val="0"/>
      <w:kern w:val="0"/>
      <w:position w:val="0"/>
      <w:sz w:val="36"/>
      <w:szCs w:val="36"/>
      <w:u w:val="none"/>
      <w:shd w:val="nil" w:color="auto" w:fill="auto"/>
      <w:vertAlign w:val="baseline"/>
      <w:lang w:val="zh-CN" w:eastAsia="zh-CN"/>
      <w14:textOutline>
        <w14:noFill/>
      </w14:textOutline>
      <w14:textFill>
        <w14:solidFill>
          <w14:srgbClr w14:val="000094"/>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480"/>
      <w:jc w:val="left"/>
      <w:outlineLvl w:val="9"/>
    </w:pPr>
    <w:rPr>
      <w:rFonts w:ascii="Arial Unicode MS" w:cs="Arial Unicode MS" w:hAnsi="Arial Unicode MS" w:eastAsia="Graphik" w:hint="eastAsia"/>
      <w:b w:val="0"/>
      <w:bCs w:val="0"/>
      <w:i w:val="0"/>
      <w:iCs w:val="0"/>
      <w:caps w:val="0"/>
      <w:smallCaps w:val="0"/>
      <w:strike w:val="0"/>
      <w:dstrike w:val="0"/>
      <w:outline w:val="0"/>
      <w:color w:val="000000"/>
      <w:spacing w:val="0"/>
      <w:kern w:val="0"/>
      <w:position w:val="0"/>
      <w:sz w:val="24"/>
      <w:szCs w:val="24"/>
      <w:u w:val="none"/>
      <w:shd w:val="nil" w:color="auto" w:fill="auto"/>
      <w:vertAlign w:val="baseline"/>
      <w:lang w:val="zh-CN" w:eastAsia="zh-CN"/>
      <w14:textOutline>
        <w14:noFill/>
      </w14:textOutline>
      <w14:textFill>
        <w14:solidFill>
          <w14:srgbClr w14:val="000000"/>
        </w14:solidFill>
      </w14:textFill>
    </w:rPr>
  </w:style>
  <w:style w:type="paragraph" w:styleId="Object Caption">
    <w:name w:val="Object Caption"/>
    <w:next w:val="Object Caption"/>
    <w:pPr>
      <w:keepNext w:val="0"/>
      <w:keepLines w:val="0"/>
      <w:pageBreakBefore w:val="0"/>
      <w:widowControl w:val="1"/>
      <w:shd w:val="clear" w:color="auto" w:fill="auto"/>
      <w:suppressAutoHyphens w:val="1"/>
      <w:bidi w:val="0"/>
      <w:spacing w:before="0" w:after="0" w:line="264" w:lineRule="auto"/>
      <w:ind w:left="0" w:right="0" w:firstLine="0"/>
      <w:jc w:val="center"/>
      <w:outlineLvl w:val="9"/>
    </w:pPr>
    <w:rPr>
      <w:rFonts w:ascii="Arial Unicode MS" w:cs="Arial Unicode MS" w:hAnsi="Arial Unicode MS" w:eastAsia="Canela Text Regular" w:hint="eastAsia"/>
      <w:b w:val="0"/>
      <w:bCs w:val="0"/>
      <w:i w:val="0"/>
      <w:iCs w:val="0"/>
      <w:caps w:val="0"/>
      <w:smallCaps w:val="0"/>
      <w:strike w:val="0"/>
      <w:dstrike w:val="0"/>
      <w:outline w:val="0"/>
      <w:color w:val="000000"/>
      <w:spacing w:val="4"/>
      <w:kern w:val="0"/>
      <w:position w:val="0"/>
      <w:sz w:val="22"/>
      <w:szCs w:val="22"/>
      <w:u w:val="none"/>
      <w:shd w:val="nil" w:color="auto" w:fill="auto"/>
      <w:vertAlign w:val="baseline"/>
      <w:lang w:val="zh-CN" w:eastAsia="zh-CN"/>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3_Academic_Report">
  <a:themeElements>
    <a:clrScheme name="23_Academic_Report">
      <a:dk1>
        <a:srgbClr val="000000"/>
      </a:dk1>
      <a:lt1>
        <a:srgbClr val="FFFFFF"/>
      </a:lt1>
      <a:dk2>
        <a:srgbClr val="5E5E5E"/>
      </a:dk2>
      <a:lt2>
        <a:srgbClr val="D5D5D5"/>
      </a:lt2>
      <a:accent1>
        <a:srgbClr val="3E74D1"/>
      </a:accent1>
      <a:accent2>
        <a:srgbClr val="33C5B9"/>
      </a:accent2>
      <a:accent3>
        <a:srgbClr val="45B53C"/>
      </a:accent3>
      <a:accent4>
        <a:srgbClr val="FFBD16"/>
      </a:accent4>
      <a:accent5>
        <a:srgbClr val="E22146"/>
      </a:accent5>
      <a:accent6>
        <a:srgbClr val="836BB7"/>
      </a:accent6>
      <a:hlink>
        <a:srgbClr val="0000FF"/>
      </a:hlink>
      <a:folHlink>
        <a:srgbClr val="FF00FF"/>
      </a:folHlink>
    </a:clrScheme>
    <a:fontScheme name="23_Academic_Report">
      <a:majorFont>
        <a:latin typeface="Canela Deck Bold"/>
        <a:ea typeface="Canela Deck Bold"/>
        <a:cs typeface="Canela Deck Bold"/>
      </a:majorFont>
      <a:minorFont>
        <a:latin typeface="Graphik"/>
        <a:ea typeface="Graphik"/>
        <a:cs typeface="Graphik"/>
      </a:minorFont>
    </a:fontScheme>
    <a:fmtScheme name="23_Academic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1130300" rtl="0" fontAlgn="auto" latinLnBrk="0" hangingPunct="0">
          <a:lnSpc>
            <a:spcPct val="100000"/>
          </a:lnSpc>
          <a:spcBef>
            <a:spcPts val="0"/>
          </a:spcBef>
          <a:spcAft>
            <a:spcPts val="0"/>
          </a:spcAft>
          <a:buClrTx/>
          <a:buSzTx/>
          <a:buFontTx/>
          <a:buNone/>
          <a:tabLst/>
          <a:defRPr b="0" baseline="0" cap="none" i="0" spc="0" strike="noStrike" sz="1400" u="none" kumimoji="0" normalizeH="0">
            <a:ln>
              <a:noFill/>
            </a:ln>
            <a:solidFill>
              <a:srgbClr val="FFFFFF"/>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5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