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Steam 项目数据清洗方案</w:t>
      </w:r>
    </w:p>
    <w:p>
      <w:pPr>
        <w:pStyle w:val="Subtitle"/>
      </w:pPr>
      <w:r>
        <w:t>课程周任务：确定清洗方案</w:t>
      </w:r>
    </w:p>
    <w:p>
      <w:pPr>
        <w:pStyle w:val="Subtitle"/>
      </w:pPr>
      <w:r>
        <w:t>制定日期：2026-10-04　状态：已确认（经用户回复「确认」）</w:t>
      </w:r>
    </w:p>
    <w:p>
      <w:pPr>
        <w:pStyle w:val="Heading1"/>
      </w:pPr>
      <w:r>
        <w:t>1　方案目标</w:t>
      </w:r>
    </w:p>
    <w:p>
      <w:pPr>
        <w:ind w:firstLine="480"/>
      </w:pPr>
      <w:r>
        <w:t>对 Steam 2025 数据集（F:\2026.9.1\archive\steam_dataset_2025_csv）进行数据清洗，只清洗项目（steam-market-insight）用到的数据，产出与项目字段结构一致、可直接使用的干净数据。</w:t>
      </w:r>
    </w:p>
    <w:p>
      <w:pPr>
        <w:ind w:firstLine="480"/>
      </w:pPr>
      <w:r>
        <w:t>清洗要解决的核心问题：</w:t>
      </w:r>
    </w:p>
    <w:p>
      <w:pPr>
        <w:pStyle w:val="ListText"/>
        <w:numPr>
          <w:ilvl w:val="0"/>
          <w:numId w:val="101"/>
        </w:numPr>
      </w:pPr>
      <w:r>
        <w:t>数据规模过大（24 万行）且大部分与项目无关，需缩小到项目实际使用的范围</w:t>
      </w:r>
    </w:p>
    <w:p>
      <w:pPr>
        <w:pStyle w:val="ListText"/>
        <w:numPr>
          <w:ilvl w:val="0"/>
          <w:numId w:val="101"/>
        </w:numPr>
      </w:pPr>
      <w:r>
        <w:t>缺失值、单位不统一、币种混杂、类型多语言混排，需统一口径、如实处理缺失</w:t>
      </w:r>
    </w:p>
    <w:p>
      <w:pPr>
        <w:pStyle w:val="ListText"/>
        <w:numPr>
          <w:ilvl w:val="0"/>
          <w:numId w:val="101"/>
        </w:numPr>
      </w:pPr>
      <w:r>
        <w:t>清洗过程需可复现、可追溯，用脚本清洗并留档报告</w:t>
      </w:r>
    </w:p>
    <w:p>
      <w:pPr>
        <w:pStyle w:val="Heading1"/>
      </w:pPr>
      <w:r>
        <w:t>2　数据来源与范围</w:t>
      </w:r>
    </w:p>
    <w:p>
      <w:pPr>
        <w:pStyle w:val="Heading2"/>
      </w:pPr>
      <w:r>
        <w:t>2.1　输入</w:t>
      </w:r>
    </w:p>
    <w:p>
      <w:pPr>
        <w:pStyle w:val="Caption"/>
        <w:keepNext/>
        <w:spacing w:after="80"/>
        <w:jc w:val="center"/>
      </w:pPr>
      <w:r>
        <w:t>表1　输入数据</w:t>
      </w:r>
    </w:p>
    <w:tbl>
      <w:tblPr>
        <w:tblW w:type="auto" w:w="0"/>
        <w:jc w:val="center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/>
        </w:trPr>
        <w:tc>
          <w:tcPr>
            <w:tcW w:type="dxa" w:w="2948"/>
            <w:shd w:val="clear" w:color="auto" w:fill="D9D9D9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文件</w:t>
            </w:r>
          </w:p>
        </w:tc>
        <w:tc>
          <w:tcPr>
            <w:tcW w:type="dxa" w:w="3742"/>
            <w:shd w:val="clear" w:color="auto" w:fill="D9D9D9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内容</w:t>
            </w:r>
          </w:p>
        </w:tc>
        <w:tc>
          <w:tcPr>
            <w:tcW w:type="dxa" w:w="2381"/>
            <w:shd w:val="clear" w:color="auto" w:fill="D9D9D9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规模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applications.csv</w:t>
            </w:r>
          </w:p>
        </w:tc>
        <w:tc>
          <w:tcPr>
            <w:tcW w:type="dxa" w:w="3742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应用主表（30 列）</w:t>
            </w:r>
          </w:p>
        </w:tc>
        <w:tc>
          <w:tcPr>
            <w:tcW w:type="dxa" w:w="2381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239,664 行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genres.csv</w:t>
            </w:r>
          </w:p>
        </w:tc>
        <w:tc>
          <w:tcPr>
            <w:tcW w:type="dxa" w:w="3742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类型字典（多语言混排）</w:t>
            </w:r>
          </w:p>
        </w:tc>
        <w:tc>
          <w:tcPr>
            <w:tcW w:type="dxa" w:w="2381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154 行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application_genres.csv</w:t>
            </w:r>
          </w:p>
        </w:tc>
        <w:tc>
          <w:tcPr>
            <w:tcW w:type="dxa" w:w="3742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应用-类型关联</w:t>
            </w:r>
          </w:p>
        </w:tc>
        <w:tc>
          <w:tcPr>
            <w:tcW w:type="dxa" w:w="2381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587,515 行</w:t>
            </w:r>
          </w:p>
        </w:tc>
      </w:tr>
    </w:tbl>
    <w:p>
      <w:pPr>
        <w:pStyle w:val="Heading2"/>
      </w:pPr>
      <w:r>
        <w:t>2.2　范围界定</w:t>
      </w:r>
    </w:p>
    <w:p>
      <w:pPr>
        <w:pStyle w:val="Caption"/>
        <w:keepNext/>
        <w:spacing w:after="80"/>
        <w:jc w:val="center"/>
      </w:pPr>
      <w:r>
        <w:t>表2　范围界定</w:t>
      </w:r>
    </w:p>
    <w:tbl>
      <w:tblPr>
        <w:tblW w:type="auto" w:w="0"/>
        <w:jc w:val="center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cantSplit/>
          <w:tblHeader/>
        </w:trPr>
        <w:tc>
          <w:tcPr>
            <w:tcW w:type="dxa" w:w="4535"/>
            <w:shd w:val="clear" w:color="auto" w:fill="D9D9D9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做</w:t>
            </w:r>
          </w:p>
        </w:tc>
        <w:tc>
          <w:tcPr>
            <w:tcW w:type="dxa" w:w="4535"/>
            <w:shd w:val="clear" w:color="auto" w:fill="D9D9D9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不做</w:t>
            </w:r>
          </w:p>
        </w:tc>
      </w:tr>
      <w:tr>
        <w:trPr>
          <w:cantSplit/>
        </w:trPr>
        <w:tc>
          <w:tcPr>
            <w:tcW w:type="dxa" w:w="4535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清洗项目 data/games.json 149 款中数据集命中的 107 款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42 个未收录 appid（数据集无此数据，继续由爬虫提供）</w:t>
            </w:r>
          </w:p>
        </w:tc>
      </w:tr>
      <w:tr>
        <w:trPr>
          <w:cantSplit/>
        </w:trPr>
        <w:tc>
          <w:tcPr>
            <w:tcW w:type="dxa" w:w="4535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清洗项目用到的 15 个字段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不触碰开发商/发行商/平台/评价等其他表</w:t>
            </w:r>
          </w:p>
        </w:tc>
      </w:tr>
      <w:tr>
        <w:trPr>
          <w:cantSplit/>
        </w:trPr>
        <w:tc>
          <w:tcPr>
            <w:tcW w:type="dxa" w:w="4535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类型关联与规范化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不联网、不跑爬虫、不改动项目现有代码</w:t>
            </w:r>
          </w:p>
        </w:tc>
      </w:tr>
    </w:tbl>
    <w:p>
      <w:pPr>
        <w:pStyle w:val="Heading2"/>
      </w:pPr>
      <w:r>
        <w:t>2.3　字段口径（项目字段 → 数据集来源）</w:t>
      </w:r>
    </w:p>
    <w:p>
      <w:pPr>
        <w:pStyle w:val="Caption"/>
        <w:keepNext/>
        <w:spacing w:after="80"/>
        <w:jc w:val="center"/>
      </w:pPr>
      <w:r>
        <w:t>表3　字段口径</w:t>
      </w:r>
    </w:p>
    <w:tbl>
      <w:tblPr>
        <w:tblW w:type="auto" w:w="0"/>
        <w:jc w:val="center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/>
        </w:trPr>
        <w:tc>
          <w:tcPr>
            <w:tcW w:type="dxa" w:w="2835"/>
            <w:shd w:val="clear" w:color="auto" w:fill="D9D9D9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项目字段</w:t>
            </w:r>
          </w:p>
        </w:tc>
        <w:tc>
          <w:tcPr>
            <w:tcW w:type="dxa" w:w="3061"/>
            <w:shd w:val="clear" w:color="auto" w:fill="D9D9D9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数据集来源</w:t>
            </w:r>
          </w:p>
        </w:tc>
        <w:tc>
          <w:tcPr>
            <w:tcW w:type="dxa" w:w="3175"/>
            <w:shd w:val="clear" w:color="auto" w:fill="D9D9D9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清洗动作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appid</w:t>
            </w:r>
          </w:p>
        </w:tc>
        <w:tc>
          <w:tcPr>
            <w:tcW w:type="dxa" w:w="3061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applications.appid</w:t>
            </w:r>
          </w:p>
        </w:tc>
        <w:tc>
          <w:tcPr>
            <w:tcW w:type="dxa" w:w="3175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int64，去重校验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name</w:t>
            </w:r>
          </w:p>
        </w:tc>
        <w:tc>
          <w:tcPr>
            <w:tcW w:type="dxa" w:w="3061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applications.name</w:t>
            </w:r>
          </w:p>
        </w:tc>
        <w:tc>
          <w:tcPr>
            <w:tcW w:type="dxa" w:w="3175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去首尾空白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price</w:t>
            </w:r>
          </w:p>
        </w:tc>
        <w:tc>
          <w:tcPr>
            <w:tcW w:type="dxa" w:w="3061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mat_final_price</w:t>
            </w:r>
          </w:p>
        </w:tc>
        <w:tc>
          <w:tcPr>
            <w:tcW w:type="dxa" w:w="3175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分→元 →×汇率 → 整数人民币元；免费=0（显式赋值，非置空）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original_price</w:t>
            </w:r>
          </w:p>
        </w:tc>
        <w:tc>
          <w:tcPr>
            <w:tcW w:type="dxa" w:w="3061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mat_initial_price</w:t>
            </w:r>
          </w:p>
        </w:tc>
        <w:tc>
          <w:tcPr>
            <w:tcW w:type="dxa" w:w="3175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同上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final_price</w:t>
            </w:r>
          </w:p>
        </w:tc>
        <w:tc>
          <w:tcPr>
            <w:tcW w:type="dxa" w:w="3061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= price</w:t>
            </w:r>
          </w:p>
        </w:tc>
        <w:tc>
          <w:tcPr>
            <w:tcW w:type="dxa" w:w="3175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与项目爬虫口径一致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discount_percent</w:t>
            </w:r>
          </w:p>
        </w:tc>
        <w:tc>
          <w:tcPr>
            <w:tcW w:type="dxa" w:w="3061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mat_discount_percent</w:t>
            </w:r>
          </w:p>
        </w:tc>
        <w:tc>
          <w:tcPr>
            <w:tcW w:type="dxa" w:w="3175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校验 0~100；越界/缺失置空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currency</w:t>
            </w:r>
          </w:p>
        </w:tc>
        <w:tc>
          <w:tcPr>
            <w:tcW w:type="dxa" w:w="3061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mat_currency</w:t>
            </w:r>
          </w:p>
        </w:tc>
        <w:tc>
          <w:tcPr>
            <w:tcW w:type="dxa" w:w="3175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保留原币种；免费游戏无币种，currency 置空（与爬虫 games.json 一致）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rating / positive / total_reviews</w:t>
            </w:r>
          </w:p>
        </w:tc>
        <w:tc>
          <w:tcPr>
            <w:tcW w:type="dxa" w:w="3061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数据源无 reviews.csv</w:t>
            </w:r>
          </w:p>
        </w:tc>
        <w:tc>
          <w:tcPr>
            <w:tcW w:type="dxa" w:w="3175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置空保留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type</w:t>
            </w:r>
          </w:p>
        </w:tc>
        <w:tc>
          <w:tcPr>
            <w:tcW w:type="dxa" w:w="3061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genres 第一个</w:t>
            </w:r>
          </w:p>
        </w:tc>
        <w:tc>
          <w:tcPr>
            <w:tcW w:type="dxa" w:w="3175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规范化中文，无=「未知」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genres</w:t>
            </w:r>
          </w:p>
        </w:tc>
        <w:tc>
          <w:tcPr>
            <w:tcW w:type="dxa" w:w="3061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application_genres + genres</w:t>
            </w:r>
          </w:p>
        </w:tc>
        <w:tc>
          <w:tcPr>
            <w:tcW w:type="dxa" w:w="3175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名称列表，规范化中文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year</w:t>
            </w:r>
          </w:p>
        </w:tc>
        <w:tc>
          <w:tcPr>
            <w:tcW w:type="dxa" w:w="3061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release_date 提取</w:t>
            </w:r>
          </w:p>
        </w:tc>
        <w:tc>
          <w:tcPr>
            <w:tcW w:type="dxa" w:w="3175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缺失置空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release_date</w:t>
            </w:r>
          </w:p>
        </w:tc>
        <w:tc>
          <w:tcPr>
            <w:tcW w:type="dxa" w:w="3061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applications.release_date</w:t>
            </w:r>
          </w:p>
        </w:tc>
        <w:tc>
          <w:tcPr>
            <w:tcW w:type="dxa" w:w="3175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统一 YYYY-MM-DD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url</w:t>
            </w:r>
          </w:p>
        </w:tc>
        <w:tc>
          <w:tcPr>
            <w:tcW w:type="dxa" w:w="3061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appid 拼接</w:t>
            </w:r>
          </w:p>
        </w:tc>
        <w:tc>
          <w:tcPr>
            <w:tcW w:type="dxa" w:w="3175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生成</w:t>
            </w:r>
          </w:p>
        </w:tc>
      </w:tr>
    </w:tbl>
    <w:p>
      <w:pPr>
        <w:pStyle w:val="Heading1"/>
      </w:pPr>
      <w:r>
        <w:t>3　清洗规则（10 条）</w:t>
      </w:r>
    </w:p>
    <w:p>
      <w:pPr>
        <w:pStyle w:val="ListText"/>
        <w:numPr>
          <w:ilvl w:val="0"/>
          <w:numId w:val="100"/>
        </w:numPr>
      </w:pPr>
      <w:r>
        <w:t>行级筛选：只保留 appid 属于项目 games.json 的记录（149 → 命中 107）</w:t>
      </w:r>
    </w:p>
    <w:p>
      <w:pPr>
        <w:pStyle w:val="ListText"/>
        <w:numPr>
          <w:ilvl w:val="0"/>
          <w:numId w:val="100"/>
        </w:numPr>
      </w:pPr>
      <w:r>
        <w:t>去重：按 appid 唯一性校验（探查结果：0 重复）</w:t>
      </w:r>
    </w:p>
    <w:p>
      <w:pPr>
        <w:pStyle w:val="ListText"/>
        <w:numPr>
          <w:ilvl w:val="0"/>
          <w:numId w:val="100"/>
        </w:numPr>
      </w:pPr>
      <w:r>
        <w:t>类型强转：appid→int64；数值列→float；is_free→bool</w:t>
      </w:r>
    </w:p>
    <w:p>
      <w:pPr>
        <w:pStyle w:val="ListText"/>
        <w:numPr>
          <w:ilvl w:val="0"/>
          <w:numId w:val="100"/>
        </w:numPr>
      </w:pPr>
      <w:r>
        <w:t>名称清洗：去首尾空白</w:t>
      </w:r>
    </w:p>
    <w:p>
      <w:pPr>
        <w:pStyle w:val="ListText"/>
        <w:numPr>
          <w:ilvl w:val="0"/>
          <w:numId w:val="100"/>
        </w:numPr>
      </w:pPr>
      <w:r>
        <w:t>日期规范化：release_date 统一 ISO 格式，提取 year；无法解析置空</w:t>
      </w:r>
    </w:p>
    <w:p>
      <w:pPr>
        <w:pStyle w:val="ListText"/>
        <w:numPr>
          <w:ilvl w:val="0"/>
          <w:numId w:val="100"/>
        </w:numPr>
      </w:pPr>
      <w:r>
        <w:t>价格换算：数据集单位为「分」→ 除以 100 转「元」→ 乘以当日汇率 → 四舍五入为整数人民币元</w:t>
      </w:r>
    </w:p>
    <w:p>
      <w:pPr>
        <w:pStyle w:val="ListText"/>
        <w:numPr>
          <w:ilvl w:val="0"/>
          <w:numId w:val="100"/>
        </w:numPr>
      </w:pPr>
      <w:r>
        <w:t>折扣校验：范围 0~100，越界或缺失置空</w:t>
      </w:r>
    </w:p>
    <w:p>
      <w:pPr>
        <w:pStyle w:val="ListText"/>
        <w:numPr>
          <w:ilvl w:val="0"/>
          <w:numId w:val="100"/>
        </w:numPr>
      </w:pPr>
      <w:r>
        <w:t>类型关联与规范化：genres 关联表 + 多语言名称映射中文词表；type=第一个类型</w:t>
      </w:r>
    </w:p>
    <w:p>
      <w:pPr>
        <w:pStyle w:val="ListText"/>
        <w:numPr>
          <w:ilvl w:val="0"/>
          <w:numId w:val="100"/>
        </w:numPr>
      </w:pPr>
      <w:r>
        <w:t>好评率字段：数据源缺失 reviews 表，rating/positive/total_reviews 全部置空保留</w:t>
      </w:r>
    </w:p>
    <w:p>
      <w:pPr>
        <w:pStyle w:val="ListText"/>
        <w:numPr>
          <w:ilvl w:val="0"/>
          <w:numId w:val="100"/>
        </w:numPr>
      </w:pPr>
      <w:r>
        <w:t>url 生成：https://store.steampowered.com/app/{appid}</w:t>
      </w:r>
    </w:p>
    <w:p>
      <w:pPr>
        <w:ind w:firstLine="480"/>
      </w:pPr>
      <w:r>
        <w:t>缺失值总体口径：不填充、不估算，能置空就置空，如实保留缺失状态。免费游戏（is_free=True）例外：价格类字段显式赋 0，不适用置空口径。</w:t>
      </w:r>
    </w:p>
    <w:p>
      <w:pPr>
        <w:pStyle w:val="Heading1"/>
      </w:pPr>
      <w:r>
        <w:t>4　价格与汇率口径</w:t>
      </w:r>
    </w:p>
    <w:p>
      <w:pPr>
        <w:ind w:firstLine="480"/>
      </w:pPr>
      <w:r>
        <w:t>数据集价格单位为分（已用已知样例验证：Rust 3999 分 = 39.99 美元）。</w:t>
      </w:r>
    </w:p>
    <w:p>
      <w:pPr>
        <w:ind w:firstLine="480"/>
      </w:pPr>
      <w:r>
        <w:t>换算链路：分 ÷ 100 × 汇率 → 四舍五入为整数人民币元。</w:t>
      </w:r>
    </w:p>
    <w:p>
      <w:pPr>
        <w:ind w:firstLine="480"/>
      </w:pPr>
      <w:r>
        <w:t>免费游戏（is_free=True）：price = 0、original_price = 0、final_price = 0、discount_percent = 0，均为显式赋值、非缺失置空；currency 置空（原表即无币种，与项目爬虫口径一致）。</w:t>
      </w:r>
    </w:p>
    <w:p>
      <w:pPr>
        <w:ind w:firstLine="480"/>
      </w:pPr>
      <w:r>
        <w:t>币种缺失（43 行）且非免费：无法换算 → 价格置空，报告统计。</w:t>
      </w:r>
    </w:p>
    <w:p>
      <w:pPr>
        <w:pStyle w:val="Caption"/>
        <w:keepNext/>
        <w:spacing w:after="80"/>
        <w:jc w:val="center"/>
      </w:pPr>
      <w:r>
        <w:t>表4　汇率表（来源：新浪财经，2026-10-04 行情）</w:t>
      </w:r>
    </w:p>
    <w:tbl>
      <w:tblPr>
        <w:tblW w:type="auto" w:w="0"/>
        <w:jc w:val="center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cantSplit/>
          <w:tblHeader/>
        </w:trPr>
        <w:tc>
          <w:tcPr>
            <w:tcW w:type="dxa" w:w="3402"/>
            <w:shd w:val="clear" w:color="auto" w:fill="D9D9D9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币种</w:t>
            </w:r>
          </w:p>
        </w:tc>
        <w:tc>
          <w:tcPr>
            <w:tcW w:type="dxa" w:w="5669"/>
            <w:shd w:val="clear" w:color="auto" w:fill="D9D9D9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1 外币 = 人民币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USD</w:t>
            </w:r>
          </w:p>
        </w:tc>
        <w:tc>
          <w:tcPr>
            <w:tcW w:type="dxa" w:w="5669"/>
            <w:vAlign w:val="center"/>
          </w:tcPr>
          <w:p>
            <w:pPr>
              <w:spacing w:before="0" w:after="0"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sz w:val="21"/>
              </w:rPr>
              <w:t>6.7050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CAD</w:t>
            </w:r>
          </w:p>
        </w:tc>
        <w:tc>
          <w:tcPr>
            <w:tcW w:type="dxa" w:w="5669"/>
            <w:vAlign w:val="center"/>
          </w:tcPr>
          <w:p>
            <w:pPr>
              <w:spacing w:before="0" w:after="0"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sz w:val="21"/>
              </w:rPr>
              <w:t>4.7037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GBP</w:t>
            </w:r>
          </w:p>
        </w:tc>
        <w:tc>
          <w:tcPr>
            <w:tcW w:type="dxa" w:w="5669"/>
            <w:vAlign w:val="center"/>
          </w:tcPr>
          <w:p>
            <w:pPr>
              <w:spacing w:before="0" w:after="0"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sz w:val="21"/>
              </w:rPr>
              <w:t>8.8794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AUD</w:t>
            </w:r>
          </w:p>
        </w:tc>
        <w:tc>
          <w:tcPr>
            <w:tcW w:type="dxa" w:w="5669"/>
            <w:vAlign w:val="center"/>
          </w:tcPr>
          <w:p>
            <w:pPr>
              <w:spacing w:before="0" w:after="0"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sz w:val="21"/>
              </w:rPr>
              <w:t>4.6642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PHP</w:t>
            </w:r>
          </w:p>
        </w:tc>
        <w:tc>
          <w:tcPr>
            <w:tcW w:type="dxa" w:w="5669"/>
            <w:vAlign w:val="center"/>
          </w:tcPr>
          <w:p>
            <w:pPr>
              <w:spacing w:before="0" w:after="0"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sz w:val="21"/>
              </w:rPr>
              <w:t>0.1073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PLN</w:t>
            </w:r>
          </w:p>
        </w:tc>
        <w:tc>
          <w:tcPr>
            <w:tcW w:type="dxa" w:w="5669"/>
            <w:vAlign w:val="center"/>
          </w:tcPr>
          <w:p>
            <w:pPr>
              <w:spacing w:before="0" w:after="0"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sz w:val="21"/>
              </w:rPr>
              <w:t>1.7221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NOK</w:t>
            </w:r>
          </w:p>
        </w:tc>
        <w:tc>
          <w:tcPr>
            <w:tcW w:type="dxa" w:w="5669"/>
            <w:vAlign w:val="center"/>
          </w:tcPr>
          <w:p>
            <w:pPr>
              <w:spacing w:before="0" w:after="0"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sz w:val="21"/>
              </w:rPr>
              <w:t>0.6978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IDR</w:t>
            </w:r>
          </w:p>
        </w:tc>
        <w:tc>
          <w:tcPr>
            <w:tcW w:type="dxa" w:w="5669"/>
            <w:vAlign w:val="center"/>
          </w:tcPr>
          <w:p>
            <w:pPr>
              <w:spacing w:before="0" w:after="0"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sz w:val="21"/>
              </w:rPr>
              <w:t>0.0003752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CNY</w:t>
            </w:r>
          </w:p>
        </w:tc>
        <w:tc>
          <w:tcPr>
            <w:tcW w:type="dxa" w:w="5669"/>
            <w:vAlign w:val="center"/>
          </w:tcPr>
          <w:p>
            <w:pPr>
              <w:spacing w:before="0" w:after="0"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sz w:val="21"/>
              </w:rPr>
              <w:t>1.0</w:t>
            </w:r>
          </w:p>
        </w:tc>
      </w:tr>
    </w:tbl>
    <w:p>
      <w:pPr>
        <w:ind w:firstLine="480"/>
      </w:pPr>
      <w:r>
        <w:t>汇率采用单日快照，报告中注明日期与来源；换算结果与国区实时价格存在正常区域定价差异。</w:t>
      </w:r>
    </w:p>
    <w:p>
      <w:pPr>
        <w:pStyle w:val="Heading1"/>
      </w:pPr>
      <w:r>
        <w:t>5　类型规范化方案</w:t>
      </w:r>
    </w:p>
    <w:p>
      <w:pPr>
        <w:ind w:firstLine="480"/>
      </w:pPr>
      <w:r>
        <w:t>数据集 genres 表为多语言混排（同一类型存在 20 种语言写法，如 Action/Acțiune/アクション/動作），清洗时映射为项目中文类型词表：</w:t>
      </w:r>
    </w:p>
    <w:p>
      <w:pPr>
        <w:pStyle w:val="Caption"/>
        <w:keepNext/>
        <w:spacing w:after="80"/>
        <w:jc w:val="center"/>
      </w:pPr>
      <w:r>
        <w:t>表5　类型规范化映射</w:t>
      </w:r>
    </w:p>
    <w:tbl>
      <w:tblPr>
        <w:tblW w:type="auto" w:w="0"/>
        <w:jc w:val="center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cantSplit/>
          <w:tblHeader/>
        </w:trPr>
        <w:tc>
          <w:tcPr>
            <w:tcW w:type="dxa" w:w="2835"/>
            <w:shd w:val="clear" w:color="auto" w:fill="D9D9D9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规范类型（中文）</w:t>
            </w:r>
          </w:p>
        </w:tc>
        <w:tc>
          <w:tcPr>
            <w:tcW w:type="dxa" w:w="6236"/>
            <w:shd w:val="clear" w:color="auto" w:fill="D9D9D9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数据集常见写法（举例）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动作</w:t>
            </w:r>
          </w:p>
        </w:tc>
        <w:tc>
          <w:tcPr>
            <w:tcW w:type="dxa" w:w="6236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Action / Acțiune / アクション / 動作 / Azione / Aksiyon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冒险</w:t>
            </w:r>
          </w:p>
        </w:tc>
        <w:tc>
          <w:tcPr>
            <w:tcW w:type="dxa" w:w="6236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Adventure / Eventyr / Aventură / Petualangan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独立</w:t>
            </w:r>
          </w:p>
        </w:tc>
        <w:tc>
          <w:tcPr>
            <w:tcW w:type="dxa" w:w="6236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Indie / Nezávislé / インディー / Bağımsız Yapımcı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策略</w:t>
            </w:r>
          </w:p>
        </w:tc>
        <w:tc>
          <w:tcPr>
            <w:tcW w:type="dxa" w:w="6236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Strategy / Strategie / Stratégie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模拟</w:t>
            </w:r>
          </w:p>
        </w:tc>
        <w:tc>
          <w:tcPr>
            <w:tcW w:type="dxa" w:w="6236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Simulation / Simulaatio / Simuladores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竞速</w:t>
            </w:r>
          </w:p>
        </w:tc>
        <w:tc>
          <w:tcPr>
            <w:tcW w:type="dxa" w:w="6236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Racing / Cursa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体育</w:t>
            </w:r>
          </w:p>
        </w:tc>
        <w:tc>
          <w:tcPr>
            <w:tcW w:type="dxa" w:w="6236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Sports / Спорт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休闲</w:t>
            </w:r>
          </w:p>
        </w:tc>
        <w:tc>
          <w:tcPr>
            <w:tcW w:type="dxa" w:w="6236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Casual / Basit Eğlence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大型多人在线</w:t>
            </w:r>
          </w:p>
        </w:tc>
        <w:tc>
          <w:tcPr>
            <w:tcW w:type="dxa" w:w="6236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Massively Multiplayer / MMO / Многопользовательские игры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免费开玩</w:t>
            </w:r>
          </w:p>
        </w:tc>
        <w:tc>
          <w:tcPr>
            <w:tcW w:type="dxa" w:w="6236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Free To Play / Бесплатные / مجانية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角色扮演</w:t>
            </w:r>
          </w:p>
        </w:tc>
        <w:tc>
          <w:tcPr>
            <w:tcW w:type="dxa" w:w="6236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RPG / Rollespill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抢先体验</w:t>
            </w:r>
          </w:p>
        </w:tc>
        <w:tc>
          <w:tcPr>
            <w:tcW w:type="dxa" w:w="6236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Early Access / Acesso Antecipado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惊悚</w:t>
            </w:r>
          </w:p>
        </w:tc>
        <w:tc>
          <w:tcPr>
            <w:tcW w:type="dxa" w:w="6236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Thriller / إثارة</w:t>
            </w:r>
          </w:p>
        </w:tc>
      </w:tr>
    </w:tbl>
    <w:p>
      <w:pPr>
        <w:ind w:firstLine="480"/>
      </w:pPr>
      <w:r>
        <w:t>未在映射表中的类型名保留原名；无任何类型记录的游戏 type=「未知」。</w:t>
      </w:r>
    </w:p>
    <w:p>
      <w:pPr>
        <w:pStyle w:val="Heading1"/>
      </w:pPr>
      <w:r>
        <w:t>6　预期产出</w:t>
      </w:r>
    </w:p>
    <w:p>
      <w:pPr>
        <w:pStyle w:val="Caption"/>
        <w:keepNext/>
        <w:spacing w:after="80"/>
        <w:jc w:val="center"/>
      </w:pPr>
      <w:r>
        <w:t>表6　预期产出</w:t>
      </w:r>
    </w:p>
    <w:tbl>
      <w:tblPr>
        <w:tblW w:type="auto" w:w="0"/>
        <w:jc w:val="center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/>
        </w:trPr>
        <w:tc>
          <w:tcPr>
            <w:tcW w:type="dxa" w:w="2608"/>
            <w:shd w:val="clear" w:color="auto" w:fill="D9D9D9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产物</w:t>
            </w:r>
          </w:p>
        </w:tc>
        <w:tc>
          <w:tcPr>
            <w:tcW w:type="dxa" w:w="3969"/>
            <w:shd w:val="clear" w:color="auto" w:fill="D9D9D9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内容</w:t>
            </w:r>
          </w:p>
        </w:tc>
        <w:tc>
          <w:tcPr>
            <w:tcW w:type="dxa" w:w="2494"/>
            <w:shd w:val="clear" w:color="auto" w:fill="D9D9D9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位置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games_cleaned.csv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清洗后表格，UTF-8-SIG（Excel 不乱码）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data/cleaned/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games_cleaned.json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项目 15 字段同结构 JSON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data/cleaned/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清洗报告.md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规则、前后统计对比、未收录清单、汇率表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data/cleaned/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clean_archive.py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可复现清洗脚本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scripts/</w:t>
            </w:r>
          </w:p>
        </w:tc>
      </w:tr>
    </w:tbl>
    <w:p>
      <w:pPr>
        <w:ind w:firstLine="480"/>
      </w:pPr>
      <w:r>
        <w:t>输出规模预期：107 行 × 15 列，按 appid 升序。</w:t>
      </w:r>
    </w:p>
    <w:p>
      <w:pPr>
        <w:pStyle w:val="Heading1"/>
      </w:pPr>
      <w:r>
        <w:t>7　验收标准</w:t>
      </w:r>
    </w:p>
    <w:p>
      <w:pPr>
        <w:pStyle w:val="ListText"/>
        <w:numPr>
          <w:ilvl w:val="0"/>
          <w:numId w:val="102"/>
        </w:numPr>
      </w:pPr>
      <w:r>
        <w:t>行数：CSV 与 JSON 均为 107 行，15 字段齐全，列序与项目一致</w:t>
      </w:r>
    </w:p>
    <w:p>
      <w:pPr>
        <w:pStyle w:val="ListText"/>
        <w:numPr>
          <w:ilvl w:val="0"/>
          <w:numId w:val="102"/>
        </w:numPr>
      </w:pPr>
      <w:r>
        <w:t>唯一性：appid 无重复</w:t>
      </w:r>
    </w:p>
    <w:p>
      <w:pPr>
        <w:pStyle w:val="ListText"/>
        <w:numPr>
          <w:ilvl w:val="0"/>
          <w:numId w:val="102"/>
        </w:numPr>
      </w:pPr>
      <w:r>
        <w:t>价格可复算：抽样（如 Rust 3999 分 USD → 268 元）独立手算一致</w:t>
      </w:r>
    </w:p>
    <w:p>
      <w:pPr>
        <w:pStyle w:val="ListText"/>
        <w:numPr>
          <w:ilvl w:val="0"/>
          <w:numId w:val="102"/>
        </w:numPr>
      </w:pPr>
      <w:r>
        <w:t>缺失处理符合口径：置空项在报告中有统计、有说明</w:t>
      </w:r>
    </w:p>
    <w:p>
      <w:pPr>
        <w:pStyle w:val="ListText"/>
        <w:numPr>
          <w:ilvl w:val="0"/>
          <w:numId w:val="102"/>
        </w:numPr>
      </w:pPr>
      <w:r>
        <w:t>无编造数据：所有数字有来源或明确标注缺失</w:t>
      </w:r>
    </w:p>
    <w:p>
      <w:pPr>
        <w:pStyle w:val="ListText"/>
        <w:numPr>
          <w:ilvl w:val="0"/>
          <w:numId w:val="102"/>
        </w:numPr>
      </w:pPr>
      <w:r>
        <w:t>可复现：运行 python scripts/clean_archive.py 可一键重跑</w:t>
      </w:r>
    </w:p>
    <w:p>
      <w:pPr>
        <w:pStyle w:val="Heading1"/>
      </w:pPr>
      <w:r>
        <w:t>8　风险与预案</w:t>
      </w:r>
    </w:p>
    <w:p>
      <w:pPr>
        <w:pStyle w:val="Caption"/>
        <w:keepNext/>
        <w:spacing w:after="80"/>
        <w:jc w:val="center"/>
      </w:pPr>
      <w:r>
        <w:t>表7　风险与预案</w:t>
      </w:r>
    </w:p>
    <w:tbl>
      <w:tblPr>
        <w:tblW w:type="auto" w:w="0"/>
        <w:jc w:val="center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/>
        </w:trPr>
        <w:tc>
          <w:tcPr>
            <w:tcW w:type="dxa" w:w="2381"/>
            <w:shd w:val="clear" w:color="auto" w:fill="D9D9D9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风险</w:t>
            </w:r>
          </w:p>
        </w:tc>
        <w:tc>
          <w:tcPr>
            <w:tcW w:type="dxa" w:w="2381"/>
            <w:shd w:val="clear" w:color="auto" w:fill="D9D9D9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影响</w:t>
            </w:r>
          </w:p>
        </w:tc>
        <w:tc>
          <w:tcPr>
            <w:tcW w:type="dxa" w:w="4309"/>
            <w:shd w:val="clear" w:color="auto" w:fill="D9D9D9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预案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汇率时效性</w:t>
            </w:r>
          </w:p>
        </w:tc>
        <w:tc>
          <w:tcPr>
            <w:tcW w:type="dxa" w:w="2381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换算价有偏差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报告注明日期来源；单日快照，不做实时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币种缺失 43 行</w:t>
            </w:r>
          </w:p>
        </w:tc>
        <w:tc>
          <w:tcPr>
            <w:tcW w:type="dxa" w:w="2381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无法换算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非免费游戏价格置空 + 统计（免费游戏价格=0），不估算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发行日期缺失 22 行</w:t>
            </w:r>
          </w:p>
        </w:tc>
        <w:tc>
          <w:tcPr>
            <w:tcW w:type="dxa" w:w="2381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year 缺失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置空 + 统计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无类型记录（1 款）</w:t>
            </w:r>
          </w:p>
        </w:tc>
        <w:tc>
          <w:tcPr>
            <w:tcW w:type="dxa" w:w="2381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type 为空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type=「未知」，报告标注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价格单位假设错误</w:t>
            </w:r>
          </w:p>
        </w:tc>
        <w:tc>
          <w:tcPr>
            <w:tcW w:type="dxa" w:w="2381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数量级错误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已知样例复算验证后再执行</w:t>
            </w:r>
          </w:p>
        </w:tc>
      </w:tr>
    </w:tbl>
    <w:p>
      <w:pPr>
        <w:pStyle w:val="Heading1"/>
      </w:pPr>
      <w:r>
        <w:t>9　方案确认记录</w:t>
      </w:r>
    </w:p>
    <w:p>
      <w:pPr>
        <w:pStyle w:val="Caption"/>
        <w:keepNext/>
        <w:spacing w:after="80"/>
        <w:jc w:val="center"/>
      </w:pPr>
      <w:r>
        <w:t>表8　方案确认记录</w:t>
      </w:r>
    </w:p>
    <w:tbl>
      <w:tblPr>
        <w:tblW w:type="auto" w:w="0"/>
        <w:jc w:val="center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/>
        </w:trPr>
        <w:tc>
          <w:tcPr>
            <w:tcW w:type="dxa" w:w="1701"/>
            <w:shd w:val="clear" w:color="auto" w:fill="D9D9D9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日期</w:t>
            </w:r>
          </w:p>
        </w:tc>
        <w:tc>
          <w:tcPr>
            <w:tcW w:type="dxa" w:w="1928"/>
            <w:shd w:val="clear" w:color="auto" w:fill="D9D9D9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决策项</w:t>
            </w:r>
          </w:p>
        </w:tc>
        <w:tc>
          <w:tcPr>
            <w:tcW w:type="dxa" w:w="5443"/>
            <w:shd w:val="clear" w:color="auto" w:fill="D9D9D9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结论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2026-10-04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清洗范围</w:t>
            </w:r>
          </w:p>
        </w:tc>
        <w:tc>
          <w:tcPr>
            <w:tcW w:type="dxa" w:w="5443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只清洗项目用到的数据（149 款中命中 107 款）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2026-10-04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价格口径</w:t>
            </w:r>
          </w:p>
        </w:tc>
        <w:tc>
          <w:tcPr>
            <w:tcW w:type="dxa" w:w="5443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分→元 → 换算成人民币（当日汇率）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2026-10-04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好评率字段</w:t>
            </w:r>
          </w:p>
        </w:tc>
        <w:tc>
          <w:tcPr>
            <w:tcW w:type="dxa" w:w="5443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置空保留（数据源无 reviews 表）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2026-10-04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交付形式</w:t>
            </w:r>
          </w:p>
        </w:tc>
        <w:tc>
          <w:tcPr>
            <w:tcW w:type="dxa" w:w="5443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CSV + JSON + 清洗报告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2026-10-04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方案确认</w:t>
            </w:r>
          </w:p>
        </w:tc>
        <w:tc>
          <w:tcPr>
            <w:tcW w:type="dxa" w:w="5443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用户回复「确认」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2026-10-13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免费游戏价格</w:t>
            </w:r>
          </w:p>
        </w:tc>
        <w:tc>
          <w:tcPr>
            <w:tcW w:type="dxa" w:w="5443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免费游戏（is_free=True）价格类字段显式赋 0，不置空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100">
    <w:lvl w:ilvl="0">
      <w:start w:val="1"/>
      <w:numFmt w:val="decimal"/>
      <w:pPr>
        <w:ind w:left="420" w:hanging="420"/>
      </w:pPr>
      <w:lvlText w:val="%1."/>
      <w:lvlJc w:val="left"/>
    </w:lvl>
  </w:abstractNum>
  <w:num w:numId="100">
    <w:abstractNumId w:val="100"/>
  </w:num>
  <w:abstractNum w:abstractNumId="101">
    <w:lvl w:ilvl="0">
      <w:start w:val="1"/>
      <w:numFmt w:val="bullet"/>
      <w:pPr>
        <w:ind w:left="420" w:hanging="420"/>
      </w:pPr>
      <w:rPr>
        <w:rFonts w:ascii="Symbol" w:hAnsi="Symbol" w:hint="default"/>
      </w:rPr>
      <w:lvlText w:val="•"/>
      <w:lvlJc w:val="left"/>
    </w:lvl>
  </w:abstractNum>
  <w:num w:numId="101">
    <w:abstractNumId w:val="101"/>
  </w:num>
  <w:abstractNum w:abstractNumId="102">
    <w:lvl w:ilvl="0">
      <w:start w:val="1"/>
      <w:numFmt w:val="decimal"/>
      <w:pPr>
        <w:ind w:left="420" w:hanging="420"/>
      </w:pPr>
      <w:lvlText w:val="%1."/>
      <w:lvlJc w:val="left"/>
    </w:lvl>
  </w:abstractNum>
  <w:num w:numId="102">
    <w:abstractNumId w:val="10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="Times New Roman" w:hAnsi="Times New Roman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="Times New Roman" w:hAnsi="Times New Roman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60" w:line="240" w:lineRule="auto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40"/>
      <w:jc w:val="center"/>
    </w:pPr>
    <w:rPr>
      <w:rFonts w:ascii="Times New Roman" w:hAnsi="Times New Roman" w:eastAsia="楷体"/>
      <w:b w:val="0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80"/>
      <w:jc w:val="center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istText">
    <w:name w:val="ListText"/>
    <w:pPr>
      <w:spacing w:line="360" w:lineRule="auto" w:before="0" w:after="0"/>
      <w:ind w:firstLine="0" w:left="0"/>
    </w:pPr>
    <w:rPr>
      <w:rFonts w:ascii="Times New Roman" w:hAnsi="Times New Roman" w:eastAsia="宋体"/>
      <w:b w:val="0"/>
      <w:color w:val="000000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