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Spring实现数据库读写分离（一主多从）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配置多个连接池，分别对应多个数据库（其中，数据库搭建完成，完成主从复制）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Spring代码实现：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自定义数据源继承</w:t>
      </w:r>
      <w:r>
        <w:rPr>
          <w:rFonts w:hint="eastAsia" w:ascii="Courier New" w:hAnsi="Courier New"/>
          <w:color w:val="000000"/>
          <w:sz w:val="24"/>
          <w:highlight w:val="lightGray"/>
        </w:rPr>
        <w:t>AbstractRoutingDataSource</w:t>
      </w:r>
      <w:r>
        <w:rPr>
          <w:rFonts w:hint="eastAsia"/>
          <w:lang w:val="en-US" w:eastAsia="zh-CN"/>
        </w:rPr>
        <w:t>类，重写</w:t>
      </w:r>
      <w:r>
        <w:rPr>
          <w:rFonts w:hint="eastAsia" w:ascii="Courier New" w:hAnsi="Courier New"/>
          <w:color w:val="000000"/>
          <w:sz w:val="24"/>
          <w:highlight w:val="lightGray"/>
        </w:rPr>
        <w:t>determineCurrentLookupKey</w:t>
      </w:r>
      <w:r>
        <w:rPr>
          <w:rFonts w:hint="eastAsia" w:ascii="Courier New" w:hAnsi="Courier New"/>
          <w:color w:val="000000"/>
          <w:sz w:val="24"/>
          <w:highlight w:val="lightGray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和</w:t>
      </w:r>
      <w:r>
        <w:rPr>
          <w:rFonts w:hint="eastAsia" w:ascii="Courier New" w:hAnsi="Courier New"/>
          <w:color w:val="000000"/>
          <w:sz w:val="24"/>
          <w:highlight w:val="lightGray"/>
        </w:rPr>
        <w:t>afterPropertiesSet</w:t>
      </w:r>
      <w:r>
        <w:rPr>
          <w:rFonts w:hint="eastAsia"/>
          <w:lang w:val="en-US" w:eastAsia="zh-CN"/>
        </w:rPr>
        <w:t>方法</w:t>
      </w:r>
    </w:p>
    <w:p>
      <w:pPr>
        <w:ind w:firstLine="420" w:firstLineChars="0"/>
        <w:rPr>
          <w:rFonts w:hint="eastAsia" w:ascii="Courier New" w:hAnsi="Courier New"/>
          <w:color w:val="000000"/>
          <w:sz w:val="24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sz w:val="24"/>
          <w:highlight w:val="lightGray"/>
        </w:rPr>
        <w:t>determineCurrentLookupKey</w:t>
      </w:r>
      <w:r>
        <w:rPr>
          <w:rFonts w:hint="eastAsia" w:ascii="Courier New" w:hAnsi="Courier New"/>
          <w:color w:val="000000"/>
          <w:sz w:val="24"/>
          <w:highlight w:val="lightGray"/>
          <w:lang w:val="en-US" w:eastAsia="zh-CN"/>
        </w:rPr>
        <w:t xml:space="preserve"> 方法是确定使用具体数据源的方法。</w:t>
      </w:r>
    </w:p>
    <w:p>
      <w:pPr>
        <w:ind w:firstLine="420" w:firstLineChars="0"/>
        <w:rPr>
          <w:rFonts w:hint="eastAsia" w:ascii="Courier New" w:hAnsi="Courier New"/>
          <w:color w:val="000000"/>
          <w:sz w:val="24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sz w:val="24"/>
          <w:highlight w:val="lightGray"/>
        </w:rPr>
        <w:t>afterPropertiesSet</w:t>
      </w:r>
      <w:r>
        <w:rPr>
          <w:rFonts w:hint="eastAsia" w:ascii="Courier New" w:hAnsi="Courier New"/>
          <w:color w:val="000000"/>
          <w:sz w:val="24"/>
          <w:highlight w:val="lightGray"/>
          <w:lang w:val="en-US" w:eastAsia="zh-CN"/>
        </w:rPr>
        <w:t>方法执行时机（获取父类中已经加载好的数据源（map集合），这个map集合是自己在spring配置文件中配置的targetDataSources属性），这个方法主要是将未标识MASTER的key作为从库全部放到一个list集合中中。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自定义切面类，（需要将此切面类的优先级设置为最高，其中优先级1&gt;2&gt;3，所以越小优先级越高）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配置bean初始化此类，并将事务策略注入，将其中readonly的方法放到一个list集合中，在执行自己切面方法的时候判断切点那个方法是不是在这个集合中，如果是，则表示是读操作，那么就要从slave库读取，设置标志key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前面说主库的KEY是MASTER，从库其实叫什么都无所谓，因为这是一主多从的环境，不是主就是从，这些都仅是一个标志。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25742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/>
          <w:color w:val="000000"/>
          <w:sz w:val="24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这里的关键是使用ThreadLocal这个保存当前这个key，可以从切面方法一直传到动态数据源获取的那个方法</w:t>
      </w:r>
      <w:r>
        <w:rPr>
          <w:rFonts w:hint="eastAsia" w:ascii="Courier New" w:hAnsi="Courier New"/>
          <w:color w:val="000000"/>
          <w:sz w:val="24"/>
          <w:highlight w:val="lightGray"/>
        </w:rPr>
        <w:t>determineCurrentLookupKey</w:t>
      </w:r>
      <w:r>
        <w:rPr>
          <w:rFonts w:hint="eastAsia" w:ascii="Courier New" w:hAnsi="Courier New"/>
          <w:color w:val="000000"/>
          <w:sz w:val="24"/>
          <w:highlight w:val="lightGray"/>
          <w:lang w:val="en-US" w:eastAsia="zh-CN"/>
        </w:rPr>
        <w:t>方法</w:t>
      </w:r>
    </w:p>
    <w:p>
      <w:pPr>
        <w:rPr>
          <w:rFonts w:hint="eastAsia" w:ascii="Courier New" w:hAnsi="Courier New"/>
          <w:color w:val="000000"/>
          <w:sz w:val="24"/>
          <w:highlight w:val="lightGray"/>
          <w:lang w:val="en-US" w:eastAsia="zh-CN"/>
        </w:rPr>
      </w:pPr>
      <w:r>
        <w:drawing>
          <wp:inline distT="0" distB="0" distL="114300" distR="114300">
            <wp:extent cx="5268595" cy="2059305"/>
            <wp:effectExtent l="0" t="0" r="825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30151"/>
    <w:multiLevelType w:val="multilevel"/>
    <w:tmpl w:val="5883015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497A61"/>
    <w:rsid w:val="120A1D6E"/>
    <w:rsid w:val="15CC34AA"/>
    <w:rsid w:val="16DC5D0F"/>
    <w:rsid w:val="17B40B83"/>
    <w:rsid w:val="1A3732F1"/>
    <w:rsid w:val="219A38BC"/>
    <w:rsid w:val="23764A95"/>
    <w:rsid w:val="291A6C5A"/>
    <w:rsid w:val="32C57CE3"/>
    <w:rsid w:val="378637FD"/>
    <w:rsid w:val="3B120904"/>
    <w:rsid w:val="43DD688E"/>
    <w:rsid w:val="44254A43"/>
    <w:rsid w:val="47E37BB8"/>
    <w:rsid w:val="5F0454A4"/>
    <w:rsid w:val="62BB40C1"/>
    <w:rsid w:val="64F336C7"/>
    <w:rsid w:val="6C5B1D88"/>
    <w:rsid w:val="70C34418"/>
    <w:rsid w:val="7A0F07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Times New Roman" w:hAnsi="Times New Roman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 w:eastAsia="宋体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宋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rFonts w:eastAsia="宋体"/>
      <w:b/>
      <w:sz w:val="24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  <w:rPr>
      <w:rFonts w:ascii="Times New Roman" w:hAnsi="Times New Roman" w:eastAsia="宋体"/>
    </w:rPr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uiPriority w:val="0"/>
    <w:pPr>
      <w:jc w:val="left"/>
    </w:pPr>
    <w:rPr>
      <w:rFonts w:ascii="Times New Roman" w:hAnsi="Times New Roman" w:eastAsia="宋体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2017-06-08T09:06:00Z</dcterms:created>
  <dc:creator>whling</dc:creator>
  <cp:lastModifiedBy>whling</cp:lastModifiedBy>
  <dcterms:modified xsi:type="dcterms:W3CDTF">2017-06-08T09:40:17Z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