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7BC1E">
      <w:pPr>
        <w:spacing w:line="360" w:lineRule="auto"/>
        <w:ind w:firstLine="1800" w:firstLineChars="600"/>
        <w:rPr>
          <w:rFonts w:eastAsia="黑体"/>
          <w:sz w:val="30"/>
        </w:rPr>
      </w:pPr>
      <w:bookmarkStart w:id="1" w:name="_GoBack"/>
      <w:bookmarkEnd w:id="1"/>
      <w:r>
        <w:rPr>
          <w:rFonts w:ascii="Calibri" w:hAnsi="Calibri" w:eastAsia="黑体"/>
          <w:sz w:val="30"/>
          <w:szCs w:val="22"/>
        </w:rPr>
        <w:t>《</w:t>
      </w:r>
      <w:r>
        <w:rPr>
          <w:rFonts w:hint="eastAsia" w:ascii="Calibri" w:hAnsi="Calibri" w:eastAsia="黑体"/>
          <w:sz w:val="30"/>
          <w:szCs w:val="22"/>
        </w:rPr>
        <w:t>电路分析基础实验</w:t>
      </w:r>
      <w:r>
        <w:rPr>
          <w:rFonts w:ascii="Calibri" w:hAnsi="Calibri" w:eastAsia="黑体"/>
          <w:sz w:val="30"/>
          <w:szCs w:val="22"/>
        </w:rPr>
        <w:t xml:space="preserve">》 </w:t>
      </w:r>
      <w:r>
        <w:rPr>
          <w:rFonts w:hint="eastAsia" w:ascii="Calibri" w:hAnsi="Calibri" w:eastAsia="黑体"/>
          <w:sz w:val="30"/>
          <w:szCs w:val="22"/>
        </w:rPr>
        <w:t>课程教学</w:t>
      </w:r>
      <w:r>
        <w:rPr>
          <w:rFonts w:ascii="Calibri" w:hAnsi="Calibri" w:eastAsia="黑体"/>
          <w:sz w:val="30"/>
          <w:szCs w:val="22"/>
        </w:rPr>
        <w:t>大纲</w:t>
      </w:r>
      <w:r>
        <w:rPr>
          <w:rFonts w:eastAsia="黑体"/>
          <w:sz w:val="30"/>
        </w:rPr>
        <w:t xml:space="preserve"> </w:t>
      </w:r>
    </w:p>
    <w:p w14:paraId="535D6B75">
      <w:pPr>
        <w:pStyle w:val="11"/>
        <w:spacing w:line="360" w:lineRule="auto"/>
        <w:jc w:val="both"/>
        <w:rPr>
          <w:sz w:val="21"/>
          <w:szCs w:val="21"/>
        </w:rPr>
      </w:pPr>
      <w:r>
        <w:rPr>
          <w:rFonts w:eastAsia="黑体"/>
        </w:rPr>
        <w:t>一、课程基本信息</w:t>
      </w:r>
      <w:r>
        <w:rPr>
          <w:sz w:val="21"/>
          <w:szCs w:val="21"/>
        </w:rPr>
        <w:t xml:space="preserve"> </w:t>
      </w:r>
      <w:r>
        <w:rPr>
          <w:rFonts w:eastAsia="黑体"/>
          <w:color w:val="FF0000"/>
        </w:rPr>
        <w:t xml:space="preserve"> </w:t>
      </w:r>
    </w:p>
    <w:tbl>
      <w:tblPr>
        <w:tblStyle w:val="6"/>
        <w:tblW w:w="9043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544"/>
        <w:gridCol w:w="1559"/>
        <w:gridCol w:w="2551"/>
      </w:tblGrid>
      <w:tr w14:paraId="1AFA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5" w:hRule="atLeast"/>
        </w:trPr>
        <w:tc>
          <w:tcPr>
            <w:tcW w:w="1389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5DF6A0C">
            <w:pPr>
              <w:widowControl/>
              <w:jc w:val="center"/>
              <w:rPr>
                <w:rFonts w:ascii="黑体" w:hAnsi="黑体" w:eastAsia="黑体"/>
                <w:bCs/>
                <w:spacing w:val="-14"/>
                <w:sz w:val="24"/>
              </w:rPr>
            </w:pPr>
            <w:r>
              <w:rPr>
                <w:rFonts w:ascii="黑体" w:hAnsi="黑体" w:eastAsia="黑体"/>
                <w:bCs/>
                <w:sz w:val="24"/>
              </w:rPr>
              <w:t>课程名称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B05A318">
            <w:pPr>
              <w:pStyle w:val="2"/>
              <w:spacing w:line="240" w:lineRule="auto"/>
              <w:ind w:firstLine="0"/>
              <w:rPr>
                <w:rFonts w:hint="eastAsia"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bCs/>
                <w:sz w:val="24"/>
                <w:szCs w:val="24"/>
              </w:rPr>
              <w:t>中文：</w:t>
            </w:r>
            <w:r>
              <w:rPr>
                <w:rFonts w:hint="eastAsia" w:ascii="Times New Roman" w:hAnsi="Times New Roman" w:cs="Times New Roman"/>
                <w:bCs/>
                <w:szCs w:val="21"/>
              </w:rPr>
              <w:t>电路分析基础实验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0848722">
            <w:pPr>
              <w:pStyle w:val="2"/>
              <w:spacing w:line="240" w:lineRule="auto"/>
              <w:ind w:firstLine="0"/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bCs/>
                <w:sz w:val="24"/>
                <w:szCs w:val="24"/>
              </w:rPr>
              <w:t>课程编号</w:t>
            </w:r>
          </w:p>
        </w:tc>
        <w:tc>
          <w:tcPr>
            <w:tcW w:w="2551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7B2D3525">
            <w:pPr>
              <w:pStyle w:val="2"/>
              <w:spacing w:line="240" w:lineRule="auto"/>
              <w:ind w:firstLine="0"/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</w:p>
        </w:tc>
      </w:tr>
      <w:tr w14:paraId="03467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1" w:hRule="atLeast"/>
        </w:trPr>
        <w:tc>
          <w:tcPr>
            <w:tcW w:w="1389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591EAE8">
            <w:pPr>
              <w:pStyle w:val="2"/>
              <w:spacing w:line="240" w:lineRule="auto"/>
              <w:ind w:firstLine="0"/>
              <w:jc w:val="center"/>
              <w:rPr>
                <w:rFonts w:ascii="黑体" w:hAnsi="黑体" w:eastAsia="黑体" w:cs="Times New Roman"/>
                <w:bCs/>
                <w:spacing w:val="-14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37E396D">
            <w:pPr>
              <w:pStyle w:val="2"/>
              <w:spacing w:line="240" w:lineRule="auto"/>
              <w:ind w:firstLine="0"/>
              <w:rPr>
                <w:rFonts w:hint="eastAsia"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bCs/>
                <w:sz w:val="24"/>
                <w:szCs w:val="24"/>
              </w:rPr>
              <w:t>英文：</w:t>
            </w:r>
            <w:r>
              <w:rPr>
                <w:rFonts w:ascii="Times New Roman" w:hAnsi="Times New Roman" w:cs="Times New Roman"/>
                <w:szCs w:val="21"/>
              </w:rPr>
              <w:t>Experimental Fundamentals of Circuit Analysis</w:t>
            </w:r>
          </w:p>
        </w:tc>
        <w:tc>
          <w:tcPr>
            <w:tcW w:w="155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DFDC4F2">
            <w:pPr>
              <w:pStyle w:val="2"/>
              <w:spacing w:line="240" w:lineRule="auto"/>
              <w:ind w:firstLine="0"/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6CFDD59">
            <w:pPr>
              <w:pStyle w:val="2"/>
              <w:spacing w:line="240" w:lineRule="auto"/>
              <w:ind w:firstLine="0"/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</w:p>
        </w:tc>
      </w:tr>
      <w:tr w14:paraId="0EEB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40" w:hRule="atLeast"/>
        </w:trPr>
        <w:tc>
          <w:tcPr>
            <w:tcW w:w="13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CDB9316">
            <w:pPr>
              <w:widowControl/>
              <w:jc w:val="center"/>
              <w:rPr>
                <w:rFonts w:ascii="黑体" w:hAnsi="黑体" w:eastAsia="黑体"/>
                <w:bCs/>
                <w:sz w:val="24"/>
                <w:highlight w:val="yellow"/>
              </w:rPr>
            </w:pPr>
            <w:r>
              <w:rPr>
                <w:rFonts w:ascii="黑体" w:hAnsi="黑体" w:eastAsia="黑体"/>
                <w:bCs/>
                <w:sz w:val="24"/>
              </w:rPr>
              <w:t>学分/学时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12B51A5">
            <w:pPr>
              <w:pStyle w:val="2"/>
              <w:spacing w:line="240" w:lineRule="auto"/>
              <w:ind w:firstLine="0"/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0.5学分</w:t>
            </w:r>
            <w:r>
              <w:rPr>
                <w:rFonts w:ascii="Times New Roman" w:hAnsi="Times New Roman" w:cs="Times New Roman"/>
                <w:szCs w:val="21"/>
              </w:rPr>
              <w:t>/12学时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07E4722">
            <w:pPr>
              <w:pStyle w:val="2"/>
              <w:spacing w:line="240" w:lineRule="auto"/>
              <w:ind w:firstLine="0"/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bCs/>
                <w:sz w:val="24"/>
                <w:szCs w:val="24"/>
              </w:rPr>
              <w:t>开课学期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73594BD">
            <w:pPr>
              <w:pStyle w:val="2"/>
              <w:spacing w:line="240" w:lineRule="auto"/>
              <w:ind w:firstLine="0"/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bCs/>
                <w:sz w:val="24"/>
                <w:szCs w:val="24"/>
              </w:rPr>
              <w:t>2</w:t>
            </w:r>
          </w:p>
        </w:tc>
      </w:tr>
      <w:tr w14:paraId="49ADE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40" w:hRule="atLeast"/>
        </w:trPr>
        <w:tc>
          <w:tcPr>
            <w:tcW w:w="13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1CF025F">
            <w:pPr>
              <w:widowControl/>
              <w:jc w:val="center"/>
              <w:rPr>
                <w:rFonts w:hint="eastAsia" w:ascii="黑体" w:hAnsi="黑体" w:eastAsia="黑体"/>
                <w:bCs/>
                <w:sz w:val="24"/>
              </w:rPr>
            </w:pPr>
            <w:r>
              <w:rPr>
                <w:rFonts w:hint="eastAsia" w:ascii="黑体" w:hAnsi="黑体" w:eastAsia="黑体"/>
                <w:bCs/>
                <w:sz w:val="24"/>
              </w:rPr>
              <w:t>适用专业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48E7972">
            <w:pPr>
              <w:widowControl/>
              <w:jc w:val="center"/>
              <w:rPr>
                <w:rFonts w:hint="eastAsia" w:ascii="黑体" w:hAnsi="黑体" w:eastAsia="黑体"/>
                <w:bCs/>
                <w:color w:val="000000"/>
                <w:sz w:val="24"/>
              </w:rPr>
            </w:pPr>
            <w:r>
              <w:rPr>
                <w:rFonts w:hint="eastAsia"/>
                <w:szCs w:val="21"/>
              </w:rPr>
              <w:t>邮政工程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03D6212">
            <w:pPr>
              <w:widowControl/>
              <w:jc w:val="center"/>
              <w:rPr>
                <w:rFonts w:hint="eastAsia" w:ascii="黑体" w:hAnsi="黑体" w:eastAsia="黑体"/>
                <w:bCs/>
                <w:color w:val="000000"/>
                <w:sz w:val="24"/>
              </w:rPr>
            </w:pPr>
            <w:r>
              <w:rPr>
                <w:rFonts w:hint="eastAsia" w:ascii="黑体" w:hAnsi="黑体" w:eastAsia="黑体"/>
                <w:bCs/>
                <w:color w:val="000000"/>
                <w:sz w:val="24"/>
              </w:rPr>
              <w:t>课程属性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25D9F43">
            <w:pPr>
              <w:widowControl/>
              <w:jc w:val="center"/>
              <w:rPr>
                <w:rFonts w:hint="eastAsia" w:ascii="黑体" w:hAnsi="黑体" w:eastAsia="黑体"/>
                <w:bCs/>
                <w:color w:val="000000"/>
                <w:sz w:val="24"/>
              </w:rPr>
            </w:pPr>
            <w:r>
              <w:rPr>
                <w:rFonts w:ascii="黑体" w:hAnsi="黑体" w:eastAsia="黑体"/>
                <w:bCs/>
                <w:sz w:val="24"/>
              </w:rPr>
              <w:t>必修（</w:t>
            </w:r>
            <w:r>
              <w:rPr>
                <w:rFonts w:hint="eastAsia" w:ascii="黑体" w:hAnsi="黑体" w:eastAsia="黑体"/>
                <w:bCs/>
                <w:sz w:val="24"/>
              </w:rPr>
              <w:t>√</w:t>
            </w:r>
            <w:r>
              <w:rPr>
                <w:rFonts w:ascii="黑体" w:hAnsi="黑体" w:eastAsia="黑体"/>
                <w:bCs/>
                <w:sz w:val="24"/>
              </w:rPr>
              <w:t>）</w:t>
            </w:r>
            <w:r>
              <w:rPr>
                <w:rFonts w:hint="eastAsia" w:ascii="黑体" w:hAnsi="黑体" w:eastAsia="黑体"/>
                <w:bCs/>
                <w:sz w:val="24"/>
              </w:rPr>
              <w:t>/</w:t>
            </w:r>
            <w:r>
              <w:rPr>
                <w:rFonts w:ascii="黑体" w:hAnsi="黑体" w:eastAsia="黑体"/>
                <w:bCs/>
                <w:sz w:val="24"/>
              </w:rPr>
              <w:t xml:space="preserve"> 选修（</w:t>
            </w:r>
            <w:r>
              <w:rPr>
                <w:rFonts w:hint="eastAsia" w:ascii="黑体" w:hAnsi="黑体" w:eastAsia="黑体"/>
                <w:bCs/>
                <w:sz w:val="24"/>
              </w:rPr>
              <w:t xml:space="preserve"> </w:t>
            </w:r>
            <w:r>
              <w:rPr>
                <w:rFonts w:ascii="黑体" w:hAnsi="黑体" w:eastAsia="黑体"/>
                <w:bCs/>
                <w:sz w:val="24"/>
              </w:rPr>
              <w:t>）</w:t>
            </w:r>
          </w:p>
        </w:tc>
      </w:tr>
      <w:tr w14:paraId="5AC28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40" w:hRule="atLeast"/>
        </w:trPr>
        <w:tc>
          <w:tcPr>
            <w:tcW w:w="1389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FE627F5">
            <w:pPr>
              <w:widowControl/>
              <w:jc w:val="center"/>
              <w:rPr>
                <w:rFonts w:hint="eastAsia" w:ascii="黑体" w:hAnsi="黑体" w:eastAsia="黑体"/>
                <w:bCs/>
                <w:sz w:val="24"/>
              </w:rPr>
            </w:pPr>
            <w:r>
              <w:rPr>
                <w:rFonts w:hint="eastAsia" w:ascii="黑体" w:hAnsi="黑体" w:eastAsia="黑体"/>
                <w:bCs/>
                <w:sz w:val="24"/>
              </w:rPr>
              <w:t>课程类别</w:t>
            </w:r>
          </w:p>
        </w:tc>
        <w:tc>
          <w:tcPr>
            <w:tcW w:w="76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78098A1">
            <w:pPr>
              <w:widowControl/>
              <w:jc w:val="center"/>
              <w:rPr>
                <w:rFonts w:hint="eastAsia" w:ascii="黑体" w:hAnsi="黑体" w:eastAsia="黑体"/>
                <w:bCs/>
                <w:sz w:val="24"/>
              </w:rPr>
            </w:pPr>
            <w:r>
              <w:rPr>
                <w:rFonts w:hint="eastAsia" w:ascii="黑体" w:hAnsi="黑体" w:eastAsia="黑体"/>
                <w:bCs/>
                <w:sz w:val="24"/>
              </w:rPr>
              <w:t>通识课程</w:t>
            </w:r>
            <w:r>
              <w:rPr>
                <w:rFonts w:ascii="黑体" w:hAnsi="黑体" w:eastAsia="黑体"/>
                <w:bCs/>
                <w:sz w:val="24"/>
              </w:rPr>
              <w:t>（</w:t>
            </w:r>
            <w:r>
              <w:rPr>
                <w:rFonts w:hint="eastAsia" w:ascii="黑体" w:hAnsi="黑体" w:eastAsia="黑体"/>
                <w:bCs/>
                <w:sz w:val="24"/>
              </w:rPr>
              <w:t xml:space="preserve"> </w:t>
            </w:r>
            <w:r>
              <w:rPr>
                <w:rFonts w:ascii="黑体" w:hAnsi="黑体" w:eastAsia="黑体"/>
                <w:bCs/>
                <w:sz w:val="24"/>
              </w:rPr>
              <w:t>）</w:t>
            </w:r>
            <w:r>
              <w:rPr>
                <w:rFonts w:hint="eastAsia" w:ascii="黑体" w:hAnsi="黑体" w:eastAsia="黑体"/>
                <w:bCs/>
                <w:sz w:val="24"/>
              </w:rPr>
              <w:t>/</w:t>
            </w:r>
            <w:r>
              <w:rPr>
                <w:rFonts w:ascii="黑体" w:hAnsi="黑体" w:eastAsia="黑体"/>
                <w:bCs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bCs/>
                <w:sz w:val="24"/>
              </w:rPr>
              <w:t>专业课程</w:t>
            </w:r>
            <w:r>
              <w:rPr>
                <w:rFonts w:ascii="黑体" w:hAnsi="黑体" w:eastAsia="黑体"/>
                <w:bCs/>
                <w:sz w:val="24"/>
              </w:rPr>
              <w:t>（</w:t>
            </w:r>
            <w:r>
              <w:rPr>
                <w:rFonts w:hint="eastAsia" w:ascii="黑体" w:hAnsi="黑体" w:eastAsia="黑体"/>
                <w:bCs/>
                <w:sz w:val="24"/>
              </w:rPr>
              <w:t>√</w:t>
            </w:r>
            <w:r>
              <w:rPr>
                <w:rFonts w:ascii="黑体" w:hAnsi="黑体" w:eastAsia="黑体"/>
                <w:bCs/>
                <w:sz w:val="24"/>
              </w:rPr>
              <w:t>）</w:t>
            </w:r>
          </w:p>
        </w:tc>
      </w:tr>
      <w:tr w14:paraId="71A47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40" w:hRule="atLeast"/>
        </w:trPr>
        <w:tc>
          <w:tcPr>
            <w:tcW w:w="1389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6E0D662">
            <w:pPr>
              <w:widowControl/>
              <w:jc w:val="center"/>
              <w:rPr>
                <w:rFonts w:hint="eastAsia" w:ascii="黑体" w:hAnsi="黑体" w:eastAsia="黑体"/>
                <w:bCs/>
                <w:sz w:val="24"/>
              </w:rPr>
            </w:pPr>
          </w:p>
        </w:tc>
        <w:tc>
          <w:tcPr>
            <w:tcW w:w="76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5701D8C">
            <w:pPr>
              <w:widowControl/>
              <w:jc w:val="center"/>
              <w:rPr>
                <w:rFonts w:hint="eastAsia" w:ascii="黑体" w:hAnsi="黑体" w:eastAsia="黑体"/>
                <w:bCs/>
                <w:color w:val="000000"/>
                <w:sz w:val="24"/>
              </w:rPr>
            </w:pPr>
            <w:r>
              <w:rPr>
                <w:rFonts w:hint="eastAsia" w:ascii="黑体" w:hAnsi="黑体" w:eastAsia="黑体"/>
                <w:bCs/>
                <w:color w:val="000000"/>
                <w:sz w:val="24"/>
              </w:rPr>
              <w:t>理论课程</w:t>
            </w:r>
            <w:r>
              <w:rPr>
                <w:rFonts w:ascii="黑体" w:hAnsi="黑体" w:eastAsia="黑体"/>
                <w:bCs/>
                <w:sz w:val="24"/>
              </w:rPr>
              <w:t>（</w:t>
            </w:r>
            <w:r>
              <w:rPr>
                <w:rFonts w:hint="eastAsia" w:ascii="黑体" w:hAnsi="黑体" w:eastAsia="黑体"/>
                <w:bCs/>
                <w:sz w:val="24"/>
              </w:rPr>
              <w:t xml:space="preserve"> </w:t>
            </w:r>
            <w:r>
              <w:rPr>
                <w:rFonts w:ascii="黑体" w:hAnsi="黑体" w:eastAsia="黑体"/>
                <w:bCs/>
                <w:sz w:val="24"/>
              </w:rPr>
              <w:t>）</w:t>
            </w:r>
            <w:r>
              <w:rPr>
                <w:rFonts w:hint="eastAsia" w:ascii="黑体" w:hAnsi="黑体" w:eastAsia="黑体"/>
                <w:bCs/>
                <w:color w:val="000000"/>
                <w:sz w:val="24"/>
              </w:rPr>
              <w:t>/</w:t>
            </w:r>
            <w:r>
              <w:rPr>
                <w:rFonts w:ascii="黑体" w:hAnsi="黑体" w:eastAsia="黑体"/>
                <w:bCs/>
                <w:color w:val="000000"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bCs/>
                <w:color w:val="000000"/>
                <w:sz w:val="24"/>
              </w:rPr>
              <w:t>实践课程</w:t>
            </w:r>
            <w:r>
              <w:rPr>
                <w:rFonts w:ascii="黑体" w:hAnsi="黑体" w:eastAsia="黑体"/>
                <w:bCs/>
                <w:sz w:val="24"/>
              </w:rPr>
              <w:t>（</w:t>
            </w:r>
            <w:r>
              <w:rPr>
                <w:rFonts w:hint="eastAsia" w:ascii="黑体" w:hAnsi="黑体" w:eastAsia="黑体"/>
                <w:bCs/>
                <w:sz w:val="24"/>
              </w:rPr>
              <w:t>√</w:t>
            </w:r>
            <w:r>
              <w:rPr>
                <w:rFonts w:ascii="黑体" w:hAnsi="黑体" w:eastAsia="黑体"/>
                <w:bCs/>
                <w:sz w:val="24"/>
              </w:rPr>
              <w:t>）</w:t>
            </w:r>
          </w:p>
        </w:tc>
      </w:tr>
      <w:tr w14:paraId="60EA8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40" w:hRule="atLeast"/>
        </w:trPr>
        <w:tc>
          <w:tcPr>
            <w:tcW w:w="13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8F3EA0D">
            <w:pPr>
              <w:widowControl/>
              <w:jc w:val="center"/>
              <w:rPr>
                <w:rFonts w:ascii="黑体" w:hAnsi="黑体" w:eastAsia="黑体"/>
                <w:bCs/>
                <w:sz w:val="24"/>
              </w:rPr>
            </w:pPr>
            <w:r>
              <w:rPr>
                <w:rFonts w:ascii="黑体" w:hAnsi="黑体" w:eastAsia="黑体"/>
                <w:bCs/>
                <w:sz w:val="24"/>
              </w:rPr>
              <w:t>先修课程</w:t>
            </w:r>
          </w:p>
        </w:tc>
        <w:tc>
          <w:tcPr>
            <w:tcW w:w="76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5A6FCDC">
            <w:pPr>
              <w:widowControl/>
              <w:jc w:val="center"/>
              <w:rPr>
                <w:rFonts w:hint="eastAsia" w:ascii="黑体" w:hAnsi="黑体" w:eastAsia="黑体"/>
                <w:bCs/>
                <w:color w:val="000000"/>
                <w:sz w:val="24"/>
              </w:rPr>
            </w:pPr>
            <w:r>
              <w:rPr>
                <w:bCs/>
                <w:szCs w:val="28"/>
              </w:rPr>
              <w:t>电路分析基础</w:t>
            </w:r>
          </w:p>
        </w:tc>
      </w:tr>
    </w:tbl>
    <w:p w14:paraId="6BB344B4">
      <w:pPr>
        <w:spacing w:line="360" w:lineRule="auto"/>
        <w:rPr>
          <w:rFonts w:hint="eastAsia" w:eastAsia="黑体"/>
          <w:sz w:val="24"/>
        </w:rPr>
      </w:pPr>
      <w:r>
        <w:rPr>
          <w:rFonts w:eastAsia="黑体"/>
          <w:sz w:val="24"/>
        </w:rPr>
        <w:t>二、</w:t>
      </w:r>
      <w:r>
        <w:rPr>
          <w:rFonts w:hint="eastAsia" w:eastAsia="黑体"/>
          <w:sz w:val="24"/>
        </w:rPr>
        <w:t>课程目标</w:t>
      </w:r>
    </w:p>
    <w:p w14:paraId="568434DF">
      <w:pPr>
        <w:pStyle w:val="11"/>
        <w:spacing w:line="360" w:lineRule="auto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本课程是支撑自动化类专业毕业要求的重要课程之一，主要支撑邮政工程专业培养方案中毕业要求的第三、四</w:t>
      </w:r>
      <w:r>
        <w:rPr>
          <w:sz w:val="21"/>
          <w:szCs w:val="21"/>
        </w:rPr>
        <w:t>、</w:t>
      </w:r>
      <w:r>
        <w:rPr>
          <w:rFonts w:hint="eastAsia"/>
          <w:sz w:val="21"/>
          <w:szCs w:val="21"/>
        </w:rPr>
        <w:t>五项，即</w:t>
      </w:r>
      <w:r>
        <w:rPr>
          <w:rFonts w:hint="eastAsia"/>
          <w:b/>
          <w:sz w:val="21"/>
          <w:szCs w:val="21"/>
        </w:rPr>
        <w:t>毕业要求指标点3.</w:t>
      </w:r>
      <w:r>
        <w:rPr>
          <w:b/>
          <w:sz w:val="21"/>
          <w:szCs w:val="21"/>
        </w:rPr>
        <w:t>2</w:t>
      </w:r>
      <w:r>
        <w:rPr>
          <w:rFonts w:hint="eastAsia"/>
          <w:b/>
          <w:sz w:val="21"/>
          <w:szCs w:val="21"/>
        </w:rPr>
        <w:t>、毕业要求指标点</w:t>
      </w:r>
      <w:r>
        <w:rPr>
          <w:b/>
          <w:sz w:val="21"/>
          <w:szCs w:val="21"/>
        </w:rPr>
        <w:t>4</w:t>
      </w:r>
      <w:r>
        <w:rPr>
          <w:rFonts w:hint="eastAsia"/>
          <w:b/>
          <w:sz w:val="21"/>
          <w:szCs w:val="21"/>
        </w:rPr>
        <w:t>.2、毕业要求指标点</w:t>
      </w:r>
      <w:r>
        <w:rPr>
          <w:b/>
          <w:sz w:val="21"/>
          <w:szCs w:val="21"/>
        </w:rPr>
        <w:t>4</w:t>
      </w:r>
      <w:r>
        <w:rPr>
          <w:rFonts w:hint="eastAsia"/>
          <w:b/>
          <w:sz w:val="21"/>
          <w:szCs w:val="21"/>
        </w:rPr>
        <w:t>.</w:t>
      </w:r>
      <w:r>
        <w:rPr>
          <w:b/>
          <w:sz w:val="21"/>
          <w:szCs w:val="21"/>
        </w:rPr>
        <w:t>3</w:t>
      </w:r>
      <w:r>
        <w:rPr>
          <w:rFonts w:hint="eastAsia"/>
          <w:b/>
          <w:sz w:val="21"/>
          <w:szCs w:val="21"/>
        </w:rPr>
        <w:t>、毕业要求指标点5.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>。简要描述如下：</w:t>
      </w:r>
    </w:p>
    <w:p w14:paraId="3DC60193">
      <w:pPr>
        <w:pStyle w:val="11"/>
        <w:spacing w:line="360" w:lineRule="auto"/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课程目标1：</w:t>
      </w:r>
      <w:r>
        <w:rPr>
          <w:sz w:val="21"/>
          <w:szCs w:val="21"/>
        </w:rPr>
        <w:t>能够针对</w:t>
      </w:r>
      <w:r>
        <w:rPr>
          <w:rFonts w:hint="eastAsia"/>
          <w:sz w:val="21"/>
          <w:szCs w:val="21"/>
        </w:rPr>
        <w:t>邮政工程</w:t>
      </w:r>
      <w:r>
        <w:rPr>
          <w:sz w:val="21"/>
          <w:szCs w:val="21"/>
        </w:rPr>
        <w:t>领域复杂工程问题中的特定需求，确定设计目标，</w:t>
      </w:r>
      <w:r>
        <w:rPr>
          <w:rFonts w:hint="eastAsia"/>
          <w:sz w:val="21"/>
          <w:szCs w:val="21"/>
        </w:rPr>
        <w:t>利用专业知识</w:t>
      </w:r>
      <w:r>
        <w:rPr>
          <w:sz w:val="21"/>
          <w:szCs w:val="21"/>
        </w:rPr>
        <w:t>完成</w:t>
      </w:r>
      <w:r>
        <w:rPr>
          <w:rFonts w:hint="eastAsia"/>
          <w:sz w:val="21"/>
          <w:szCs w:val="21"/>
        </w:rPr>
        <w:t>满足特定指标要求的</w:t>
      </w:r>
      <w:r>
        <w:rPr>
          <w:sz w:val="21"/>
          <w:szCs w:val="21"/>
        </w:rPr>
        <w:t>各单元(部件)的设计与开发</w:t>
      </w:r>
      <w:r>
        <w:rPr>
          <w:rFonts w:hint="eastAsia"/>
          <w:sz w:val="21"/>
          <w:szCs w:val="21"/>
        </w:rPr>
        <w:t>；</w:t>
      </w:r>
    </w:p>
    <w:p w14:paraId="455F3CDD">
      <w:pPr>
        <w:pStyle w:val="11"/>
        <w:spacing w:line="360" w:lineRule="auto"/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课程目标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：能够根据邮政工程领域复杂工程对象特征，明确研究目标，选择研究路线，设计实验方案；</w:t>
      </w:r>
    </w:p>
    <w:p w14:paraId="4C3642C1">
      <w:pPr>
        <w:pStyle w:val="11"/>
        <w:spacing w:line="360" w:lineRule="auto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课程目标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：能够根据邮政工程领域复杂工程问题的实验方案，采用科学方法构建实验系统，并安全地开展实验，正确地观察、采集、整理实验数据；</w:t>
      </w:r>
    </w:p>
    <w:p w14:paraId="5150EBB8">
      <w:pPr>
        <w:pStyle w:val="11"/>
        <w:spacing w:line="360" w:lineRule="auto"/>
        <w:ind w:firstLine="420" w:firstLineChars="200"/>
        <w:rPr>
          <w:b/>
          <w:bCs/>
        </w:rPr>
      </w:pPr>
      <w:r>
        <w:rPr>
          <w:rFonts w:hint="eastAsia"/>
          <w:sz w:val="21"/>
          <w:szCs w:val="21"/>
        </w:rPr>
        <w:t>课程目标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>能够恰当地选择与使用现代</w:t>
      </w:r>
      <w:r>
        <w:rPr>
          <w:rFonts w:hint="eastAsia"/>
          <w:sz w:val="21"/>
          <w:szCs w:val="21"/>
        </w:rPr>
        <w:t>装备和智能终端</w:t>
      </w:r>
      <w:r>
        <w:rPr>
          <w:sz w:val="21"/>
          <w:szCs w:val="21"/>
        </w:rPr>
        <w:t>、软件工具、工程工具和专业模拟软件，对</w:t>
      </w:r>
      <w:r>
        <w:rPr>
          <w:rFonts w:hint="eastAsia"/>
          <w:sz w:val="21"/>
          <w:szCs w:val="21"/>
        </w:rPr>
        <w:t>邮政工程</w:t>
      </w:r>
      <w:r>
        <w:rPr>
          <w:sz w:val="21"/>
          <w:szCs w:val="21"/>
        </w:rPr>
        <w:t>领域的复杂工程问题进行分析、计算、仿真与设计。</w:t>
      </w:r>
    </w:p>
    <w:p w14:paraId="05E3072E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三、课程知识图谱（电子版二维码）</w:t>
      </w:r>
    </w:p>
    <w:p w14:paraId="5120C6CE">
      <w:pPr>
        <w:spacing w:line="360" w:lineRule="auto"/>
        <w:rPr>
          <w:b/>
          <w:bCs/>
          <w:sz w:val="24"/>
        </w:rPr>
      </w:pPr>
    </w:p>
    <w:p w14:paraId="19856B27">
      <w:pPr>
        <w:spacing w:before="156" w:beforeLines="50" w:line="360" w:lineRule="auto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四、课程与支撑的毕业要求</w:t>
      </w:r>
    </w:p>
    <w:p w14:paraId="66F1107D">
      <w:pPr>
        <w:spacing w:line="360" w:lineRule="auto"/>
        <w:ind w:firstLine="525" w:firstLineChars="250"/>
        <w:rPr>
          <w:color w:val="000000"/>
        </w:rPr>
      </w:pPr>
      <w:r>
        <w:rPr>
          <w:rFonts w:hint="eastAsia"/>
          <w:color w:val="000000"/>
        </w:rPr>
        <w:t>本课程是支撑邮政工程专业毕业要求的课程之一，主要支撑邮政工程专业培养方案中毕业要求中的第三点设计</w:t>
      </w:r>
      <w:r>
        <w:rPr>
          <w:color w:val="000000"/>
        </w:rPr>
        <w:t>/</w:t>
      </w:r>
      <w:r>
        <w:rPr>
          <w:rFonts w:hint="eastAsia"/>
          <w:color w:val="000000"/>
        </w:rPr>
        <w:t>开发解决方案，即</w:t>
      </w:r>
      <w:r>
        <w:rPr>
          <w:rFonts w:hint="eastAsia"/>
          <w:b/>
          <w:color w:val="000000"/>
        </w:rPr>
        <w:t>毕业要求指标点</w:t>
      </w:r>
      <w:r>
        <w:rPr>
          <w:b/>
          <w:color w:val="000000"/>
        </w:rPr>
        <w:t>3</w:t>
      </w:r>
      <w:r>
        <w:rPr>
          <w:rFonts w:hint="eastAsia"/>
          <w:b/>
          <w:color w:val="000000"/>
        </w:rPr>
        <w:t>.</w:t>
      </w:r>
      <w:r>
        <w:rPr>
          <w:b/>
          <w:color w:val="000000"/>
        </w:rPr>
        <w:t>2</w:t>
      </w:r>
      <w:r>
        <w:rPr>
          <w:rFonts w:hint="eastAsia"/>
          <w:color w:val="000000"/>
        </w:rPr>
        <w:t>、</w:t>
      </w:r>
      <w:r>
        <w:rPr>
          <w:rFonts w:hint="eastAsia"/>
          <w:b/>
          <w:color w:val="000000"/>
        </w:rPr>
        <w:t>毕业要求指标点4.2、毕业要求指标点4.</w:t>
      </w:r>
      <w:r>
        <w:rPr>
          <w:b/>
          <w:color w:val="000000"/>
        </w:rPr>
        <w:t>3</w:t>
      </w:r>
      <w:r>
        <w:rPr>
          <w:rFonts w:hint="eastAsia"/>
          <w:b/>
          <w:color w:val="000000"/>
        </w:rPr>
        <w:t>和毕业要求指标点5</w:t>
      </w:r>
      <w:r>
        <w:rPr>
          <w:b/>
          <w:color w:val="000000"/>
        </w:rPr>
        <w:t>.2</w:t>
      </w:r>
      <w:r>
        <w:rPr>
          <w:rFonts w:hint="eastAsia"/>
          <w:color w:val="000000"/>
        </w:rPr>
        <w:t>。</w:t>
      </w:r>
    </w:p>
    <w:p w14:paraId="0870B0E6">
      <w:pPr>
        <w:spacing w:before="156" w:beforeLines="50" w:after="156" w:afterLines="50"/>
        <w:ind w:firstLine="480"/>
        <w:rPr>
          <w:color w:val="000000"/>
        </w:rPr>
      </w:pPr>
      <w:r>
        <w:rPr>
          <w:color w:val="000000"/>
        </w:rPr>
        <w:t>本课程主要支撑的指标点及其与课程</w:t>
      </w:r>
      <w:r>
        <w:rPr>
          <w:rFonts w:hint="eastAsia"/>
          <w:color w:val="000000"/>
        </w:rPr>
        <w:t>目标</w:t>
      </w:r>
      <w:r>
        <w:rPr>
          <w:color w:val="000000"/>
        </w:rPr>
        <w:t>内容的对应关系示于表1。</w:t>
      </w:r>
    </w:p>
    <w:p w14:paraId="55072E5C">
      <w:pPr>
        <w:spacing w:line="360" w:lineRule="auto"/>
        <w:jc w:val="center"/>
        <w:rPr>
          <w:szCs w:val="21"/>
        </w:rPr>
      </w:pPr>
      <w:r>
        <w:rPr>
          <w:szCs w:val="21"/>
        </w:rPr>
        <w:t xml:space="preserve">表1  </w:t>
      </w:r>
      <w:r>
        <w:rPr>
          <w:rFonts w:hint="eastAsia"/>
          <w:szCs w:val="21"/>
        </w:rPr>
        <w:t>本课程主要支撑的指标点及其与课程目标内容的对应关系</w:t>
      </w:r>
    </w:p>
    <w:p w14:paraId="415272E7">
      <w:pPr>
        <w:spacing w:line="360" w:lineRule="auto"/>
        <w:ind w:firstLine="525" w:firstLineChars="250"/>
        <w:rPr>
          <w:rFonts w:hint="eastAsia"/>
          <w:color w:val="000000"/>
        </w:rPr>
      </w:pPr>
    </w:p>
    <w:p w14:paraId="0B6036EA">
      <w:pPr>
        <w:spacing w:line="360" w:lineRule="auto"/>
        <w:rPr>
          <w:szCs w:val="21"/>
        </w:rPr>
      </w:pP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3516"/>
        <w:gridCol w:w="1016"/>
        <w:gridCol w:w="2671"/>
        <w:gridCol w:w="1237"/>
      </w:tblGrid>
      <w:tr w14:paraId="7C5DC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4" w:hRule="atLeast"/>
        </w:trPr>
        <w:tc>
          <w:tcPr>
            <w:tcW w:w="456" w:type="pct"/>
            <w:shd w:val="clear" w:color="auto" w:fill="auto"/>
            <w:noWrap w:val="0"/>
            <w:vAlign w:val="center"/>
          </w:tcPr>
          <w:p w14:paraId="2C5495B0">
            <w:pPr>
              <w:widowControl/>
              <w:jc w:val="center"/>
              <w:rPr>
                <w:rFonts w:hAnsi="宋体"/>
                <w:b/>
                <w:bCs/>
              </w:rPr>
            </w:pPr>
            <w:r>
              <w:rPr>
                <w:rFonts w:hint="eastAsia" w:hAnsi="宋体"/>
                <w:b/>
                <w:bCs/>
              </w:rPr>
              <w:t>课程目标</w:t>
            </w:r>
          </w:p>
        </w:tc>
        <w:tc>
          <w:tcPr>
            <w:tcW w:w="1893" w:type="pct"/>
            <w:shd w:val="clear" w:color="auto" w:fill="auto"/>
            <w:noWrap w:val="0"/>
            <w:vAlign w:val="center"/>
          </w:tcPr>
          <w:p w14:paraId="3A4B8836">
            <w:pPr>
              <w:widowControl/>
              <w:jc w:val="center"/>
              <w:rPr>
                <w:rFonts w:hAnsi="宋体"/>
                <w:b/>
                <w:bCs/>
              </w:rPr>
            </w:pPr>
            <w:r>
              <w:rPr>
                <w:rFonts w:hint="eastAsia" w:hAnsi="宋体"/>
                <w:b/>
                <w:bCs/>
              </w:rPr>
              <w:t>课程目标内容</w:t>
            </w:r>
          </w:p>
        </w:tc>
        <w:tc>
          <w:tcPr>
            <w:tcW w:w="547" w:type="pct"/>
            <w:shd w:val="clear" w:color="auto" w:fill="auto"/>
            <w:noWrap/>
            <w:vAlign w:val="center"/>
          </w:tcPr>
          <w:p w14:paraId="73C56BA4">
            <w:pPr>
              <w:widowControl/>
              <w:jc w:val="center"/>
              <w:rPr>
                <w:rFonts w:hAnsi="宋体"/>
                <w:b/>
                <w:bCs/>
              </w:rPr>
            </w:pPr>
            <w:r>
              <w:rPr>
                <w:rFonts w:hint="eastAsia" w:hAnsi="宋体"/>
                <w:b/>
                <w:bCs/>
              </w:rPr>
              <w:t>指标点</w:t>
            </w:r>
          </w:p>
        </w:tc>
        <w:tc>
          <w:tcPr>
            <w:tcW w:w="1438" w:type="pct"/>
            <w:noWrap w:val="0"/>
            <w:vAlign w:val="center"/>
          </w:tcPr>
          <w:p w14:paraId="468B24FB">
            <w:pPr>
              <w:widowControl/>
              <w:jc w:val="center"/>
              <w:rPr>
                <w:rFonts w:hAnsi="宋体"/>
                <w:b/>
                <w:bCs/>
              </w:rPr>
            </w:pPr>
            <w:r>
              <w:rPr>
                <w:rFonts w:hint="eastAsia" w:hAnsi="宋体"/>
                <w:b/>
                <w:bCs/>
              </w:rPr>
              <w:t>达成途径</w:t>
            </w:r>
          </w:p>
        </w:tc>
        <w:tc>
          <w:tcPr>
            <w:tcW w:w="666" w:type="pct"/>
            <w:noWrap w:val="0"/>
            <w:vAlign w:val="center"/>
          </w:tcPr>
          <w:p w14:paraId="68AD6F7E">
            <w:pPr>
              <w:widowControl/>
              <w:jc w:val="center"/>
              <w:rPr>
                <w:rFonts w:hAnsi="宋体"/>
                <w:b/>
                <w:bCs/>
              </w:rPr>
            </w:pPr>
            <w:r>
              <w:rPr>
                <w:rFonts w:hint="eastAsia" w:hAnsi="宋体"/>
                <w:b/>
                <w:bCs/>
              </w:rPr>
              <w:t>评价依据</w:t>
            </w:r>
          </w:p>
        </w:tc>
      </w:tr>
      <w:tr w14:paraId="45CFC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391" w:hRule="atLeast"/>
        </w:trPr>
        <w:tc>
          <w:tcPr>
            <w:tcW w:w="456" w:type="pct"/>
            <w:shd w:val="clear" w:color="auto" w:fill="auto"/>
            <w:noWrap/>
            <w:vAlign w:val="center"/>
          </w:tcPr>
          <w:p w14:paraId="0BF7A435">
            <w:pPr>
              <w:widowControl/>
              <w:jc w:val="center"/>
              <w:rPr>
                <w:rFonts w:hAnsi="宋体"/>
                <w:bCs/>
              </w:rPr>
            </w:pPr>
            <w:r>
              <w:rPr>
                <w:rFonts w:hint="eastAsia" w:hAnsi="宋体"/>
                <w:bCs/>
              </w:rPr>
              <w:t>目标1</w:t>
            </w:r>
          </w:p>
        </w:tc>
        <w:tc>
          <w:tcPr>
            <w:tcW w:w="1893" w:type="pct"/>
            <w:shd w:val="clear" w:color="auto" w:fill="auto"/>
            <w:noWrap w:val="0"/>
            <w:vAlign w:val="center"/>
          </w:tcPr>
          <w:p w14:paraId="57BFBBDD">
            <w:pPr>
              <w:widowControl/>
              <w:jc w:val="left"/>
              <w:rPr>
                <w:bCs/>
              </w:rPr>
            </w:pPr>
            <w:r>
              <w:rPr>
                <w:rFonts w:hint="eastAsia"/>
              </w:rPr>
              <w:t>1、</w:t>
            </w:r>
            <w:r>
              <w:t>具有</w:t>
            </w:r>
            <w:r>
              <w:rPr>
                <w:rFonts w:hint="eastAsia"/>
              </w:rPr>
              <w:t>电子电路基础实验</w:t>
            </w:r>
            <w:r>
              <w:t>等</w:t>
            </w:r>
            <w:r>
              <w:rPr>
                <w:rFonts w:hint="eastAsia"/>
              </w:rPr>
              <w:t>方面</w:t>
            </w:r>
            <w:r>
              <w:t>的专业基础知识，能够将这些知识用于解决</w:t>
            </w:r>
            <w:r>
              <w:rPr>
                <w:rFonts w:hint="eastAsia"/>
              </w:rPr>
              <w:t>电子电路基础实验的</w:t>
            </w:r>
            <w:r>
              <w:t>复杂工程问题</w:t>
            </w:r>
            <w:r>
              <w:rPr>
                <w:rFonts w:hint="eastAsia"/>
              </w:rPr>
              <w:t>，通过对典型电子电路如晶体管放大器、集成运算放大器应用电路、差分放大器、功率放大器等电路的设计、安装和调测，引导学生运用理论知识指导实践，掌握实际电路的设计方法和调测技能，促使学生对相关电路理论加深理解、熟练掌握和灵活运用。</w:t>
            </w:r>
          </w:p>
        </w:tc>
        <w:tc>
          <w:tcPr>
            <w:tcW w:w="547" w:type="pct"/>
            <w:shd w:val="clear" w:color="auto" w:fill="auto"/>
            <w:noWrap w:val="0"/>
            <w:vAlign w:val="center"/>
          </w:tcPr>
          <w:p w14:paraId="7DDC6A47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.2</w:t>
            </w:r>
          </w:p>
          <w:p w14:paraId="2DD8C79E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.3</w:t>
            </w:r>
          </w:p>
        </w:tc>
        <w:tc>
          <w:tcPr>
            <w:tcW w:w="1438" w:type="pct"/>
            <w:vMerge w:val="restart"/>
            <w:noWrap w:val="0"/>
            <w:vAlign w:val="center"/>
          </w:tcPr>
          <w:p w14:paraId="19E20090">
            <w:pPr>
              <w:widowControl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、能够调试通过电路，描述清楚电路原理，对电路进行分解和细化（支撑点</w:t>
            </w:r>
            <w:r>
              <w:rPr>
                <w:szCs w:val="21"/>
              </w:rPr>
              <w:t>3.2</w:t>
            </w:r>
            <w:r>
              <w:rPr>
                <w:rFonts w:hint="eastAsia"/>
                <w:szCs w:val="21"/>
              </w:rPr>
              <w:t>）；</w:t>
            </w:r>
          </w:p>
          <w:p w14:paraId="40E3C513">
            <w:pPr>
              <w:widowControl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、能熟练使用仪器仪表观察分析电路的性能，正确观察并记录实验数据，并能用数据和图表记录所得到的数据并进行分析（支撑点</w:t>
            </w:r>
            <w:r>
              <w:rPr>
                <w:szCs w:val="21"/>
              </w:rPr>
              <w:t>4.2</w:t>
            </w:r>
            <w:r>
              <w:rPr>
                <w:rFonts w:hint="eastAsia"/>
                <w:szCs w:val="21"/>
              </w:rPr>
              <w:t>，支撑点</w:t>
            </w:r>
            <w:r>
              <w:rPr>
                <w:szCs w:val="21"/>
              </w:rPr>
              <w:t>5.2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;</w:t>
            </w:r>
          </w:p>
          <w:p w14:paraId="49479173">
            <w:pPr>
              <w:widowControl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、实验报告根据相应的实验内容进行数据总结和分析，得到有效的实验结论（支撑点</w:t>
            </w:r>
            <w:r>
              <w:rPr>
                <w:szCs w:val="21"/>
              </w:rPr>
              <w:t>4.3</w:t>
            </w:r>
            <w:r>
              <w:rPr>
                <w:rFonts w:hint="eastAsia"/>
                <w:szCs w:val="21"/>
              </w:rPr>
              <w:t>）。</w:t>
            </w:r>
          </w:p>
        </w:tc>
        <w:tc>
          <w:tcPr>
            <w:tcW w:w="666" w:type="pct"/>
            <w:noWrap w:val="0"/>
            <w:vAlign w:val="center"/>
          </w:tcPr>
          <w:p w14:paraId="3931DFF9">
            <w:pPr>
              <w:widowControl/>
              <w:rPr>
                <w:rFonts w:hAnsi="宋体"/>
                <w:bCs/>
              </w:rPr>
            </w:pPr>
            <w:r>
              <w:rPr>
                <w:rFonts w:hint="eastAsia"/>
                <w:szCs w:val="21"/>
              </w:rPr>
              <w:t>考核内容约占总成绩的</w:t>
            </w:r>
            <w:r>
              <w:rPr>
                <w:szCs w:val="21"/>
              </w:rPr>
              <w:t>25</w:t>
            </w:r>
            <w:r>
              <w:rPr>
                <w:rFonts w:hint="eastAsia"/>
                <w:szCs w:val="21"/>
              </w:rPr>
              <w:t>%，独立设计与完成相关实验。</w:t>
            </w:r>
          </w:p>
        </w:tc>
      </w:tr>
      <w:tr w14:paraId="2F89A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65" w:hRule="atLeast"/>
        </w:trPr>
        <w:tc>
          <w:tcPr>
            <w:tcW w:w="456" w:type="pct"/>
            <w:shd w:val="clear" w:color="auto" w:fill="auto"/>
            <w:noWrap/>
            <w:vAlign w:val="center"/>
          </w:tcPr>
          <w:p w14:paraId="5B2EE873">
            <w:pPr>
              <w:widowControl/>
              <w:jc w:val="center"/>
              <w:rPr>
                <w:rFonts w:hAnsi="宋体"/>
                <w:bCs/>
              </w:rPr>
            </w:pPr>
            <w:r>
              <w:rPr>
                <w:rFonts w:hint="eastAsia" w:hAnsi="宋体"/>
                <w:bCs/>
              </w:rPr>
              <w:t>目标2</w:t>
            </w:r>
          </w:p>
        </w:tc>
        <w:tc>
          <w:tcPr>
            <w:tcW w:w="1893" w:type="pct"/>
            <w:shd w:val="clear" w:color="auto" w:fill="auto"/>
            <w:noWrap w:val="0"/>
            <w:vAlign w:val="center"/>
          </w:tcPr>
          <w:p w14:paraId="47F035B9">
            <w:pPr>
              <w:widowControl/>
              <w:jc w:val="left"/>
              <w:rPr>
                <w:bCs/>
                <w:szCs w:val="21"/>
              </w:rPr>
            </w:pPr>
            <w:r>
              <w:rPr>
                <w:rFonts w:hint="eastAsia"/>
              </w:rPr>
              <w:t>2、</w:t>
            </w:r>
            <w:r>
              <w:t>能够应用</w:t>
            </w:r>
            <w:r>
              <w:rPr>
                <w:rFonts w:hint="eastAsia"/>
              </w:rPr>
              <w:t>电子电路基础实验</w:t>
            </w:r>
            <w:r>
              <w:t>的基本原理，识别、表达和分析</w:t>
            </w:r>
            <w:r>
              <w:rPr>
                <w:rFonts w:hint="eastAsia"/>
              </w:rPr>
              <w:t>相关系统</w:t>
            </w:r>
            <w:r>
              <w:t>复杂工程问题</w:t>
            </w:r>
            <w:r>
              <w:rPr>
                <w:rFonts w:hint="eastAsia"/>
              </w:rPr>
              <w:t>，根据实验结果整理实验数据，对</w:t>
            </w:r>
            <w:r>
              <w:t>实验结果进行分析。</w:t>
            </w:r>
          </w:p>
        </w:tc>
        <w:tc>
          <w:tcPr>
            <w:tcW w:w="547" w:type="pct"/>
            <w:shd w:val="clear" w:color="auto" w:fill="auto"/>
            <w:noWrap w:val="0"/>
            <w:vAlign w:val="center"/>
          </w:tcPr>
          <w:p w14:paraId="3A37CF74">
            <w:pPr>
              <w:widowControl/>
              <w:jc w:val="center"/>
              <w:rPr>
                <w:bCs/>
                <w:color w:val="FF0000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.2</w:t>
            </w:r>
          </w:p>
        </w:tc>
        <w:tc>
          <w:tcPr>
            <w:tcW w:w="1438" w:type="pct"/>
            <w:vMerge w:val="continue"/>
            <w:noWrap w:val="0"/>
            <w:vAlign w:val="center"/>
          </w:tcPr>
          <w:p w14:paraId="2E2FB334">
            <w:pPr>
              <w:widowControl/>
              <w:rPr>
                <w:color w:val="FF0000"/>
                <w:szCs w:val="21"/>
              </w:rPr>
            </w:pPr>
          </w:p>
        </w:tc>
        <w:tc>
          <w:tcPr>
            <w:tcW w:w="666" w:type="pct"/>
            <w:noWrap w:val="0"/>
            <w:vAlign w:val="center"/>
          </w:tcPr>
          <w:p w14:paraId="31F08040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考核内容约占总成绩的2</w:t>
            </w:r>
            <w:r>
              <w:rPr>
                <w:szCs w:val="21"/>
              </w:rPr>
              <w:t>5%</w:t>
            </w:r>
            <w:r>
              <w:rPr>
                <w:rFonts w:hint="eastAsia"/>
                <w:szCs w:val="21"/>
              </w:rPr>
              <w:t>，独立设计与完成相关实验</w:t>
            </w:r>
            <w:r>
              <w:rPr>
                <w:szCs w:val="21"/>
              </w:rPr>
              <w:t>。</w:t>
            </w:r>
          </w:p>
        </w:tc>
      </w:tr>
      <w:tr w14:paraId="7DD9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7" w:hRule="atLeast"/>
        </w:trPr>
        <w:tc>
          <w:tcPr>
            <w:tcW w:w="456" w:type="pct"/>
            <w:shd w:val="clear" w:color="auto" w:fill="auto"/>
            <w:noWrap/>
            <w:vAlign w:val="center"/>
          </w:tcPr>
          <w:p w14:paraId="64F8ECF1">
            <w:pPr>
              <w:widowControl/>
              <w:jc w:val="center"/>
              <w:rPr>
                <w:rFonts w:hAnsi="宋体"/>
                <w:bCs/>
              </w:rPr>
            </w:pPr>
            <w:r>
              <w:rPr>
                <w:rFonts w:hint="eastAsia" w:hAnsi="宋体"/>
                <w:bCs/>
              </w:rPr>
              <w:t>目标3</w:t>
            </w:r>
          </w:p>
        </w:tc>
        <w:tc>
          <w:tcPr>
            <w:tcW w:w="1893" w:type="pct"/>
            <w:shd w:val="clear" w:color="auto" w:fill="auto"/>
            <w:noWrap w:val="0"/>
            <w:vAlign w:val="center"/>
          </w:tcPr>
          <w:p w14:paraId="63E5070E">
            <w:pPr>
              <w:widowControl/>
              <w:jc w:val="left"/>
              <w:rPr>
                <w:bCs/>
                <w:kern w:val="0"/>
                <w:szCs w:val="21"/>
              </w:rPr>
            </w:pPr>
            <w:r>
              <w:rPr>
                <w:rFonts w:hint="eastAsia"/>
              </w:rPr>
              <w:t>3、引导学生在自主完成相关电路设计和调测任务的过程中，练习查阅相关资料文献，调研相关技术问题，从而培养自主学习意识，锻炼独立工作能力，建立终身学习理念。</w:t>
            </w:r>
          </w:p>
        </w:tc>
        <w:tc>
          <w:tcPr>
            <w:tcW w:w="547" w:type="pct"/>
            <w:shd w:val="clear" w:color="auto" w:fill="auto"/>
            <w:noWrap w:val="0"/>
            <w:vAlign w:val="center"/>
          </w:tcPr>
          <w:p w14:paraId="1DA3BB27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.3</w:t>
            </w:r>
          </w:p>
          <w:p w14:paraId="7DC0DA6E">
            <w:pPr>
              <w:widowControl/>
              <w:jc w:val="center"/>
              <w:rPr>
                <w:rFonts w:hAnsi="宋体"/>
                <w:bCs/>
                <w:color w:val="FF0000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.2</w:t>
            </w:r>
          </w:p>
        </w:tc>
        <w:tc>
          <w:tcPr>
            <w:tcW w:w="1438" w:type="pct"/>
            <w:vMerge w:val="continue"/>
            <w:noWrap w:val="0"/>
            <w:vAlign w:val="center"/>
          </w:tcPr>
          <w:p w14:paraId="316A5082"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666" w:type="pct"/>
            <w:noWrap w:val="0"/>
            <w:vAlign w:val="center"/>
          </w:tcPr>
          <w:p w14:paraId="527C0494">
            <w:pPr>
              <w:widowControl/>
              <w:rPr>
                <w:rFonts w:hAnsi="宋体"/>
                <w:bCs/>
              </w:rPr>
            </w:pPr>
            <w:r>
              <w:rPr>
                <w:rFonts w:hint="eastAsia"/>
                <w:szCs w:val="21"/>
              </w:rPr>
              <w:t>考核内容约占总成绩的2</w:t>
            </w:r>
            <w:r>
              <w:rPr>
                <w:szCs w:val="21"/>
              </w:rPr>
              <w:t>5%</w:t>
            </w:r>
            <w:r>
              <w:rPr>
                <w:rFonts w:hint="eastAsia"/>
                <w:szCs w:val="21"/>
              </w:rPr>
              <w:t>，独立设计与完成相关实验</w:t>
            </w:r>
            <w:r>
              <w:rPr>
                <w:szCs w:val="21"/>
              </w:rPr>
              <w:t>。</w:t>
            </w:r>
          </w:p>
        </w:tc>
      </w:tr>
      <w:tr w14:paraId="6D3D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7" w:hRule="atLeast"/>
        </w:trPr>
        <w:tc>
          <w:tcPr>
            <w:tcW w:w="456" w:type="pct"/>
            <w:shd w:val="clear" w:color="auto" w:fill="auto"/>
            <w:noWrap/>
            <w:vAlign w:val="center"/>
          </w:tcPr>
          <w:p w14:paraId="15D850B9">
            <w:pPr>
              <w:widowControl/>
              <w:jc w:val="center"/>
              <w:rPr>
                <w:rFonts w:hint="eastAsia" w:hAnsi="宋体"/>
                <w:bCs/>
              </w:rPr>
            </w:pPr>
            <w:r>
              <w:rPr>
                <w:rFonts w:hint="eastAsia" w:hAnsi="宋体"/>
                <w:bCs/>
              </w:rPr>
              <w:t>目标4</w:t>
            </w:r>
          </w:p>
        </w:tc>
        <w:tc>
          <w:tcPr>
            <w:tcW w:w="1893" w:type="pct"/>
            <w:shd w:val="clear" w:color="auto" w:fill="auto"/>
            <w:noWrap w:val="0"/>
            <w:vAlign w:val="center"/>
          </w:tcPr>
          <w:p w14:paraId="4CBC4A26">
            <w:pPr>
              <w:widowControl/>
              <w:jc w:val="left"/>
            </w:pPr>
            <w:r>
              <w:rPr>
                <w:rFonts w:hint="eastAsia"/>
              </w:rPr>
              <w:t>4、在教师的启发性指导下，学生通过解决电路安装调测过程中的各种问题，学习分析问题解决问题的思路和方法，提高分析问题解决问题的能力。同时引导学生养成良好的工作习惯、和严谨的工作作风。通过撰写实验报告、答辩交流，培养学生就专业问题进行书面和口头表达以及交流的能力。</w:t>
            </w:r>
          </w:p>
        </w:tc>
        <w:tc>
          <w:tcPr>
            <w:tcW w:w="547" w:type="pct"/>
            <w:shd w:val="clear" w:color="auto" w:fill="auto"/>
            <w:noWrap w:val="0"/>
            <w:vAlign w:val="center"/>
          </w:tcPr>
          <w:p w14:paraId="47686EA8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.2</w:t>
            </w:r>
          </w:p>
          <w:p w14:paraId="73B71F68">
            <w:pPr>
              <w:widowControl/>
              <w:jc w:val="center"/>
              <w:rPr>
                <w:rFonts w:hAnsi="宋体"/>
                <w:bCs/>
                <w:color w:val="FF0000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.2</w:t>
            </w:r>
          </w:p>
        </w:tc>
        <w:tc>
          <w:tcPr>
            <w:tcW w:w="1438" w:type="pct"/>
            <w:vMerge w:val="continue"/>
            <w:noWrap w:val="0"/>
            <w:vAlign w:val="center"/>
          </w:tcPr>
          <w:p w14:paraId="08164595">
            <w:pPr>
              <w:widowControl/>
              <w:jc w:val="left"/>
              <w:rPr>
                <w:rFonts w:hint="eastAsia"/>
                <w:szCs w:val="21"/>
              </w:rPr>
            </w:pPr>
          </w:p>
        </w:tc>
        <w:tc>
          <w:tcPr>
            <w:tcW w:w="666" w:type="pct"/>
            <w:noWrap w:val="0"/>
            <w:vAlign w:val="center"/>
          </w:tcPr>
          <w:p w14:paraId="1314CCD7">
            <w:pPr>
              <w:widowControl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考核内容约占总成绩的2</w:t>
            </w:r>
            <w:r>
              <w:rPr>
                <w:szCs w:val="21"/>
              </w:rPr>
              <w:t>5%</w:t>
            </w:r>
            <w:r>
              <w:rPr>
                <w:rFonts w:hint="eastAsia"/>
                <w:szCs w:val="21"/>
              </w:rPr>
              <w:t>，包括作业、独立完成相关实验系统的设计和实现</w:t>
            </w:r>
            <w:r>
              <w:rPr>
                <w:szCs w:val="21"/>
              </w:rPr>
              <w:t>。</w:t>
            </w:r>
          </w:p>
        </w:tc>
      </w:tr>
    </w:tbl>
    <w:p w14:paraId="0720D76A">
      <w:pPr>
        <w:spacing w:line="360" w:lineRule="auto"/>
        <w:rPr>
          <w:rFonts w:eastAsia="黑体"/>
          <w:sz w:val="24"/>
        </w:rPr>
      </w:pPr>
    </w:p>
    <w:p w14:paraId="14AC73DE">
      <w:pPr>
        <w:spacing w:line="360" w:lineRule="auto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五、立德树人的举措</w:t>
      </w:r>
    </w:p>
    <w:p w14:paraId="68517170">
      <w:pPr>
        <w:spacing w:line="360" w:lineRule="auto"/>
        <w:ind w:firstLine="420"/>
        <w:rPr>
          <w:rFonts w:hint="eastAsia"/>
        </w:rPr>
      </w:pPr>
      <w:r>
        <w:t>1</w:t>
      </w:r>
      <w:r>
        <w:rPr>
          <w:rFonts w:hint="eastAsia"/>
        </w:rPr>
        <w:t>、加强知识发生过程教学，引导学生去探索电子测量领域的重要概念的形成过程、问题的解决过程、结论的推导过程以及规律被揭示的过程。</w:t>
      </w:r>
    </w:p>
    <w:p w14:paraId="5925754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2、挖掘电子测量与电子电路实际操作相关知识的起源、发展以及众多科学家背后的故事，适当进行专业历史背景和人物教育。不仅向学生揭示出结论，还要让学生参与到知识的“再发现”和“再创造”过程，经历探索过程的磨砺，培养求真、求是、求善、求美的态度和精神。</w:t>
      </w:r>
    </w:p>
    <w:p w14:paraId="3C7E77B2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3、以问题为先导，精心创设生动的问题情境，通过提出问题—分析问题—解决问题来引导和推动学生采取自主、合作、探究等方式进行学习，促进学生实现知识的自主建构和能力的提升；同时挖掘其中的德育内涵，诠释知识背后的价值趋向和人文精神，实现知识传授和价值引领的有机结合。</w:t>
      </w:r>
    </w:p>
    <w:p w14:paraId="1B4B6188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五、教学内容及学时安排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877"/>
        <w:gridCol w:w="808"/>
        <w:gridCol w:w="1265"/>
        <w:gridCol w:w="1685"/>
        <w:gridCol w:w="2126"/>
        <w:gridCol w:w="1098"/>
      </w:tblGrid>
      <w:tr w14:paraId="24005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blHeader/>
          <w:jc w:val="center"/>
        </w:trPr>
        <w:tc>
          <w:tcPr>
            <w:tcW w:w="427" w:type="dxa"/>
            <w:noWrap w:val="0"/>
            <w:vAlign w:val="center"/>
          </w:tcPr>
          <w:p w14:paraId="14E05D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877" w:type="dxa"/>
            <w:noWrap w:val="0"/>
            <w:vAlign w:val="center"/>
          </w:tcPr>
          <w:p w14:paraId="36844A6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教学内容</w:t>
            </w:r>
            <w:r>
              <w:rPr>
                <w:rFonts w:hint="eastAsia"/>
                <w:b/>
              </w:rPr>
              <w:t>，重点及难点</w:t>
            </w:r>
          </w:p>
        </w:tc>
        <w:tc>
          <w:tcPr>
            <w:tcW w:w="808" w:type="dxa"/>
            <w:noWrap w:val="0"/>
            <w:vAlign w:val="center"/>
          </w:tcPr>
          <w:p w14:paraId="1FF81F1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学时</w:t>
            </w:r>
          </w:p>
          <w:p w14:paraId="04A54C4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分配</w:t>
            </w:r>
          </w:p>
        </w:tc>
        <w:tc>
          <w:tcPr>
            <w:tcW w:w="1265" w:type="dxa"/>
            <w:noWrap w:val="0"/>
            <w:vAlign w:val="center"/>
          </w:tcPr>
          <w:p w14:paraId="2B62A9FD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实验类型</w:t>
            </w:r>
          </w:p>
        </w:tc>
        <w:tc>
          <w:tcPr>
            <w:tcW w:w="1685" w:type="dxa"/>
            <w:noWrap w:val="0"/>
            <w:vAlign w:val="center"/>
          </w:tcPr>
          <w:p w14:paraId="1E5344E6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实验前准备</w:t>
            </w:r>
          </w:p>
        </w:tc>
        <w:tc>
          <w:tcPr>
            <w:tcW w:w="2126" w:type="dxa"/>
            <w:noWrap w:val="0"/>
            <w:vAlign w:val="center"/>
          </w:tcPr>
          <w:p w14:paraId="29D915F2">
            <w:pPr>
              <w:spacing w:line="36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  <w:tc>
          <w:tcPr>
            <w:tcW w:w="1098" w:type="dxa"/>
            <w:noWrap w:val="0"/>
            <w:vAlign w:val="center"/>
          </w:tcPr>
          <w:p w14:paraId="001CD22F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支撑</w:t>
            </w:r>
            <w:r>
              <w:rPr>
                <w:b/>
              </w:rPr>
              <w:t>毕业要求</w:t>
            </w:r>
          </w:p>
        </w:tc>
      </w:tr>
      <w:tr w14:paraId="1BD9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427" w:type="dxa"/>
            <w:noWrap w:val="0"/>
            <w:vAlign w:val="center"/>
          </w:tcPr>
          <w:p w14:paraId="7189B954">
            <w:pPr>
              <w:adjustRightInd w:val="0"/>
              <w:snapToGrid w:val="0"/>
              <w:jc w:val="center"/>
            </w:pPr>
            <w:r>
              <w:t>1</w:t>
            </w:r>
          </w:p>
        </w:tc>
        <w:tc>
          <w:tcPr>
            <w:tcW w:w="1877" w:type="dxa"/>
            <w:noWrap w:val="0"/>
            <w:vAlign w:val="center"/>
          </w:tcPr>
          <w:p w14:paraId="195A6576">
            <w:pPr>
              <w:adjustRightInd w:val="0"/>
              <w:snapToGrid w:val="0"/>
            </w:pPr>
            <w:r>
              <w:t>电子测量实验基础知识与基本技能</w:t>
            </w:r>
          </w:p>
          <w:p w14:paraId="7E1B3D6B">
            <w:pPr>
              <w:adjustRightInd w:val="0"/>
              <w:snapToGrid w:val="0"/>
            </w:pPr>
            <w:r>
              <w:rPr>
                <w:rFonts w:hint="eastAsia"/>
              </w:rPr>
              <w:t>电子电路调试的基本方法和相关技能——有源二端网络等效参数测试实验</w:t>
            </w:r>
          </w:p>
        </w:tc>
        <w:tc>
          <w:tcPr>
            <w:tcW w:w="808" w:type="dxa"/>
            <w:noWrap w:val="0"/>
            <w:vAlign w:val="center"/>
          </w:tcPr>
          <w:p w14:paraId="4B343BD4">
            <w:pPr>
              <w:adjustRightInd w:val="0"/>
              <w:snapToGrid w:val="0"/>
            </w:pPr>
            <w:r>
              <w:t>3学时</w:t>
            </w:r>
          </w:p>
        </w:tc>
        <w:tc>
          <w:tcPr>
            <w:tcW w:w="1265" w:type="dxa"/>
            <w:noWrap w:val="0"/>
            <w:vAlign w:val="center"/>
          </w:tcPr>
          <w:p w14:paraId="119E0550">
            <w:pPr>
              <w:adjustRightInd w:val="0"/>
              <w:snapToGrid w:val="0"/>
            </w:pPr>
            <w:r>
              <w:t>验证性实验</w:t>
            </w:r>
          </w:p>
          <w:p w14:paraId="794BEF24">
            <w:pPr>
              <w:adjustRightInd w:val="0"/>
              <w:snapToGrid w:val="0"/>
            </w:pPr>
            <w:r>
              <w:rPr>
                <w:rFonts w:hint="eastAsia"/>
              </w:rPr>
              <w:t>虚拟仿真</w:t>
            </w:r>
            <w:r>
              <w:t>实验</w:t>
            </w:r>
          </w:p>
        </w:tc>
        <w:tc>
          <w:tcPr>
            <w:tcW w:w="1685" w:type="dxa"/>
            <w:noWrap w:val="0"/>
            <w:vAlign w:val="center"/>
          </w:tcPr>
          <w:p w14:paraId="4F565587">
            <w:pPr>
              <w:numPr>
                <w:ilvl w:val="0"/>
                <w:numId w:val="1"/>
              </w:num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线上课程进行学习</w:t>
            </w:r>
          </w:p>
          <w:p w14:paraId="52A24187">
            <w:pPr>
              <w:numPr>
                <w:ilvl w:val="0"/>
                <w:numId w:val="1"/>
              </w:num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虚拟仿真平台进行预习</w:t>
            </w:r>
          </w:p>
        </w:tc>
        <w:tc>
          <w:tcPr>
            <w:tcW w:w="2126" w:type="dxa"/>
            <w:noWrap w:val="0"/>
            <w:vAlign w:val="center"/>
          </w:tcPr>
          <w:p w14:paraId="3D06A86B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1、电子测量方法</w:t>
            </w:r>
          </w:p>
          <w:p w14:paraId="262226FC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2、误差分析方法</w:t>
            </w:r>
          </w:p>
          <w:p w14:paraId="185A2F05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3、测量结果的记录与处理</w:t>
            </w:r>
          </w:p>
          <w:p w14:paraId="47E0619D">
            <w:pPr>
              <w:adjustRightInd w:val="0"/>
              <w:snapToGrid w:val="0"/>
            </w:pPr>
            <w:r>
              <w:rPr>
                <w:rFonts w:hint="eastAsia"/>
              </w:rPr>
              <w:t>4、元器件识别</w:t>
            </w:r>
          </w:p>
          <w:p w14:paraId="14F6C869">
            <w:pPr>
              <w:adjustRightInd w:val="0"/>
              <w:snapToGrid w:val="0"/>
            </w:pPr>
            <w:r>
              <w:rPr>
                <w:rFonts w:hint="eastAsia"/>
              </w:rPr>
              <w:t>5、</w:t>
            </w:r>
            <w:r>
              <w:t>虚拟仿真软件的使用</w:t>
            </w:r>
          </w:p>
          <w:p w14:paraId="33C15ACE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6、</w:t>
            </w:r>
            <w:r>
              <w:t>等效参数的测量方法及注意事项</w:t>
            </w:r>
          </w:p>
        </w:tc>
        <w:tc>
          <w:tcPr>
            <w:tcW w:w="1098" w:type="dxa"/>
            <w:noWrap w:val="0"/>
            <w:vAlign w:val="center"/>
          </w:tcPr>
          <w:p w14:paraId="366EFD1C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3.2</w:t>
            </w:r>
          </w:p>
          <w:p w14:paraId="1BF48C70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4.2</w:t>
            </w:r>
          </w:p>
          <w:p w14:paraId="4DC4DEB4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4.3</w:t>
            </w:r>
          </w:p>
          <w:p w14:paraId="0D44ECD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5.2</w:t>
            </w:r>
          </w:p>
        </w:tc>
      </w:tr>
      <w:tr w14:paraId="6A62B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427" w:type="dxa"/>
            <w:noWrap w:val="0"/>
            <w:vAlign w:val="center"/>
          </w:tcPr>
          <w:p w14:paraId="004B9950">
            <w:pPr>
              <w:adjustRightInd w:val="0"/>
              <w:snapToGrid w:val="0"/>
              <w:jc w:val="center"/>
            </w:pPr>
            <w:r>
              <w:t>2</w:t>
            </w:r>
          </w:p>
        </w:tc>
        <w:tc>
          <w:tcPr>
            <w:tcW w:w="1877" w:type="dxa"/>
            <w:noWrap w:val="0"/>
            <w:vAlign w:val="center"/>
          </w:tcPr>
          <w:p w14:paraId="4E299D10">
            <w:pPr>
              <w:adjustRightInd w:val="0"/>
              <w:snapToGrid w:val="0"/>
            </w:pPr>
            <w:r>
              <w:t>常用电子测量仪器仪表使用</w:t>
            </w:r>
            <w:r>
              <w:rPr>
                <w:rFonts w:hint="eastAsia"/>
              </w:rPr>
              <w:t>(1)(2)</w:t>
            </w:r>
          </w:p>
          <w:p w14:paraId="5E1D57E0">
            <w:pPr>
              <w:adjustRightInd w:val="0"/>
              <w:snapToGrid w:val="0"/>
            </w:pPr>
            <w:r>
              <w:t>掌握示波器、万用表、函数信号发生器、毫伏表、直流稳压电源等常用电子测量仪器的使用方法和相关常识练习</w:t>
            </w:r>
          </w:p>
        </w:tc>
        <w:tc>
          <w:tcPr>
            <w:tcW w:w="808" w:type="dxa"/>
            <w:noWrap w:val="0"/>
            <w:vAlign w:val="center"/>
          </w:tcPr>
          <w:p w14:paraId="4071EEFF">
            <w:pPr>
              <w:adjustRightInd w:val="0"/>
              <w:snapToGrid w:val="0"/>
            </w:pPr>
            <w:r>
              <w:t>6学时</w:t>
            </w:r>
          </w:p>
        </w:tc>
        <w:tc>
          <w:tcPr>
            <w:tcW w:w="1265" w:type="dxa"/>
            <w:noWrap w:val="0"/>
            <w:vAlign w:val="center"/>
          </w:tcPr>
          <w:p w14:paraId="5A524E6B">
            <w:pPr>
              <w:adjustRightInd w:val="0"/>
              <w:snapToGrid w:val="0"/>
            </w:pPr>
            <w:r>
              <w:t>验证性实验</w:t>
            </w:r>
          </w:p>
          <w:p w14:paraId="07609E76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虚拟</w:t>
            </w:r>
            <w:r>
              <w:t>仿真实验</w:t>
            </w:r>
          </w:p>
        </w:tc>
        <w:tc>
          <w:tcPr>
            <w:tcW w:w="1685" w:type="dxa"/>
            <w:noWrap w:val="0"/>
            <w:vAlign w:val="center"/>
          </w:tcPr>
          <w:p w14:paraId="08439D9F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1、线上课程进行学习</w:t>
            </w:r>
          </w:p>
        </w:tc>
        <w:tc>
          <w:tcPr>
            <w:tcW w:w="2126" w:type="dxa"/>
            <w:noWrap w:val="0"/>
            <w:vAlign w:val="center"/>
          </w:tcPr>
          <w:p w14:paraId="38AE443E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1、正弦波、矩形波等信号的输入和输出信号观察</w:t>
            </w:r>
          </w:p>
          <w:p w14:paraId="7A7D99F5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2、用双踪法和椭圆法测量两个信号的相位差</w:t>
            </w:r>
          </w:p>
          <w:p w14:paraId="1987772B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3、在坐标纸上手工定量画波形</w:t>
            </w:r>
          </w:p>
        </w:tc>
        <w:tc>
          <w:tcPr>
            <w:tcW w:w="1098" w:type="dxa"/>
            <w:noWrap w:val="0"/>
            <w:vAlign w:val="center"/>
          </w:tcPr>
          <w:p w14:paraId="78216BE3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3.2</w:t>
            </w:r>
          </w:p>
          <w:p w14:paraId="66713E19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4.3</w:t>
            </w:r>
          </w:p>
          <w:p w14:paraId="5D7097A0">
            <w:pPr>
              <w:adjustRightInd w:val="0"/>
              <w:snapToGrid w:val="0"/>
              <w:jc w:val="center"/>
            </w:pPr>
            <w:r>
              <w:t>5.2</w:t>
            </w:r>
          </w:p>
        </w:tc>
      </w:tr>
      <w:tr w14:paraId="75F8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427" w:type="dxa"/>
            <w:noWrap w:val="0"/>
            <w:vAlign w:val="center"/>
          </w:tcPr>
          <w:p w14:paraId="16FFE929">
            <w:pPr>
              <w:adjustRightInd w:val="0"/>
              <w:snapToGrid w:val="0"/>
              <w:jc w:val="center"/>
            </w:pPr>
            <w:r>
              <w:t>3</w:t>
            </w:r>
          </w:p>
        </w:tc>
        <w:tc>
          <w:tcPr>
            <w:tcW w:w="1877" w:type="dxa"/>
            <w:noWrap w:val="0"/>
            <w:vAlign w:val="center"/>
          </w:tcPr>
          <w:p w14:paraId="7919B268">
            <w:pPr>
              <w:adjustRightInd w:val="0"/>
              <w:snapToGrid w:val="0"/>
              <w:rPr>
                <w:rFonts w:hint="eastAsia"/>
              </w:rPr>
            </w:pPr>
            <w:r>
              <w:t>电子电路调试的基本方法和相关技能</w:t>
            </w:r>
            <w:r>
              <w:rPr>
                <w:rFonts w:hint="eastAsia"/>
              </w:rPr>
              <w:t>——</w:t>
            </w:r>
            <w:r>
              <w:t>微分与积分电路</w:t>
            </w:r>
            <w:r>
              <w:rPr>
                <w:rFonts w:hint="eastAsia"/>
              </w:rPr>
              <w:t>实验研究</w:t>
            </w:r>
          </w:p>
        </w:tc>
        <w:tc>
          <w:tcPr>
            <w:tcW w:w="808" w:type="dxa"/>
            <w:noWrap w:val="0"/>
            <w:vAlign w:val="center"/>
          </w:tcPr>
          <w:p w14:paraId="175A1145">
            <w:pPr>
              <w:adjustRightInd w:val="0"/>
              <w:snapToGrid w:val="0"/>
            </w:pPr>
            <w:r>
              <w:t>3学时</w:t>
            </w:r>
          </w:p>
        </w:tc>
        <w:tc>
          <w:tcPr>
            <w:tcW w:w="1265" w:type="dxa"/>
            <w:noWrap w:val="0"/>
            <w:vAlign w:val="center"/>
          </w:tcPr>
          <w:p w14:paraId="2E24283F">
            <w:pPr>
              <w:adjustRightInd w:val="0"/>
              <w:snapToGrid w:val="0"/>
            </w:pPr>
            <w:r>
              <w:t>验证性实验</w:t>
            </w:r>
          </w:p>
          <w:p w14:paraId="7F077BA2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虚拟仿真</w:t>
            </w:r>
            <w:r>
              <w:t>实验</w:t>
            </w:r>
          </w:p>
        </w:tc>
        <w:tc>
          <w:tcPr>
            <w:tcW w:w="1685" w:type="dxa"/>
            <w:noWrap w:val="0"/>
            <w:vAlign w:val="center"/>
          </w:tcPr>
          <w:p w14:paraId="25BB3477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1、线上课程进行学习</w:t>
            </w:r>
          </w:p>
          <w:p w14:paraId="338E5173">
            <w:pPr>
              <w:adjustRightInd w:val="0"/>
              <w:snapToGrid w:val="0"/>
            </w:pPr>
            <w:r>
              <w:rPr>
                <w:rFonts w:hint="eastAsia"/>
              </w:rPr>
              <w:t>2、虚拟仿真平台进行预习</w:t>
            </w:r>
          </w:p>
        </w:tc>
        <w:tc>
          <w:tcPr>
            <w:tcW w:w="2126" w:type="dxa"/>
            <w:noWrap w:val="0"/>
            <w:vAlign w:val="center"/>
          </w:tcPr>
          <w:p w14:paraId="17005BB8">
            <w:pPr>
              <w:adjustRightInd w:val="0"/>
              <w:snapToGrid w:val="0"/>
            </w:pPr>
            <w:r>
              <w:t>1</w:t>
            </w:r>
            <w:r>
              <w:rPr>
                <w:rFonts w:hint="eastAsia"/>
              </w:rPr>
              <w:t>、</w:t>
            </w:r>
            <w:r>
              <w:t>示波器的使用</w:t>
            </w:r>
          </w:p>
          <w:p w14:paraId="4A0C43BB">
            <w:pPr>
              <w:adjustRightInd w:val="0"/>
              <w:snapToGrid w:val="0"/>
            </w:pPr>
            <w:r>
              <w:rPr>
                <w:rFonts w:hint="eastAsia"/>
              </w:rPr>
              <w:t>2、电路</w:t>
            </w:r>
            <w:r>
              <w:t>虚拟地的概念</w:t>
            </w:r>
          </w:p>
          <w:p w14:paraId="0FC0B318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3、微分</w:t>
            </w:r>
            <w:r>
              <w:t>电路和积分电路的相关知识</w:t>
            </w:r>
          </w:p>
        </w:tc>
        <w:tc>
          <w:tcPr>
            <w:tcW w:w="1098" w:type="dxa"/>
            <w:noWrap w:val="0"/>
            <w:vAlign w:val="center"/>
          </w:tcPr>
          <w:p w14:paraId="16FF9624">
            <w:pPr>
              <w:adjustRightInd w:val="0"/>
              <w:snapToGrid w:val="0"/>
              <w:jc w:val="center"/>
            </w:pPr>
            <w:r>
              <w:t>3.2</w:t>
            </w:r>
          </w:p>
          <w:p w14:paraId="082ED259">
            <w:pPr>
              <w:adjustRightInd w:val="0"/>
              <w:snapToGrid w:val="0"/>
              <w:jc w:val="center"/>
            </w:pPr>
            <w:r>
              <w:t>4.2</w:t>
            </w:r>
          </w:p>
          <w:p w14:paraId="7C4B462A">
            <w:pPr>
              <w:adjustRightInd w:val="0"/>
              <w:snapToGrid w:val="0"/>
              <w:jc w:val="center"/>
            </w:pPr>
            <w:r>
              <w:t>4.3</w:t>
            </w:r>
          </w:p>
          <w:p w14:paraId="0D276B80">
            <w:pPr>
              <w:adjustRightInd w:val="0"/>
              <w:snapToGrid w:val="0"/>
              <w:jc w:val="center"/>
            </w:pPr>
            <w:r>
              <w:t>5.2</w:t>
            </w:r>
          </w:p>
        </w:tc>
      </w:tr>
    </w:tbl>
    <w:p w14:paraId="0EC56902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六</w:t>
      </w:r>
      <w:r>
        <w:rPr>
          <w:rFonts w:eastAsia="黑体"/>
          <w:sz w:val="24"/>
        </w:rPr>
        <w:t>、教学方法</w:t>
      </w:r>
    </w:p>
    <w:p w14:paraId="18A807B2">
      <w:pPr>
        <w:spacing w:line="360" w:lineRule="auto"/>
        <w:rPr>
          <w:rFonts w:hint="eastAsia"/>
        </w:rPr>
      </w:pPr>
      <w:r>
        <w:rPr>
          <w:rFonts w:hint="eastAsia"/>
        </w:rPr>
        <w:t>1.教师讲解及学生实验：本课程教学以教师讲解为引导，学生进入实验室在教师的指导下，独立完成所要求的实验内容为主。</w:t>
      </w:r>
    </w:p>
    <w:p w14:paraId="2A284E4C">
      <w:pPr>
        <w:spacing w:line="360" w:lineRule="auto"/>
        <w:rPr>
          <w:rFonts w:hint="eastAsia"/>
        </w:rPr>
      </w:pPr>
      <w:r>
        <w:rPr>
          <w:rFonts w:hint="eastAsia"/>
        </w:rPr>
        <w:t>2.实验辅导：教师在实验辅导过程要注重采用启发式教学方式，结合具体的仪器测试操作，理论联系实际，举一反三。</w:t>
      </w:r>
    </w:p>
    <w:p w14:paraId="5D8AD1C2">
      <w:pPr>
        <w:spacing w:line="360" w:lineRule="auto"/>
      </w:pPr>
      <w:r>
        <w:rPr>
          <w:rFonts w:hint="eastAsia"/>
        </w:rPr>
        <w:t>3.实验内容：根据培养方案对培养目标的要求和课时规定，合理选择实验内容和实验方式。</w:t>
      </w:r>
    </w:p>
    <w:p w14:paraId="5486866E">
      <w:pPr>
        <w:spacing w:line="360" w:lineRule="auto"/>
        <w:rPr>
          <w:rFonts w:hint="eastAsia"/>
        </w:rPr>
      </w:pPr>
      <w:r>
        <w:rPr>
          <w:rFonts w:hint="eastAsia"/>
        </w:rPr>
        <w:t>4.虚拟仿真</w:t>
      </w:r>
      <w:r>
        <w:t>实验</w:t>
      </w:r>
      <w:r>
        <w:rPr>
          <w:rFonts w:hint="eastAsia"/>
        </w:rPr>
        <w:t>：</w:t>
      </w:r>
      <w:r>
        <w:t>学生利用虚拟仿真实验进行预习及实验分析，对极端参数进行仿真。</w:t>
      </w:r>
    </w:p>
    <w:p w14:paraId="798D007F">
      <w:pPr>
        <w:spacing w:line="360" w:lineRule="auto"/>
        <w:rPr>
          <w:rFonts w:hint="eastAsia"/>
        </w:rPr>
      </w:pPr>
      <w:r>
        <w:rPr>
          <w:rFonts w:hint="eastAsia"/>
        </w:rPr>
        <w:t>5.线上课程进行部分内容自学，实验室进行实验。</w:t>
      </w:r>
    </w:p>
    <w:p w14:paraId="6982C25E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七</w:t>
      </w:r>
      <w:r>
        <w:rPr>
          <w:rFonts w:eastAsia="黑体"/>
          <w:sz w:val="24"/>
        </w:rPr>
        <w:t>、考核方式</w:t>
      </w:r>
    </w:p>
    <w:p w14:paraId="6662731D">
      <w:pPr>
        <w:spacing w:line="360" w:lineRule="auto"/>
        <w:rPr>
          <w:rFonts w:hint="eastAsia"/>
        </w:rPr>
      </w:pPr>
      <w:r>
        <w:t>1、考试采取平时考核和提交实验报告的形式</w:t>
      </w:r>
      <w:r>
        <w:rPr>
          <w:rFonts w:hint="eastAsia"/>
        </w:rPr>
        <w:t>。</w:t>
      </w:r>
    </w:p>
    <w:p w14:paraId="4F4B07B5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平时考核根据相应的实验内容主要考核：1、能够调试通过电路，描述清楚电路原理，对电路进行分解和细化（支撑点3.2）；2、能熟练使用仪器仪表观察分析电路的性能，正确观察并记录实验数据，并能用数据和图表记录所得到的数据并进行分析（支撑点4.2，支撑点5.2）;</w:t>
      </w:r>
    </w:p>
    <w:p w14:paraId="2DE365BF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实验报告根据相应的实验内容进行数据总结和分析，得到有效的实验结论（支撑点4.3）。</w:t>
      </w:r>
    </w:p>
    <w:p w14:paraId="4623E5D7">
      <w:pPr>
        <w:spacing w:line="360" w:lineRule="auto"/>
      </w:pPr>
      <w:r>
        <w:t>2、课程总成绩评定方法为平时操作占80%、实验报告占20%。</w:t>
      </w:r>
    </w:p>
    <w:p w14:paraId="05033B3F">
      <w:pPr>
        <w:spacing w:line="360" w:lineRule="auto"/>
      </w:pPr>
      <w:r>
        <w:t>3、成绩采用百分制。</w:t>
      </w:r>
    </w:p>
    <w:p w14:paraId="26BEF1D3">
      <w:pPr>
        <w:spacing w:line="360" w:lineRule="auto"/>
      </w:pPr>
      <w:r>
        <w:t>考核方式：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686"/>
        <w:gridCol w:w="2544"/>
        <w:gridCol w:w="2544"/>
        <w:gridCol w:w="984"/>
      </w:tblGrid>
      <w:tr w14:paraId="4B9B9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7" w:hRule="atLeast"/>
        </w:trPr>
        <w:tc>
          <w:tcPr>
            <w:tcW w:w="0" w:type="auto"/>
            <w:vMerge w:val="restart"/>
            <w:shd w:val="clear" w:color="auto" w:fill="auto"/>
            <w:noWrap w:val="0"/>
            <w:vAlign w:val="center"/>
          </w:tcPr>
          <w:p w14:paraId="2FEFD608">
            <w:pPr>
              <w:spacing w:line="360" w:lineRule="auto"/>
              <w:jc w:val="center"/>
            </w:pPr>
            <w:r>
              <w:t>课程目标</w:t>
            </w:r>
          </w:p>
        </w:tc>
        <w:tc>
          <w:tcPr>
            <w:tcW w:w="0" w:type="auto"/>
            <w:vMerge w:val="restart"/>
            <w:shd w:val="clear" w:color="auto" w:fill="auto"/>
            <w:noWrap w:val="0"/>
            <w:vAlign w:val="center"/>
          </w:tcPr>
          <w:p w14:paraId="63A533F7">
            <w:pPr>
              <w:spacing w:line="360" w:lineRule="auto"/>
              <w:jc w:val="center"/>
            </w:pPr>
            <w:r>
              <w:t>毕业要求指标点</w:t>
            </w:r>
          </w:p>
        </w:tc>
        <w:tc>
          <w:tcPr>
            <w:tcW w:w="5088" w:type="dxa"/>
            <w:gridSpan w:val="2"/>
            <w:shd w:val="clear" w:color="auto" w:fill="auto"/>
            <w:noWrap w:val="0"/>
            <w:vAlign w:val="center"/>
          </w:tcPr>
          <w:p w14:paraId="040746EF">
            <w:pPr>
              <w:spacing w:line="360" w:lineRule="auto"/>
              <w:jc w:val="center"/>
            </w:pPr>
            <w:r>
              <w:t>考核方式</w:t>
            </w:r>
          </w:p>
        </w:tc>
        <w:tc>
          <w:tcPr>
            <w:tcW w:w="984" w:type="dxa"/>
            <w:vMerge w:val="restart"/>
            <w:shd w:val="clear" w:color="auto" w:fill="auto"/>
            <w:noWrap w:val="0"/>
            <w:vAlign w:val="center"/>
          </w:tcPr>
          <w:p w14:paraId="1E858118">
            <w:pPr>
              <w:spacing w:line="360" w:lineRule="auto"/>
              <w:jc w:val="center"/>
            </w:pPr>
            <w:r>
              <w:t>总贡</w:t>
            </w:r>
          </w:p>
          <w:p w14:paraId="74DAEEE8">
            <w:pPr>
              <w:spacing w:line="360" w:lineRule="auto"/>
              <w:jc w:val="center"/>
            </w:pPr>
            <w:r>
              <w:t>献度</w:t>
            </w:r>
          </w:p>
        </w:tc>
      </w:tr>
      <w:tr w14:paraId="55F1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7" w:hRule="atLeast"/>
        </w:trPr>
        <w:tc>
          <w:tcPr>
            <w:tcW w:w="0" w:type="auto"/>
            <w:vMerge w:val="continue"/>
            <w:shd w:val="clear" w:color="auto" w:fill="auto"/>
            <w:noWrap w:val="0"/>
            <w:vAlign w:val="center"/>
          </w:tcPr>
          <w:p w14:paraId="41E7B16B">
            <w:pPr>
              <w:spacing w:line="360" w:lineRule="auto"/>
            </w:pPr>
          </w:p>
        </w:tc>
        <w:tc>
          <w:tcPr>
            <w:tcW w:w="0" w:type="auto"/>
            <w:vMerge w:val="continue"/>
            <w:shd w:val="clear" w:color="auto" w:fill="auto"/>
            <w:noWrap w:val="0"/>
            <w:vAlign w:val="center"/>
          </w:tcPr>
          <w:p w14:paraId="2036FFE7">
            <w:pPr>
              <w:spacing w:line="360" w:lineRule="auto"/>
            </w:pP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21806B6D">
            <w:pPr>
              <w:spacing w:line="360" w:lineRule="auto"/>
              <w:jc w:val="center"/>
            </w:pPr>
            <w:r>
              <w:t>平时</w:t>
            </w:r>
            <w:r>
              <w:rPr>
                <w:rFonts w:hint="eastAsia"/>
              </w:rPr>
              <w:t>考核</w:t>
            </w:r>
            <w:r>
              <w:t>（贡献度</w:t>
            </w:r>
            <w:r>
              <w:rPr>
                <w:rFonts w:hint="eastAsia"/>
              </w:rPr>
              <w:t>8</w:t>
            </w:r>
            <w:r>
              <w:t>0%）</w:t>
            </w: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55A71B41">
            <w:pPr>
              <w:spacing w:line="360" w:lineRule="auto"/>
              <w:jc w:val="center"/>
            </w:pPr>
            <w:r>
              <w:rPr>
                <w:rFonts w:hint="eastAsia"/>
              </w:rPr>
              <w:t>实验报告</w:t>
            </w:r>
            <w:r>
              <w:t>（贡献度</w:t>
            </w:r>
            <w:r>
              <w:rPr>
                <w:rFonts w:hint="eastAsia"/>
              </w:rPr>
              <w:t>2</w:t>
            </w:r>
            <w:r>
              <w:t>0%）</w:t>
            </w:r>
          </w:p>
        </w:tc>
        <w:tc>
          <w:tcPr>
            <w:tcW w:w="0" w:type="auto"/>
            <w:vMerge w:val="continue"/>
            <w:shd w:val="clear" w:color="auto" w:fill="auto"/>
            <w:noWrap w:val="0"/>
            <w:vAlign w:val="center"/>
          </w:tcPr>
          <w:p w14:paraId="793D6A6B">
            <w:pPr>
              <w:spacing w:line="360" w:lineRule="auto"/>
            </w:pPr>
          </w:p>
        </w:tc>
      </w:tr>
      <w:tr w14:paraId="6C499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31" w:hRule="atLeast"/>
        </w:trPr>
        <w:tc>
          <w:tcPr>
            <w:tcW w:w="0" w:type="auto"/>
            <w:shd w:val="clear" w:color="auto" w:fill="auto"/>
            <w:noWrap w:val="0"/>
            <w:vAlign w:val="center"/>
          </w:tcPr>
          <w:p w14:paraId="73E4ADD3">
            <w:pPr>
              <w:spacing w:line="360" w:lineRule="auto"/>
            </w:pPr>
            <w:r>
              <w:t>课程目标1</w:t>
            </w: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5A8756B6">
            <w:pPr>
              <w:widowControl/>
              <w:jc w:val="center"/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.2</w:t>
            </w:r>
            <w:r>
              <w:rPr>
                <w:rFonts w:hint="eastAsia"/>
                <w:szCs w:val="21"/>
              </w:rPr>
              <w:t>、4</w:t>
            </w:r>
            <w:r>
              <w:rPr>
                <w:szCs w:val="21"/>
              </w:rPr>
              <w:t>.3</w:t>
            </w: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721A8F1B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093B3BB9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3CE72A24">
            <w:pPr>
              <w:spacing w:line="360" w:lineRule="auto"/>
              <w:jc w:val="center"/>
            </w:pPr>
            <w:r>
              <w:t>25</w:t>
            </w:r>
          </w:p>
        </w:tc>
      </w:tr>
      <w:tr w14:paraId="328A9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31" w:hRule="atLeast"/>
        </w:trPr>
        <w:tc>
          <w:tcPr>
            <w:tcW w:w="0" w:type="auto"/>
            <w:shd w:val="clear" w:color="auto" w:fill="auto"/>
            <w:noWrap w:val="0"/>
            <w:vAlign w:val="top"/>
          </w:tcPr>
          <w:p w14:paraId="1C5F5BEE">
            <w:pPr>
              <w:spacing w:line="360" w:lineRule="auto"/>
            </w:pPr>
            <w:r>
              <w:t>课程目标2</w:t>
            </w: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7DCFC665">
            <w:pPr>
              <w:spacing w:line="360" w:lineRule="auto"/>
              <w:jc w:val="center"/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.2</w:t>
            </w:r>
          </w:p>
        </w:tc>
        <w:tc>
          <w:tcPr>
            <w:tcW w:w="0" w:type="auto"/>
            <w:shd w:val="clear" w:color="auto" w:fill="auto"/>
            <w:noWrap w:val="0"/>
            <w:vAlign w:val="top"/>
          </w:tcPr>
          <w:p w14:paraId="61B6E086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0" w:type="auto"/>
            <w:shd w:val="clear" w:color="auto" w:fill="auto"/>
            <w:noWrap w:val="0"/>
            <w:vAlign w:val="top"/>
          </w:tcPr>
          <w:p w14:paraId="5085F3B3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3C7EC8F7">
            <w:pPr>
              <w:spacing w:line="360" w:lineRule="auto"/>
              <w:jc w:val="center"/>
            </w:pPr>
            <w:r>
              <w:t>25</w:t>
            </w:r>
          </w:p>
        </w:tc>
      </w:tr>
      <w:tr w14:paraId="5F03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9" w:hRule="atLeast"/>
        </w:trPr>
        <w:tc>
          <w:tcPr>
            <w:tcW w:w="0" w:type="auto"/>
            <w:shd w:val="clear" w:color="auto" w:fill="auto"/>
            <w:noWrap w:val="0"/>
            <w:vAlign w:val="top"/>
          </w:tcPr>
          <w:p w14:paraId="7A682C1E">
            <w:pPr>
              <w:spacing w:line="360" w:lineRule="auto"/>
            </w:pPr>
            <w:r>
              <w:t>课程目标3</w:t>
            </w: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5C863DAD">
            <w:pPr>
              <w:widowControl/>
              <w:jc w:val="center"/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.3</w:t>
            </w:r>
            <w:r>
              <w:rPr>
                <w:rFonts w:hint="eastAsia"/>
                <w:szCs w:val="21"/>
              </w:rPr>
              <w:t>、5</w:t>
            </w:r>
            <w:r>
              <w:rPr>
                <w:szCs w:val="21"/>
              </w:rPr>
              <w:t>.2</w:t>
            </w:r>
          </w:p>
        </w:tc>
        <w:tc>
          <w:tcPr>
            <w:tcW w:w="0" w:type="auto"/>
            <w:shd w:val="clear" w:color="auto" w:fill="auto"/>
            <w:noWrap w:val="0"/>
            <w:vAlign w:val="top"/>
          </w:tcPr>
          <w:p w14:paraId="74D390A5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0" w:type="auto"/>
            <w:shd w:val="clear" w:color="auto" w:fill="auto"/>
            <w:noWrap w:val="0"/>
            <w:vAlign w:val="top"/>
          </w:tcPr>
          <w:p w14:paraId="512040A1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215E0E6C">
            <w:pPr>
              <w:spacing w:line="360" w:lineRule="auto"/>
              <w:jc w:val="center"/>
            </w:pPr>
            <w:r>
              <w:t>25</w:t>
            </w:r>
          </w:p>
        </w:tc>
      </w:tr>
      <w:tr w14:paraId="2D36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9" w:hRule="atLeast"/>
        </w:trPr>
        <w:tc>
          <w:tcPr>
            <w:tcW w:w="0" w:type="auto"/>
            <w:shd w:val="clear" w:color="auto" w:fill="auto"/>
            <w:noWrap w:val="0"/>
            <w:vAlign w:val="top"/>
          </w:tcPr>
          <w:p w14:paraId="66F760D3">
            <w:pPr>
              <w:spacing w:line="360" w:lineRule="auto"/>
            </w:pPr>
            <w:r>
              <w:t>课程目标</w:t>
            </w: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6FF9D1C4">
            <w:pPr>
              <w:widowControl/>
              <w:jc w:val="center"/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.2</w:t>
            </w:r>
            <w:r>
              <w:rPr>
                <w:rFonts w:hint="eastAsia"/>
                <w:szCs w:val="21"/>
              </w:rPr>
              <w:t>、5</w:t>
            </w:r>
            <w:r>
              <w:rPr>
                <w:szCs w:val="21"/>
              </w:rPr>
              <w:t>.2</w:t>
            </w:r>
          </w:p>
        </w:tc>
        <w:tc>
          <w:tcPr>
            <w:tcW w:w="0" w:type="auto"/>
            <w:shd w:val="clear" w:color="auto" w:fill="auto"/>
            <w:noWrap w:val="0"/>
            <w:vAlign w:val="top"/>
          </w:tcPr>
          <w:p w14:paraId="4865E3C2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0" w:type="auto"/>
            <w:shd w:val="clear" w:color="auto" w:fill="auto"/>
            <w:noWrap w:val="0"/>
            <w:vAlign w:val="top"/>
          </w:tcPr>
          <w:p w14:paraId="3AC17448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shd w:val="clear" w:color="auto" w:fill="auto"/>
            <w:noWrap w:val="0"/>
            <w:vAlign w:val="center"/>
          </w:tcPr>
          <w:p w14:paraId="767D9CAB">
            <w:pPr>
              <w:spacing w:line="360" w:lineRule="auto"/>
              <w:jc w:val="center"/>
            </w:pPr>
            <w:r>
              <w:t>25</w:t>
            </w:r>
          </w:p>
        </w:tc>
      </w:tr>
      <w:tr w14:paraId="08546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" w:hRule="atLeast"/>
        </w:trPr>
        <w:tc>
          <w:tcPr>
            <w:tcW w:w="0" w:type="auto"/>
            <w:gridSpan w:val="2"/>
            <w:shd w:val="clear" w:color="auto" w:fill="auto"/>
            <w:noWrap w:val="0"/>
            <w:vAlign w:val="top"/>
          </w:tcPr>
          <w:p w14:paraId="2AAB0DBA">
            <w:pPr>
              <w:spacing w:line="360" w:lineRule="auto"/>
              <w:jc w:val="center"/>
            </w:pPr>
            <w:r>
              <w:t>合计</w:t>
            </w:r>
          </w:p>
        </w:tc>
        <w:tc>
          <w:tcPr>
            <w:tcW w:w="0" w:type="auto"/>
            <w:shd w:val="clear" w:color="auto" w:fill="auto"/>
            <w:noWrap w:val="0"/>
            <w:vAlign w:val="top"/>
          </w:tcPr>
          <w:p w14:paraId="2F03244D">
            <w:pPr>
              <w:spacing w:line="360" w:lineRule="auto"/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0" w:type="auto"/>
            <w:shd w:val="clear" w:color="auto" w:fill="auto"/>
            <w:noWrap w:val="0"/>
            <w:vAlign w:val="top"/>
          </w:tcPr>
          <w:p w14:paraId="1E11F503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0" w:type="auto"/>
            <w:shd w:val="clear" w:color="auto" w:fill="auto"/>
            <w:noWrap w:val="0"/>
            <w:vAlign w:val="top"/>
          </w:tcPr>
          <w:p w14:paraId="7538516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</w:tr>
    </w:tbl>
    <w:p w14:paraId="6E110DB5">
      <w:pPr>
        <w:spacing w:line="360" w:lineRule="auto"/>
      </w:pPr>
      <w:r>
        <w:t>考核</w:t>
      </w:r>
      <w:r>
        <w:rPr>
          <w:rFonts w:hint="eastAsia"/>
        </w:rPr>
        <w:t>评价</w:t>
      </w:r>
      <w:r>
        <w:t>标准：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5103"/>
        <w:gridCol w:w="1552"/>
      </w:tblGrid>
      <w:tr w14:paraId="5F7A6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129" w:type="dxa"/>
            <w:noWrap w:val="0"/>
            <w:vAlign w:val="center"/>
          </w:tcPr>
          <w:p w14:paraId="4A025B68">
            <w:pPr>
              <w:spacing w:line="360" w:lineRule="auto"/>
              <w:jc w:val="center"/>
            </w:pPr>
            <w:bookmarkStart w:id="0" w:name="_Hlk40254940"/>
            <w:r>
              <w:t>考核环节</w:t>
            </w:r>
          </w:p>
        </w:tc>
        <w:tc>
          <w:tcPr>
            <w:tcW w:w="1276" w:type="dxa"/>
            <w:noWrap w:val="0"/>
            <w:vAlign w:val="center"/>
          </w:tcPr>
          <w:p w14:paraId="3ABE4C61">
            <w:pPr>
              <w:spacing w:line="360" w:lineRule="auto"/>
              <w:jc w:val="center"/>
            </w:pPr>
            <w:r>
              <w:t>所占分值</w:t>
            </w:r>
          </w:p>
        </w:tc>
        <w:tc>
          <w:tcPr>
            <w:tcW w:w="5103" w:type="dxa"/>
            <w:noWrap w:val="0"/>
            <w:vAlign w:val="center"/>
          </w:tcPr>
          <w:p w14:paraId="532BBB6D">
            <w:pPr>
              <w:spacing w:line="360" w:lineRule="auto"/>
              <w:jc w:val="center"/>
            </w:pPr>
            <w:r>
              <w:t>考核与评价细则</w:t>
            </w:r>
          </w:p>
        </w:tc>
        <w:tc>
          <w:tcPr>
            <w:tcW w:w="1552" w:type="dxa"/>
            <w:noWrap w:val="0"/>
            <w:vAlign w:val="center"/>
          </w:tcPr>
          <w:p w14:paraId="3A36BA19">
            <w:pPr>
              <w:spacing w:line="360" w:lineRule="auto"/>
            </w:pPr>
            <w:r>
              <w:t>对应课程目标</w:t>
            </w:r>
          </w:p>
        </w:tc>
      </w:tr>
      <w:tr w14:paraId="6B1F9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29" w:hRule="atLeast"/>
          <w:jc w:val="center"/>
        </w:trPr>
        <w:tc>
          <w:tcPr>
            <w:tcW w:w="1129" w:type="dxa"/>
            <w:noWrap w:val="0"/>
            <w:vAlign w:val="center"/>
          </w:tcPr>
          <w:p w14:paraId="7A0F1D6E">
            <w:pPr>
              <w:spacing w:line="360" w:lineRule="auto"/>
              <w:jc w:val="center"/>
            </w:pPr>
            <w:r>
              <w:t>平时</w:t>
            </w:r>
            <w:r>
              <w:rPr>
                <w:rFonts w:hint="eastAsia"/>
              </w:rPr>
              <w:t>考核</w:t>
            </w:r>
          </w:p>
        </w:tc>
        <w:tc>
          <w:tcPr>
            <w:tcW w:w="1276" w:type="dxa"/>
            <w:noWrap w:val="0"/>
            <w:vAlign w:val="center"/>
          </w:tcPr>
          <w:p w14:paraId="767021DA">
            <w:pPr>
              <w:spacing w:line="360" w:lineRule="auto"/>
              <w:jc w:val="center"/>
            </w:pPr>
            <w:r>
              <w:t>80分</w:t>
            </w:r>
          </w:p>
        </w:tc>
        <w:tc>
          <w:tcPr>
            <w:tcW w:w="5103" w:type="dxa"/>
            <w:vMerge w:val="restart"/>
            <w:noWrap w:val="0"/>
            <w:vAlign w:val="center"/>
          </w:tcPr>
          <w:p w14:paraId="501C5570">
            <w:pPr>
              <w:adjustRightInd w:val="0"/>
              <w:snapToGrid w:val="0"/>
            </w:pPr>
            <w:r>
              <w:rPr>
                <w:rFonts w:hint="eastAsia"/>
                <w:color w:val="000000"/>
                <w:szCs w:val="21"/>
              </w:rPr>
              <w:t>考察学生运用电路基础分析和解决实际问题的能力。（按照10</w:t>
            </w:r>
            <w:r>
              <w:rPr>
                <w:color w:val="000000"/>
                <w:szCs w:val="21"/>
              </w:rPr>
              <w:t>0</w:t>
            </w:r>
            <w:r>
              <w:rPr>
                <w:rFonts w:hint="eastAsia"/>
                <w:color w:val="000000"/>
                <w:szCs w:val="21"/>
              </w:rPr>
              <w:t>分计算），得分6</w:t>
            </w:r>
            <w:r>
              <w:rPr>
                <w:color w:val="000000"/>
                <w:szCs w:val="21"/>
              </w:rPr>
              <w:t>0</w:t>
            </w:r>
            <w:r>
              <w:rPr>
                <w:rFonts w:hint="eastAsia"/>
                <w:color w:val="000000"/>
                <w:szCs w:val="21"/>
              </w:rPr>
              <w:t>分及以上达成所支撑的课程目标1、2、3和4，说明学生掌握电路分析的工作原理，具有分析和解决实际工程问题的能力，具有</w:t>
            </w:r>
            <w:r>
              <w:rPr>
                <w:rFonts w:hint="eastAsia"/>
                <w:bCs/>
                <w:color w:val="000000"/>
                <w:szCs w:val="21"/>
              </w:rPr>
              <w:t>理解工程与社会、职业规范</w:t>
            </w:r>
            <w:r>
              <w:rPr>
                <w:rFonts w:hint="eastAsia"/>
                <w:color w:val="000000"/>
                <w:szCs w:val="21"/>
              </w:rPr>
              <w:t>的能力。</w:t>
            </w:r>
          </w:p>
        </w:tc>
        <w:tc>
          <w:tcPr>
            <w:tcW w:w="1552" w:type="dxa"/>
            <w:vMerge w:val="restart"/>
            <w:noWrap w:val="0"/>
            <w:vAlign w:val="center"/>
          </w:tcPr>
          <w:p w14:paraId="5E0C3C4F">
            <w:pPr>
              <w:adjustRightInd w:val="0"/>
              <w:snapToGrid w:val="0"/>
            </w:pPr>
            <w:r>
              <w:t>课程目标1、2、3</w:t>
            </w:r>
            <w:r>
              <w:rPr>
                <w:rFonts w:hint="eastAsia"/>
              </w:rPr>
              <w:t>、4</w:t>
            </w:r>
          </w:p>
        </w:tc>
      </w:tr>
      <w:tr w14:paraId="2BFB3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129" w:type="dxa"/>
            <w:noWrap w:val="0"/>
            <w:vAlign w:val="center"/>
          </w:tcPr>
          <w:p w14:paraId="20E05FE9">
            <w:pPr>
              <w:spacing w:line="360" w:lineRule="auto"/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276" w:type="dxa"/>
            <w:noWrap w:val="0"/>
            <w:vAlign w:val="center"/>
          </w:tcPr>
          <w:p w14:paraId="2E63AFE0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5103" w:type="dxa"/>
            <w:vMerge w:val="continue"/>
            <w:noWrap w:val="0"/>
            <w:vAlign w:val="center"/>
          </w:tcPr>
          <w:p w14:paraId="76DDDCC1">
            <w:pPr>
              <w:spacing w:line="360" w:lineRule="auto"/>
            </w:pPr>
          </w:p>
        </w:tc>
        <w:tc>
          <w:tcPr>
            <w:tcW w:w="1552" w:type="dxa"/>
            <w:vMerge w:val="continue"/>
            <w:noWrap w:val="0"/>
            <w:vAlign w:val="center"/>
          </w:tcPr>
          <w:p w14:paraId="5FB20AA1">
            <w:pPr>
              <w:spacing w:line="360" w:lineRule="auto"/>
            </w:pPr>
          </w:p>
        </w:tc>
      </w:tr>
      <w:bookmarkEnd w:id="0"/>
    </w:tbl>
    <w:p w14:paraId="0047940C">
      <w:pPr>
        <w:spacing w:line="360" w:lineRule="auto"/>
        <w:rPr>
          <w:rFonts w:eastAsia="黑体"/>
          <w:sz w:val="24"/>
        </w:rPr>
      </w:pPr>
      <w:r>
        <w:rPr>
          <w:rFonts w:hint="eastAsia" w:eastAsia="黑体"/>
          <w:sz w:val="24"/>
        </w:rPr>
        <w:t>八</w:t>
      </w:r>
      <w:r>
        <w:rPr>
          <w:rFonts w:eastAsia="黑体"/>
          <w:sz w:val="24"/>
        </w:rPr>
        <w:t>、课程资源</w:t>
      </w:r>
    </w:p>
    <w:p w14:paraId="2FC7DD86">
      <w:pPr>
        <w:spacing w:line="360" w:lineRule="auto"/>
        <w:rPr>
          <w:rFonts w:hint="eastAsia"/>
        </w:rPr>
      </w:pPr>
      <w:r>
        <w:rPr>
          <w:rFonts w:hint="eastAsia"/>
        </w:rPr>
        <w:t>网络</w:t>
      </w:r>
      <w:r>
        <w:t>学习：</w:t>
      </w:r>
      <w:r>
        <w:rPr>
          <w:rFonts w:hint="eastAsia"/>
        </w:rPr>
        <w:t>10.3.240.203，</w:t>
      </w:r>
      <w:r>
        <w:t>虚拟实验室中仪器仪表的学习</w:t>
      </w:r>
    </w:p>
    <w:p w14:paraId="48E8ECCA">
      <w:pPr>
        <w:spacing w:line="360" w:lineRule="auto"/>
      </w:pPr>
      <w:r>
        <w:t>实验指导书：《电子电路测量与设计实验》，陈凌霄 张晓磊，北京邮电大学出版社</w:t>
      </w:r>
    </w:p>
    <w:p w14:paraId="0B0D94A1">
      <w:pPr>
        <w:spacing w:line="360" w:lineRule="auto"/>
      </w:pPr>
      <w:r>
        <w:t>教学仪器设备：计算机、示波器、信号源、毫伏表、变阻箱、万用表、稳压电源</w:t>
      </w:r>
    </w:p>
    <w:p w14:paraId="3E91BE21">
      <w:pPr>
        <w:spacing w:line="360" w:lineRule="auto"/>
        <w:rPr>
          <w:sz w:val="24"/>
        </w:rPr>
      </w:pPr>
    </w:p>
    <w:p w14:paraId="3683FC2E">
      <w:pPr>
        <w:spacing w:line="360" w:lineRule="auto"/>
        <w:ind w:firstLine="4080" w:firstLineChars="1700"/>
        <w:rPr>
          <w:rFonts w:hint="eastAsia"/>
          <w:b/>
          <w:bCs/>
          <w:sz w:val="24"/>
        </w:rPr>
      </w:pPr>
      <w:r>
        <w:rPr>
          <w:sz w:val="24"/>
        </w:rPr>
        <w:t xml:space="preserve">           </w:t>
      </w:r>
      <w:r>
        <w:rPr>
          <w:b/>
          <w:bCs/>
          <w:sz w:val="24"/>
        </w:rPr>
        <w:t>执笔人:</w:t>
      </w:r>
      <w:r>
        <w:rPr>
          <w:rFonts w:hint="eastAsia"/>
          <w:b/>
          <w:bCs/>
          <w:sz w:val="24"/>
        </w:rPr>
        <w:t xml:space="preserve"> </w:t>
      </w:r>
    </w:p>
    <w:p w14:paraId="653BE45B">
      <w:pPr>
        <w:spacing w:line="360" w:lineRule="auto"/>
        <w:ind w:firstLine="4096" w:firstLineChars="1700"/>
        <w:rPr>
          <w:rFonts w:hint="eastAsia"/>
          <w:b/>
          <w:bCs/>
          <w:sz w:val="24"/>
        </w:rPr>
      </w:pPr>
      <w:r>
        <w:rPr>
          <w:b/>
          <w:bCs/>
          <w:sz w:val="24"/>
        </w:rPr>
        <w:t xml:space="preserve">           审阅人</w:t>
      </w:r>
      <w:r>
        <w:rPr>
          <w:rFonts w:hint="eastAsia"/>
          <w:b/>
          <w:bCs/>
          <w:sz w:val="24"/>
        </w:rPr>
        <w:t>：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3C2761"/>
    <w:multiLevelType w:val="multilevel"/>
    <w:tmpl w:val="6F3C27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1FB0847"/>
    <w:multiLevelType w:val="multilevel"/>
    <w:tmpl w:val="71FB084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B8A"/>
    <w:rsid w:val="00003B8A"/>
    <w:rsid w:val="00007CF0"/>
    <w:rsid w:val="00023D1C"/>
    <w:rsid w:val="00041449"/>
    <w:rsid w:val="00047A58"/>
    <w:rsid w:val="000742A8"/>
    <w:rsid w:val="0007647B"/>
    <w:rsid w:val="000813CB"/>
    <w:rsid w:val="000840FA"/>
    <w:rsid w:val="00090567"/>
    <w:rsid w:val="000954A1"/>
    <w:rsid w:val="000A4DD3"/>
    <w:rsid w:val="000C5939"/>
    <w:rsid w:val="00106BC5"/>
    <w:rsid w:val="00113699"/>
    <w:rsid w:val="00125C6B"/>
    <w:rsid w:val="00126B1C"/>
    <w:rsid w:val="001478D2"/>
    <w:rsid w:val="00147FDE"/>
    <w:rsid w:val="00154658"/>
    <w:rsid w:val="00161501"/>
    <w:rsid w:val="0018484D"/>
    <w:rsid w:val="00196A9F"/>
    <w:rsid w:val="0019723A"/>
    <w:rsid w:val="001C6CA6"/>
    <w:rsid w:val="001F583D"/>
    <w:rsid w:val="002004DC"/>
    <w:rsid w:val="00202B6C"/>
    <w:rsid w:val="002032B7"/>
    <w:rsid w:val="0021393F"/>
    <w:rsid w:val="002206FA"/>
    <w:rsid w:val="002300CD"/>
    <w:rsid w:val="002529FD"/>
    <w:rsid w:val="00280EFD"/>
    <w:rsid w:val="00287DA5"/>
    <w:rsid w:val="00293A00"/>
    <w:rsid w:val="0029712B"/>
    <w:rsid w:val="002A739F"/>
    <w:rsid w:val="002C089C"/>
    <w:rsid w:val="002C6F6B"/>
    <w:rsid w:val="002D02CF"/>
    <w:rsid w:val="002D45BE"/>
    <w:rsid w:val="002D654B"/>
    <w:rsid w:val="002F6FE4"/>
    <w:rsid w:val="00304E9E"/>
    <w:rsid w:val="003114A2"/>
    <w:rsid w:val="0032056C"/>
    <w:rsid w:val="003232FC"/>
    <w:rsid w:val="00372508"/>
    <w:rsid w:val="00374C64"/>
    <w:rsid w:val="00393CBA"/>
    <w:rsid w:val="003973F0"/>
    <w:rsid w:val="003A1B1E"/>
    <w:rsid w:val="003B1261"/>
    <w:rsid w:val="003B4299"/>
    <w:rsid w:val="003C163C"/>
    <w:rsid w:val="003C5D58"/>
    <w:rsid w:val="003F2362"/>
    <w:rsid w:val="004248EC"/>
    <w:rsid w:val="00433776"/>
    <w:rsid w:val="00444A60"/>
    <w:rsid w:val="004530A8"/>
    <w:rsid w:val="00476677"/>
    <w:rsid w:val="0047726A"/>
    <w:rsid w:val="004815E0"/>
    <w:rsid w:val="00485F29"/>
    <w:rsid w:val="00490E17"/>
    <w:rsid w:val="0049536F"/>
    <w:rsid w:val="004A0702"/>
    <w:rsid w:val="004A3B21"/>
    <w:rsid w:val="004E4BCF"/>
    <w:rsid w:val="004E7CC8"/>
    <w:rsid w:val="004F7DE5"/>
    <w:rsid w:val="00504118"/>
    <w:rsid w:val="00507411"/>
    <w:rsid w:val="00514483"/>
    <w:rsid w:val="005564E3"/>
    <w:rsid w:val="00556505"/>
    <w:rsid w:val="00564691"/>
    <w:rsid w:val="00567528"/>
    <w:rsid w:val="00575A30"/>
    <w:rsid w:val="00584A94"/>
    <w:rsid w:val="00593D30"/>
    <w:rsid w:val="005A4173"/>
    <w:rsid w:val="005A5236"/>
    <w:rsid w:val="005B14D9"/>
    <w:rsid w:val="005D3117"/>
    <w:rsid w:val="005E0047"/>
    <w:rsid w:val="005E735F"/>
    <w:rsid w:val="005F203B"/>
    <w:rsid w:val="005F2D95"/>
    <w:rsid w:val="0060508C"/>
    <w:rsid w:val="006057E2"/>
    <w:rsid w:val="0061148A"/>
    <w:rsid w:val="0062433D"/>
    <w:rsid w:val="006339B2"/>
    <w:rsid w:val="00645121"/>
    <w:rsid w:val="006607CC"/>
    <w:rsid w:val="00662B28"/>
    <w:rsid w:val="00662BAF"/>
    <w:rsid w:val="00673DF5"/>
    <w:rsid w:val="006762C4"/>
    <w:rsid w:val="006802C8"/>
    <w:rsid w:val="006A0E32"/>
    <w:rsid w:val="006A256B"/>
    <w:rsid w:val="006B0746"/>
    <w:rsid w:val="006C2121"/>
    <w:rsid w:val="006C5F09"/>
    <w:rsid w:val="006D378C"/>
    <w:rsid w:val="006E2902"/>
    <w:rsid w:val="006E4CF0"/>
    <w:rsid w:val="006E67FE"/>
    <w:rsid w:val="006F257A"/>
    <w:rsid w:val="00706DCC"/>
    <w:rsid w:val="0072418E"/>
    <w:rsid w:val="00735180"/>
    <w:rsid w:val="0075386F"/>
    <w:rsid w:val="00757D94"/>
    <w:rsid w:val="007675FE"/>
    <w:rsid w:val="007A2F18"/>
    <w:rsid w:val="007D759D"/>
    <w:rsid w:val="007E02AF"/>
    <w:rsid w:val="007E4098"/>
    <w:rsid w:val="00812839"/>
    <w:rsid w:val="008137C9"/>
    <w:rsid w:val="00820CB6"/>
    <w:rsid w:val="00827DEB"/>
    <w:rsid w:val="00845D5C"/>
    <w:rsid w:val="00850831"/>
    <w:rsid w:val="00866475"/>
    <w:rsid w:val="00871814"/>
    <w:rsid w:val="0088006C"/>
    <w:rsid w:val="008874F2"/>
    <w:rsid w:val="008A307B"/>
    <w:rsid w:val="008B607C"/>
    <w:rsid w:val="008B6756"/>
    <w:rsid w:val="008C1C05"/>
    <w:rsid w:val="008C36C9"/>
    <w:rsid w:val="008E5BE3"/>
    <w:rsid w:val="008F7758"/>
    <w:rsid w:val="00921DA6"/>
    <w:rsid w:val="00922C25"/>
    <w:rsid w:val="009523AD"/>
    <w:rsid w:val="009534B5"/>
    <w:rsid w:val="00964A30"/>
    <w:rsid w:val="00964E94"/>
    <w:rsid w:val="00967112"/>
    <w:rsid w:val="009A2BD9"/>
    <w:rsid w:val="009F15E0"/>
    <w:rsid w:val="00A0080B"/>
    <w:rsid w:val="00A04D01"/>
    <w:rsid w:val="00A139EC"/>
    <w:rsid w:val="00A13AC1"/>
    <w:rsid w:val="00A14ECB"/>
    <w:rsid w:val="00A23190"/>
    <w:rsid w:val="00A23A47"/>
    <w:rsid w:val="00A24DFF"/>
    <w:rsid w:val="00A44B82"/>
    <w:rsid w:val="00A57466"/>
    <w:rsid w:val="00A65D33"/>
    <w:rsid w:val="00A76D28"/>
    <w:rsid w:val="00A85B74"/>
    <w:rsid w:val="00AA6DE1"/>
    <w:rsid w:val="00AA6EC6"/>
    <w:rsid w:val="00AB6054"/>
    <w:rsid w:val="00AD5A5D"/>
    <w:rsid w:val="00AE05D5"/>
    <w:rsid w:val="00AE24FF"/>
    <w:rsid w:val="00B02B5E"/>
    <w:rsid w:val="00B03255"/>
    <w:rsid w:val="00B03759"/>
    <w:rsid w:val="00B051B7"/>
    <w:rsid w:val="00B1156F"/>
    <w:rsid w:val="00B24DEA"/>
    <w:rsid w:val="00B43EF9"/>
    <w:rsid w:val="00B44AE9"/>
    <w:rsid w:val="00B51255"/>
    <w:rsid w:val="00B7352E"/>
    <w:rsid w:val="00B7528D"/>
    <w:rsid w:val="00B812D7"/>
    <w:rsid w:val="00B95407"/>
    <w:rsid w:val="00B95429"/>
    <w:rsid w:val="00BA425A"/>
    <w:rsid w:val="00BA4571"/>
    <w:rsid w:val="00BA6002"/>
    <w:rsid w:val="00BB6F61"/>
    <w:rsid w:val="00BD1B66"/>
    <w:rsid w:val="00BE0337"/>
    <w:rsid w:val="00C326E4"/>
    <w:rsid w:val="00C33C72"/>
    <w:rsid w:val="00C36B44"/>
    <w:rsid w:val="00C47836"/>
    <w:rsid w:val="00C867E9"/>
    <w:rsid w:val="00CB26B7"/>
    <w:rsid w:val="00CB35A4"/>
    <w:rsid w:val="00CB4BDB"/>
    <w:rsid w:val="00CC1C68"/>
    <w:rsid w:val="00CC7230"/>
    <w:rsid w:val="00CD6C0B"/>
    <w:rsid w:val="00D06E1C"/>
    <w:rsid w:val="00D1273F"/>
    <w:rsid w:val="00D17851"/>
    <w:rsid w:val="00D2139C"/>
    <w:rsid w:val="00D453F5"/>
    <w:rsid w:val="00D507EE"/>
    <w:rsid w:val="00D55D07"/>
    <w:rsid w:val="00D7629F"/>
    <w:rsid w:val="00D76992"/>
    <w:rsid w:val="00D86021"/>
    <w:rsid w:val="00D95574"/>
    <w:rsid w:val="00DC39D3"/>
    <w:rsid w:val="00DC7E90"/>
    <w:rsid w:val="00DE1007"/>
    <w:rsid w:val="00DF7F0C"/>
    <w:rsid w:val="00E34E53"/>
    <w:rsid w:val="00E40B33"/>
    <w:rsid w:val="00E71DD2"/>
    <w:rsid w:val="00E76ECC"/>
    <w:rsid w:val="00E92299"/>
    <w:rsid w:val="00E9321E"/>
    <w:rsid w:val="00EA4EFE"/>
    <w:rsid w:val="00EC0556"/>
    <w:rsid w:val="00EC1A32"/>
    <w:rsid w:val="00EC2EC0"/>
    <w:rsid w:val="00F25680"/>
    <w:rsid w:val="00F31470"/>
    <w:rsid w:val="00F3342C"/>
    <w:rsid w:val="00F71173"/>
    <w:rsid w:val="00F75FF4"/>
    <w:rsid w:val="00F87C42"/>
    <w:rsid w:val="00F951B6"/>
    <w:rsid w:val="00FA3501"/>
    <w:rsid w:val="00FA6B67"/>
    <w:rsid w:val="00FB0E1A"/>
    <w:rsid w:val="00FD51BB"/>
    <w:rsid w:val="00FE27A1"/>
    <w:rsid w:val="510A65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Normal Indent"/>
    <w:basedOn w:val="1"/>
    <w:unhideWhenUsed/>
    <w:uiPriority w:val="0"/>
    <w:pPr>
      <w:autoSpaceDE w:val="0"/>
      <w:autoSpaceDN w:val="0"/>
      <w:adjustRightInd w:val="0"/>
      <w:spacing w:line="312" w:lineRule="atLeast"/>
      <w:ind w:firstLine="420"/>
      <w:textAlignment w:val="baseline"/>
    </w:pPr>
    <w:rPr>
      <w:rFonts w:ascii="Calibri" w:hAnsi="Calibri" w:cs="黑体"/>
      <w:kern w:val="0"/>
      <w:szCs w:val="20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7">
    <w:name w:val="Table Grid"/>
    <w:basedOn w:val="6"/>
    <w:uiPriority w:val="0"/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  <w:style w:type="character" w:customStyle="1" w:styleId="10">
    <w:name w:val="页脚 Char"/>
    <w:link w:val="3"/>
    <w:uiPriority w:val="0"/>
    <w:rPr>
      <w:kern w:val="2"/>
      <w:sz w:val="18"/>
      <w:szCs w:val="18"/>
    </w:rPr>
  </w:style>
  <w:style w:type="paragraph" w:customStyle="1" w:styleId="11">
    <w:name w:val="Default"/>
    <w:uiPriority w:val="0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4</Pages>
  <Words>2936</Words>
  <Characters>3112</Characters>
  <Lines>23</Lines>
  <Paragraphs>6</Paragraphs>
  <TotalTime>0</TotalTime>
  <ScaleCrop>false</ScaleCrop>
  <LinksUpToDate>false</LinksUpToDate>
  <CharactersWithSpaces>3152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2020-01-08T07:21:00Z</dcterms:created>
  <dc:creator>tf</dc:creator>
  <cp:lastModifiedBy>WHM</cp:lastModifiedBy>
  <cp:lastPrinted>2009-10-11T08:42:00Z</cp:lastPrinted>
  <dcterms:modified xsi:type="dcterms:W3CDTF">2026-04-24T06:16:09Z</dcterms:modified>
  <dc:title>《  X X X 》课程教学大纲 (黑体/小三号)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930483461</vt:i4>
  </property>
  <property fmtid="{D5CDD505-2E9C-101B-9397-08002B2CF9AE}" pid="3" name="_EmailSubject">
    <vt:lpwstr>格式</vt:lpwstr>
  </property>
  <property fmtid="{D5CDD505-2E9C-101B-9397-08002B2CF9AE}" pid="4" name="_AuthorEmail">
    <vt:lpwstr>csdang@bupt.edu.cn</vt:lpwstr>
  </property>
  <property fmtid="{D5CDD505-2E9C-101B-9397-08002B2CF9AE}" pid="5" name="_AuthorEmailDisplayName">
    <vt:lpwstr>csdang</vt:lpwstr>
  </property>
  <property fmtid="{D5CDD505-2E9C-101B-9397-08002B2CF9AE}" pid="6" name="_ReviewingToolsShownOnce">
    <vt:lpwstr/>
  </property>
  <property fmtid="{D5CDD505-2E9C-101B-9397-08002B2CF9AE}" pid="7" name="KSOProductBuildVer">
    <vt:lpwstr>2052-12.1.0.25865</vt:lpwstr>
  </property>
  <property fmtid="{D5CDD505-2E9C-101B-9397-08002B2CF9AE}" pid="8" name="ICV">
    <vt:lpwstr>C1957D56C8944D8D97016351D46F54A0_13</vt:lpwstr>
  </property>
</Properties>
</file>