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b/>
          <w:bCs/>
          <w:color w:val="1F3864"/>
          <w:sz w:val="56"/>
          <w:szCs w:val="56"/>
        </w:rPr>
        <w:t xml:space="preserve">Residential Heat Gain/Loss</w:t>
      </w:r>
    </w:p>
    <w:p>
      <w:r>
        <w:rPr>
          <w:rFonts w:ascii="Arial" w:cs="Arial" w:eastAsia="Arial" w:hAnsi="Arial"/>
          <w:b/>
          <w:bCs/>
          <w:color w:val="1F3864"/>
          <w:sz w:val="56"/>
          <w:szCs w:val="56"/>
        </w:rPr>
        <w:t xml:space="preserve">Calculation Software</w:t>
      </w:r>
    </w:p>
    <w:p>
      <w:r>
        <w:t xml:space="preserve"/>
      </w:r>
    </w:p>
    <w:p>
      <w:r>
        <w:rPr>
          <w:rFonts w:ascii="Arial" w:cs="Arial" w:eastAsia="Arial" w:hAnsi="Arial"/>
          <w:color w:val="2E75B6"/>
          <w:sz w:val="28"/>
          <w:szCs w:val="28"/>
        </w:rPr>
        <w:t xml:space="preserve">Development Roadmap &amp; Claude Code Instructions</w:t>
      </w:r>
    </w:p>
    <w:p>
      <w:r>
        <w:t xml:space="preserve"/>
      </w:r>
    </w:p>
    <w:p>
      <w:r>
        <w:rPr>
          <w:rFonts w:ascii="Arial" w:cs="Arial" w:eastAsia="Arial" w:hAnsi="Arial"/>
          <w:i/>
          <w:iCs/>
          <w:color w:val="888888"/>
          <w:sz w:val="20"/>
          <w:szCs w:val="20"/>
        </w:rPr>
        <w:t xml:space="preserve">Living Document — Last updated: 2026-06-02</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pBdr>
          <w:bottom w:val="single" w:color="2E75B6" w:sz="6" w:space="1"/>
        </w:pBdr>
      </w:pPr>
      <w:r>
        <w:t xml:space="preserve"/>
      </w:r>
    </w:p>
    <w:p>
      <w:r>
        <w:t xml:space="preserve"/>
      </w:r>
    </w:p>
    <w:p>
      <w:r>
        <w:t xml:space="preserve">This document is the authoritative specification and living development record for a custom residential heat gain/loss calculation web application. It is intended to be fed directly into Claude Code at any point to substantially recreate or continue development of the software. All decisions, rationale, data models, formulas, and changelogs are maintained 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ResLoad — Residential Load Calculator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Calculation standard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ASHRAE 2001 Handbook of Fundamentals (CLTD/CLF/SCL method for cooling; steady-state UA·ΔT for heating). Architecture supports future Manual J (ACCA) and simplified modes.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Primary 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Mechanical engineers and designers who produce reports consumed by HVAC contractors.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application (browser-based). React + TypeScript frontend; Python (FastAPI) backend calculation engine.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 Not yet started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r>
    </w:tbl>
    <w:p>
      <w:r>
        <w:t xml:space="preserve"/>
      </w:r>
    </w:p>
    <w:p>
      <w:pPr>
        <w:pStyle w:val="Heading1"/>
      </w:pPr>
      <w:r>
        <w:t xml:space="preserve">2. Scope &amp; Feature Roadmap</w:t>
      </w:r>
    </w:p>
    <w:p>
      <w:pPr>
        <w:pBdr>
          <w:bottom w:val="single" w:color="2E75B6" w:sz="6" w:space="1"/>
        </w:pBdr>
      </w:pPr>
      <w:r>
        <w:t xml:space="preserve"/>
      </w:r>
    </w:p>
    <w:p>
      <w:r>
        <w:t xml:space="preserve"/>
      </w:r>
    </w:p>
    <w:p>
      <w:r>
        <w:t xml:space="preserve">The project is organized into phases. Each phase delivers a usable increment. Claude Code should consult this table to understand which features are in scope for the current sprint.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Phase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1</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calculation engine (ASHRAE cooling + heating), manual form data entry, climate lookup, system-level sizing output.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2</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Room-by-room loads, airflow targets (CFM), zone aggregation, PDF report generation.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3</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Polished web UI, project save/load, construction assembly library.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4</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energy use estimates (degree-day or bin method).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5</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 floor plan import with geometric markup tool to auto-extract room dimensions.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6</w:t>
            </w:r>
          </w:p>
        </w:tc>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t xml:space="preserve">Planned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J mode and simplified (non-code-compliant) mode. Method selector.</w:t>
            </w:r>
          </w:p>
        </w:tc>
      </w:tr>
    </w:tbl>
    <w:p>
      <w:r>
        <w:t xml:space="preserve"/>
      </w:r>
    </w:p>
    <w:p>
      <w:pPr>
        <w:pStyle w:val="Heading1"/>
      </w:pPr>
      <w:r>
        <w:t xml:space="preserve">3. Calculation Engine</w:t>
      </w:r>
    </w:p>
    <w:p>
      <w:pPr>
        <w:pBdr>
          <w:bottom w:val="single" w:color="2E75B6" w:sz="6" w:space="1"/>
        </w:pBdr>
      </w:pPr>
      <w:r>
        <w:t xml:space="preserve"/>
      </w:r>
    </w:p>
    <w:p>
      <w:r>
        <w:t xml:space="preserve"/>
      </w:r>
    </w:p>
    <w:p>
      <w:r>
        <w:t xml:space="preserve">The engine is the core of the application. All calculations must be traceable to the ASHRAE 2001 Handbook of Fundamentals (HOF). The engine must be modular so that additional methods (Manual J, simplified) can be plugged in later without rewriting the data model.</w:t>
      </w:r>
    </w:p>
    <w:p>
      <w:r>
        <w:t xml:space="preserve"/>
      </w:r>
    </w:p>
    <w:p>
      <w:pPr>
        <w:pStyle w:val="Heading2"/>
      </w:pPr>
      <w:r>
        <w:t xml:space="preserve">3.1 Cooling Load — CLTD/CLF/SCL Method</w:t>
      </w:r>
    </w:p>
    <w:p>
      <w:r>
        <w:t xml:space="preserve">The Cooling Load Temperature Difference (CLTD) / Cooling Load Factor (CLF) / Solar Cooling Load (SCL) method from the ASHRAE 2001 HOF Chapter 29 is the primary cooling load method for Phase 1.</w:t>
      </w:r>
    </w:p>
    <w:p>
      <w:r>
        <w:t xml:space="preserve"/>
      </w:r>
    </w:p>
    <w:p>
      <w:pPr>
        <w:pStyle w:val="Heading3"/>
      </w:pPr>
      <w:r>
        <w:t xml:space="preserve">3.1.1 Roof and Ceiling</w:t>
      </w:r>
    </w:p>
    <w:p>
      <w:r>
        <w:t xml:space="preserve">Q_roof = U × A × CLTD_corrected</w:t>
      </w:r>
    </w:p>
    <w:p>
      <w:r>
        <w:t xml:space="preserve">CLTD_corrected = CLTD_table + (25.5 - T_indoor) + (T_outdoor_mean - 29.4)</w:t>
      </w:r>
    </w:p>
    <w:p>
      <w:r>
        <w:t xml:space="preserve"/>
      </w:r>
    </w:p>
    <w:p>
      <w:pPr>
        <w:pStyle w:val="ListParagraph"/>
        <w:numPr>
          <w:ilvl w:val="0"/>
          <w:numId w:val="2"/>
        </w:numPr>
      </w:pPr>
      <w:r>
        <w:t xml:space="preserve">CLTD_table: from ASHRAE 2001 HOF Table 29-3, indexed by roof construction group and hour of peak.</w:t>
      </w:r>
    </w:p>
    <w:p>
      <w:pPr>
        <w:pStyle w:val="ListParagraph"/>
        <w:numPr>
          <w:ilvl w:val="0"/>
          <w:numId w:val="2"/>
        </w:numPr>
      </w:pPr>
      <w:r>
        <w:t xml:space="preserve">T_indoor: design indoor dry-bulb temperature (°C). Typical default: 24°C (75°F).</w:t>
      </w:r>
    </w:p>
    <w:p>
      <w:pPr>
        <w:pStyle w:val="ListParagraph"/>
        <w:numPr>
          <w:ilvl w:val="0"/>
          <w:numId w:val="2"/>
        </w:numPr>
      </w:pPr>
      <w:r>
        <w:t xml:space="preserve">T_outdoor_mean: mean outdoor dry-bulb = (design dry-bulb + daily range / 2).</w:t>
      </w:r>
    </w:p>
    <w:p>
      <w:pPr>
        <w:pStyle w:val="ListParagraph"/>
        <w:numPr>
          <w:ilvl w:val="0"/>
          <w:numId w:val="2"/>
        </w:numPr>
      </w:pPr>
      <w:r>
        <w:t xml:space="preserve">U: overall thermal transmittance of roof assembly (W/m²·K or BTU/hr·ft²·°F).</w:t>
      </w:r>
    </w:p>
    <w:p>
      <w:pPr>
        <w:pStyle w:val="ListParagraph"/>
        <w:numPr>
          <w:ilvl w:val="0"/>
          <w:numId w:val="2"/>
        </w:numPr>
      </w:pPr>
      <w:r>
        <w:t xml:space="preserve">A: area of roof/ceiling surface (m² or ft²).</w:t>
      </w:r>
    </w:p>
    <w:p>
      <w:r>
        <w:t xml:space="preserve"/>
      </w:r>
    </w:p>
    <w:p>
      <w:pPr>
        <w:pStyle w:val="Heading3"/>
      </w:pPr>
      <w:r>
        <w:t xml:space="preserve">3.1.2 Walls</w:t>
      </w:r>
    </w:p>
    <w:p>
      <w:r>
        <w:t xml:space="preserve">Q_wall = U × A × CLTD_corrected</w:t>
      </w:r>
    </w:p>
    <w:p>
      <w:r>
        <w:t xml:space="preserve">Same correction as roofs. CLTD_table from ASHRAE 2001 HOF Table 29-4, indexed by wall group and orientation.</w:t>
      </w:r>
    </w:p>
    <w:p>
      <w:r>
        <w:t xml:space="preserve"/>
      </w:r>
    </w:p>
    <w:p>
      <w:pPr>
        <w:pStyle w:val="ListParagraph"/>
        <w:numPr>
          <w:ilvl w:val="0"/>
          <w:numId w:val="2"/>
        </w:numPr>
      </w:pPr>
      <w:r>
        <w:t xml:space="preserve">Wall groups A–K correspond to construction mass per ASHRAE definitions.</w:t>
      </w:r>
    </w:p>
    <w:p>
      <w:pPr>
        <w:pStyle w:val="ListParagraph"/>
        <w:numPr>
          <w:ilvl w:val="0"/>
          <w:numId w:val="2"/>
        </w:numPr>
      </w:pPr>
      <w:r>
        <w:t xml:space="preserve">Orientation: N, NE, E, SE, S, SW, W, NW.</w:t>
      </w:r>
    </w:p>
    <w:p>
      <w:r>
        <w:t xml:space="preserve"/>
      </w:r>
    </w:p>
    <w:p>
      <w:pPr>
        <w:pStyle w:val="Heading3"/>
      </w:pPr>
      <w:r>
        <w:t xml:space="preserve">3.1.3 Windows — Conduction</w:t>
      </w:r>
    </w:p>
    <w:p>
      <w:r>
        <w:t xml:space="preserve">Q_window_cond = U × A × CLTD_glass</w:t>
      </w:r>
    </w:p>
    <w:p>
      <w:r>
        <w:t xml:space="preserve">CLTD_glass = 7.8°C (14°F) for all orientations (ASHRAE 2001 HOF, constant for glass).</w:t>
      </w:r>
    </w:p>
    <w:p>
      <w:r>
        <w:t xml:space="preserve"/>
      </w:r>
    </w:p>
    <w:p>
      <w:pPr>
        <w:pStyle w:val="Heading3"/>
      </w:pPr>
      <w:r>
        <w:t xml:space="preserve">3.1.4 Windows — Solar</w:t>
      </w:r>
    </w:p>
    <w:p>
      <w:r>
        <w:t xml:space="preserve">Q_window_solar = A × SHGC × SCL</w:t>
      </w:r>
    </w:p>
    <w:p>
      <w:r>
        <w:t xml:space="preserve"/>
      </w:r>
    </w:p>
    <w:p>
      <w:pPr>
        <w:pStyle w:val="ListParagraph"/>
        <w:numPr>
          <w:ilvl w:val="0"/>
          <w:numId w:val="2"/>
        </w:numPr>
      </w:pPr>
      <w:r>
        <w:t xml:space="preserve">SHGC: Solar Heat Gain Coefficient of glazing system.</w:t>
      </w:r>
    </w:p>
    <w:p>
      <w:pPr>
        <w:pStyle w:val="ListParagraph"/>
        <w:numPr>
          <w:ilvl w:val="0"/>
          <w:numId w:val="2"/>
        </w:numPr>
      </w:pPr>
      <w:r>
        <w:t xml:space="preserve">SCL: Solar Cooling Load factor from ASHRAE 2001 HOF Table 29-12, indexed by zone type, orientation, and month/hour.</w:t>
      </w:r>
    </w:p>
    <w:p>
      <w:r>
        <w:t xml:space="preserve"/>
      </w:r>
    </w:p>
    <w:p>
      <w:pPr>
        <w:pStyle w:val="Heading3"/>
      </w:pPr>
      <w:r>
        <w:t xml:space="preserve">3.1.5 Doors</w:t>
      </w:r>
    </w:p>
    <w:p>
      <w:r>
        <w:t xml:space="preserve">Q_door = U × A × CLTD_corrected (opaque doors use wall CLTD for same orientation).</w:t>
      </w:r>
    </w:p>
    <w:p>
      <w:r>
        <w:t xml:space="preserve"/>
      </w:r>
    </w:p>
    <w:p>
      <w:pPr>
        <w:pStyle w:val="Heading3"/>
      </w:pPr>
      <w:r>
        <w:t xml:space="preserve">3.1.6 Floors</w:t>
      </w:r>
    </w:p>
    <w:p>
      <w:r>
        <w:t xml:space="preserve">Ground-contact floors: Q_floor = U × A × (T_outdoor_mean - T_indoor). Typically small; may be ignored for cooling.</w:t>
      </w:r>
    </w:p>
    <w:p>
      <w:r>
        <w:t xml:space="preserve"/>
      </w:r>
    </w:p>
    <w:p>
      <w:pPr>
        <w:pStyle w:val="Heading3"/>
      </w:pPr>
      <w:r>
        <w:t xml:space="preserve">3.1.7 Infiltration &amp; Ventilation — Cooling</w:t>
      </w:r>
    </w:p>
    <w:p>
      <w:r>
        <w:t xml:space="preserve">Sensible: Q_s = 1.1 × CFM × ΔT  (IP units)  or  Q_s = 1.23 × L/s × ΔT  (SI)</w:t>
      </w:r>
    </w:p>
    <w:p>
      <w:r>
        <w:t xml:space="preserve">Latent:   Q_l = 4840 × CFM × ΔW  (IP)        or  Q_l = 3010 × L/s × ΔW  (SI)</w:t>
      </w:r>
    </w:p>
    <w:p>
      <w:r>
        <w:t xml:space="preserve"/>
      </w:r>
    </w:p>
    <w:p>
      <w:pPr>
        <w:pStyle w:val="ListParagraph"/>
        <w:numPr>
          <w:ilvl w:val="0"/>
          <w:numId w:val="2"/>
        </w:numPr>
      </w:pPr>
      <w:r>
        <w:t xml:space="preserve">CFM: infiltration + ventilation airflow.</w:t>
      </w:r>
    </w:p>
    <w:p>
      <w:pPr>
        <w:pStyle w:val="ListParagraph"/>
        <w:numPr>
          <w:ilvl w:val="0"/>
          <w:numId w:val="2"/>
        </w:numPr>
      </w:pPr>
      <w:r>
        <w:t xml:space="preserve">ΔT: outdoor design dry-bulb minus indoor design dry-bulb.</w:t>
      </w:r>
    </w:p>
    <w:p>
      <w:pPr>
        <w:pStyle w:val="ListParagraph"/>
        <w:numPr>
          <w:ilvl w:val="0"/>
          <w:numId w:val="2"/>
        </w:numPr>
      </w:pPr>
      <w:r>
        <w:t xml:space="preserve">ΔW: outdoor design humidity ratio minus indoor design humidity ratio (lb/lb or kg/kg).</w:t>
      </w:r>
    </w:p>
    <w:p>
      <w:r>
        <w:t xml:space="preserve"/>
      </w:r>
    </w:p>
    <w:p>
      <w:pPr>
        <w:pStyle w:val="Heading3"/>
      </w:pPr>
      <w:r>
        <w:t xml:space="preserve">3.1.8 Internal Gains</w:t>
      </w:r>
    </w:p>
    <w:p>
      <w:r>
        <w:t xml:space="preserve">People — Sensible: Q_s = N × sensible_gain_per_person (activity-dependent, ASHRAE 2001 HOF Table 29-1)</w:t>
      </w:r>
    </w:p>
    <w:p>
      <w:r>
        <w:t xml:space="preserve">People — Latent:   Q_l = N × latent_gain_per_person</w:t>
      </w:r>
    </w:p>
    <w:p>
      <w:r>
        <w:t xml:space="preserve">Lighting: Q = W_lights × CLF_lighting (ballast factor × heat fraction × CLF)</w:t>
      </w:r>
    </w:p>
    <w:p>
      <w:r>
        <w:t xml:space="preserve">Equipment: Q = W_equip × CLF_equip × usage_factor</w:t>
      </w:r>
    </w:p>
    <w:p>
      <w:r>
        <w:t xml:space="preserve"/>
      </w:r>
    </w:p>
    <w:p>
      <w:pPr>
        <w:pStyle w:val="Heading2"/>
      </w:pPr>
      <w:r>
        <w:t xml:space="preserve">3.2 Heating Load — Steady-State Method</w:t>
      </w:r>
    </w:p>
    <w:p>
      <w:r>
        <w:t xml:space="preserve">Heating load is calculated using steady-state conduction and infiltration. No CLTD tables are used; the method is a simple UA·ΔT calculation at design conditions.</w:t>
      </w:r>
    </w:p>
    <w:p>
      <w:r>
        <w:t xml:space="preserve"/>
      </w:r>
    </w:p>
    <w:p>
      <w:pPr>
        <w:pStyle w:val="Heading3"/>
      </w:pPr>
      <w:r>
        <w:t xml:space="preserve">3.2.1 Envelope Conduction</w:t>
      </w:r>
    </w:p>
    <w:p>
      <w:r>
        <w:t xml:space="preserve">Q_heat = Σ (U_i × A_i) × ΔT_design</w:t>
      </w:r>
    </w:p>
    <w:p>
      <w:pPr>
        <w:pStyle w:val="ListParagraph"/>
        <w:numPr>
          <w:ilvl w:val="0"/>
          <w:numId w:val="2"/>
        </w:numPr>
      </w:pPr>
      <w:r>
        <w:t xml:space="preserve">Sum over all surfaces: walls, roof, windows, doors, floors (with appropriate U-values).</w:t>
      </w:r>
    </w:p>
    <w:p>
      <w:pPr>
        <w:pStyle w:val="ListParagraph"/>
        <w:numPr>
          <w:ilvl w:val="0"/>
          <w:numId w:val="2"/>
        </w:numPr>
      </w:pPr>
      <w:r>
        <w:t xml:space="preserve">ΔT_design = T_indoor_heating - T_outdoor_design_heating.</w:t>
      </w:r>
    </w:p>
    <w:p>
      <w:r>
        <w:t xml:space="preserve"/>
      </w:r>
    </w:p>
    <w:p>
      <w:pPr>
        <w:pStyle w:val="Heading3"/>
      </w:pPr>
      <w:r>
        <w:t xml:space="preserve">3.2.2 Infiltration — Heating</w:t>
      </w:r>
    </w:p>
    <w:p>
      <w:r>
        <w:t xml:space="preserve">Q_infil = 0.018 × CFM × ΔT  (IP)   or   Q_infil = 1.23 × L/s × ΔT  (SI)</w:t>
      </w:r>
    </w:p>
    <w:p>
      <w:r>
        <w:t xml:space="preserve">Note: Heating infiltration is sensible only (latent not typically included in heating load).</w:t>
      </w:r>
    </w:p>
    <w:p>
      <w:r>
        <w:t xml:space="preserve"/>
      </w:r>
    </w:p>
    <w:p>
      <w:pPr>
        <w:pStyle w:val="Heading2"/>
      </w:pPr>
      <w:r>
        <w:t xml:space="preserve">3.3 Unit System</w:t>
      </w:r>
    </w:p>
    <w:p>
      <w:r>
        <w:t xml:space="preserve">The engine must support both IP (inch-pound) and SI units internally, with a project-level setting. All ASHRAE table data will be stored in both unit systems or converted on load.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IP lengths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feet, inches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IP areas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ft²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IP heat transfer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BTU/hr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IP U-value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BTU/(hr·ft²·°F)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IP airflow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CFM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SI lengths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SI areas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SI heat transfer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SI U-value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W/(m²·K)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SI airflow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L/s</w:t>
            </w:r>
          </w:p>
        </w:tc>
      </w:tr>
    </w:tbl>
    <w:p>
      <w:r>
        <w:t xml:space="preserve"/>
      </w:r>
    </w:p>
    <w:p>
      <w:pPr>
        <w:pStyle w:val="Heading2"/>
      </w:pPr>
      <w:r>
        <w:t xml:space="preserve">3.4 Airflow Targets (Cooling, Per Room)</w:t>
      </w:r>
    </w:p>
    <w:p>
      <w:r>
        <w:t xml:space="preserve">Supply airflow for each room is derived from the room sensible cooling load:</w:t>
      </w:r>
    </w:p>
    <w:p>
      <w:r>
        <w:t xml:space="preserve">CFM = Q_s / (1.1 × ΔT_supply)</w:t>
      </w:r>
    </w:p>
    <w:p>
      <w:pPr>
        <w:pStyle w:val="ListParagraph"/>
        <w:numPr>
          <w:ilvl w:val="0"/>
          <w:numId w:val="2"/>
        </w:numPr>
      </w:pPr>
      <w:r>
        <w:t xml:space="preserve">Q_s: room sensible cooling load (BTU/hr).</w:t>
      </w:r>
    </w:p>
    <w:p>
      <w:pPr>
        <w:pStyle w:val="ListParagraph"/>
        <w:numPr>
          <w:ilvl w:val="0"/>
          <w:numId w:val="2"/>
        </w:numPr>
      </w:pPr>
      <w:r>
        <w:t xml:space="preserve">ΔT_supply: temperature difference between supply air and room (typically 15–20°F).</w:t>
      </w:r>
    </w:p>
    <w:p>
      <w:r>
        <w:t xml:space="preserve">This value is the primary output for HVAC duct/zone design handed to the contractor.</w:t>
      </w:r>
    </w:p>
    <w:p>
      <w:r>
        <w:t xml:space="preserve"/>
      </w:r>
    </w:p>
    <w:p>
      <w:pPr>
        <w:pStyle w:val="Heading1"/>
      </w:pPr>
      <w:r>
        <w:t xml:space="preserve">4. Data Model</w:t>
      </w:r>
    </w:p>
    <w:p>
      <w:pPr>
        <w:pBdr>
          <w:bottom w:val="single" w:color="2E75B6" w:sz="6" w:space="1"/>
        </w:pBdr>
      </w:pPr>
      <w:r>
        <w:t xml:space="preserve"/>
      </w:r>
    </w:p>
    <w:p>
      <w:r>
        <w:t xml:space="preserve"/>
      </w:r>
    </w:p>
    <w:p>
      <w:r>
        <w:t xml:space="preserve">The following hierarchical data model drives all calculations and UI state. This is the canonical schema; all persistence layers (database, file export) must conform to it.</w:t>
      </w:r>
    </w:p>
    <w:p>
      <w:r>
        <w:t xml:space="preserve"/>
      </w:r>
    </w:p>
    <w:p>
      <w:pPr>
        <w:pStyle w:val="Heading2"/>
      </w:pPr>
      <w:r>
        <w:t xml:space="preserve">4.1 Hierarchy</w:t>
      </w:r>
    </w:p>
    <w:p>
      <w:pPr>
        <w:pStyle w:val="ListParagraph"/>
        <w:numPr>
          <w:ilvl w:val="0"/>
          <w:numId w:val="2"/>
        </w:numPr>
      </w:pPr>
      <w:r>
        <w:t xml:space="preserve">Project → one or more Buildings</w:t>
      </w:r>
    </w:p>
    <w:p>
      <w:pPr>
        <w:pStyle w:val="ListParagraph"/>
        <w:numPr>
          <w:ilvl w:val="0"/>
          <w:numId w:val="2"/>
        </w:numPr>
      </w:pPr>
      <w:r>
        <w:t xml:space="preserve">Building → one or more Zones</w:t>
      </w:r>
    </w:p>
    <w:p>
      <w:pPr>
        <w:pStyle w:val="ListParagraph"/>
        <w:numPr>
          <w:ilvl w:val="0"/>
          <w:numId w:val="2"/>
        </w:numPr>
      </w:pPr>
      <w:r>
        <w:t xml:space="preserve">Zone → one or more Rooms</w:t>
      </w:r>
    </w:p>
    <w:p>
      <w:pPr>
        <w:pStyle w:val="ListParagraph"/>
        <w:numPr>
          <w:ilvl w:val="0"/>
          <w:numId w:val="2"/>
        </w:numPr>
      </w:pPr>
      <w:r>
        <w:t xml:space="preserve">Room → Envelope components (walls, windows, doors, roof/ceiling, floor) + Internal gains</w:t>
      </w:r>
    </w:p>
    <w:p>
      <w:r>
        <w:t xml:space="preserve"/>
      </w:r>
    </w:p>
    <w:p>
      <w:pPr>
        <w:pStyle w:val="Heading2"/>
      </w:pPr>
      <w:r>
        <w:t xml:space="preserve">4.2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project_id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(optional)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created_at / updated_at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 8601 datetime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unit_system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 "SI"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location_id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ClimateLocation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design_conditions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Embedded object (see 4.5) — overrides location defaults if set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calc_method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"ashrae_2001" | "manual_j" | "simplified" — Phase 1 only supports ashrae_2001</w:t>
            </w:r>
          </w:p>
        </w:tc>
      </w:tr>
    </w:tbl>
    <w:p>
      <w:r>
        <w:t xml:space="preserve"/>
      </w:r>
    </w:p>
    <w:p>
      <w:pPr>
        <w:pStyle w:val="Heading2"/>
      </w:pPr>
      <w:r>
        <w:t xml:space="preserve">4.3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room_id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zone_id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Zone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"Master Bedroom")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floor_area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(ft² or m²)</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ceiling_height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walls[]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 of Wall objects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windows[]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 of Window objects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doors[]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 of Door objects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roof_ceiling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RoofCeiling object (nullable)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floor_slab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FloorSlab object (nullable)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occupants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(count)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activity_level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"seated_light") per ASHRAE 2001 HOF Table 29-1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lighting_w_per_sqft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equipment_watts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(plug loads)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infiltration_method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"ach" | "cfm" | "crack"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infiltration_value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(ACH or CFM depending on method)</w:t>
            </w:r>
          </w:p>
        </w:tc>
      </w:tr>
    </w:tbl>
    <w:p>
      <w:r>
        <w:t xml:space="preserve"/>
      </w:r>
    </w:p>
    <w:p>
      <w:pPr>
        <w:pStyle w:val="Heading2"/>
      </w:pPr>
      <w:r>
        <w:t xml:space="preserve">4.4 Envelope Components</w:t>
      </w:r>
    </w:p>
    <w:p>
      <w:pPr>
        <w:pStyle w:val="Heading3"/>
      </w:pPr>
      <w:r>
        <w:t xml:space="preserve">4.4.1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orientation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 | "NE" | "E" | "SE" | "S" | "SW" | "W" | "NW"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u_value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assembly_id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to ConstructionAssembly (optional)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ashrae_wall_group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through "K" (for CLTD table lookup)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is_exterior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r>
    </w:tbl>
    <w:p>
      <w:r>
        <w:t xml:space="preserve"/>
      </w:r>
    </w:p>
    <w:p>
      <w:pPr>
        <w:pStyle w:val="Heading3"/>
      </w:pPr>
      <w:r>
        <w:t xml:space="preserve">4.4.2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orientation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as wall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(rough opening or glazing area — configurable)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u_value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shgc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(0–1)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has_interior_shade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shade_type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(e.g., "venetian_blind_light")</w:t>
            </w:r>
          </w:p>
        </w:tc>
      </w:tr>
    </w:tbl>
    <w:p>
      <w:r>
        <w:t xml:space="preserve"/>
      </w:r>
    </w:p>
    <w:p>
      <w:pPr>
        <w:pStyle w:val="Heading3"/>
      </w:pPr>
      <w:r>
        <w:t xml:space="preserve">4.4.3 RoofCeiling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u_value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ashrae_roof_group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1–13 (CLTD table row)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is_attic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 (attic affects calculation path)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attic_r_value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(if is_attic = true)</w:t>
            </w:r>
          </w:p>
        </w:tc>
      </w:tr>
    </w:tbl>
    <w:p>
      <w:r>
        <w:t xml:space="preserve"/>
      </w:r>
    </w:p>
    <w:p>
      <w:pPr>
        <w:pStyle w:val="Heading2"/>
      </w:pPr>
      <w:r>
        <w:t xml:space="preserve">4.5 Design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cooling_db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Outdoor design dry-bulb, cooling (°F or °C)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cooling_wb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Outdoor design wet-bulb, cooling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cooling_mcwb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 coincident wet-bulb (for latent calc)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heating_db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Outdoor design dry-bulb, heating (99.6% or 99%)</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indoor_cooling_db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Indoor cooling setpoint (default 75°F / 24°C)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indoor_cooling_rh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Indoor relative humidity setpoint (default 50%)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indoor_heating_db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Indoor heating setpoint (default 70°F / 21°C)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daily_range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 temperature range (°F or °C) — affects CLTD correction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latitude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Degrees (for solar angle calculations)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elevation_ft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Elevation (affects air density)</w:t>
            </w:r>
          </w:p>
        </w:tc>
      </w:tr>
    </w:tbl>
    <w:p>
      <w:r>
        <w:t xml:space="preserve"/>
      </w:r>
    </w:p>
    <w:p>
      <w:pPr>
        <w:pStyle w:val="Heading1"/>
      </w:pPr>
      <w:r>
        <w:t xml:space="preserve">5. Climate Data</w:t>
      </w:r>
    </w:p>
    <w:p>
      <w:pPr>
        <w:pBdr>
          <w:bottom w:val="single" w:color="2E75B6" w:sz="6" w:space="1"/>
        </w:pBdr>
      </w:pPr>
      <w:r>
        <w:t xml:space="preserve"/>
      </w:r>
    </w:p>
    <w:p>
      <w:r>
        <w:t xml:space="preserve"/>
      </w:r>
    </w:p>
    <w:p>
      <w:r>
        <w:t xml:space="preserve">Climate data is sourced from ASHRAE 2001 HOF Appendix tables (Chapter 27 / Climatic Design Information). The application ships a bundled JSON database of ASHRAE design conditions for all ASHRAE-listed US and Canadian locations.</w:t>
      </w:r>
    </w:p>
    <w:p>
      <w:r>
        <w:t xml:space="preserve"/>
      </w:r>
    </w:p>
    <w:p>
      <w:pPr>
        <w:pStyle w:val="Heading2"/>
      </w:pPr>
      <w:r>
        <w:t xml:space="preserve">5.1 Climate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location_id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 or WBAN station code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state_province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country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latitude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 degrees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longitude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 degrees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elevation_ft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cooling_99_6_db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Cooling design dry-bulb (0.4% annual)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cooling_mcwb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 coincident wet-bulb at cooling design DB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heating_99_6_db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Heating design dry-bulb (99.6% annual)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heating_99_db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Heating design dry-bulb (99% annual)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daily_range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 daily temperature range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ground_temp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average ground temperature (for slab calcs)</w:t>
            </w:r>
          </w:p>
        </w:tc>
      </w:tr>
    </w:tbl>
    <w:p>
      <w:r>
        <w:t xml:space="preserve"/>
      </w:r>
    </w:p>
    <w:p>
      <w:pPr>
        <w:pStyle w:val="Heading2"/>
      </w:pPr>
      <w:r>
        <w:t xml:space="preserve">5.2 Lookup Behavior</w:t>
      </w:r>
    </w:p>
    <w:p>
      <w:pPr>
        <w:pStyle w:val="ListParagraph"/>
        <w:numPr>
          <w:ilvl w:val="0"/>
          <w:numId w:val="2"/>
        </w:numPr>
      </w:pPr>
      <w:r>
        <w:t xml:space="preserve">User searches by city name or state; fuzzy match returns ranked candidates.</w:t>
      </w:r>
    </w:p>
    <w:p>
      <w:pPr>
        <w:pStyle w:val="ListParagraph"/>
        <w:numPr>
          <w:ilvl w:val="0"/>
          <w:numId w:val="2"/>
        </w:numPr>
      </w:pPr>
      <w:r>
        <w:t xml:space="preserve">All design condition fields auto-populate from the selected location.</w:t>
      </w:r>
    </w:p>
    <w:p>
      <w:pPr>
        <w:pStyle w:val="ListParagraph"/>
        <w:numPr>
          <w:ilvl w:val="0"/>
          <w:numId w:val="2"/>
        </w:numPr>
      </w:pPr>
      <w:r>
        <w:t xml:space="preserve">Every field is individually editable after population — overrides are persisted to the Project record.</w:t>
      </w:r>
    </w:p>
    <w:p>
      <w:pPr>
        <w:pStyle w:val="ListParagraph"/>
        <w:numPr>
          <w:ilvl w:val="0"/>
          <w:numId w:val="2"/>
        </w:numPr>
      </w:pPr>
      <w:r>
        <w:t xml:space="preserve">A visual indicator distinguishes auto-populated vs. manually overridden values.</w:t>
      </w:r>
    </w:p>
    <w:p>
      <w:r>
        <w:t xml:space="preserve"/>
      </w:r>
    </w:p>
    <w:p>
      <w:pPr>
        <w:pStyle w:val="Heading1"/>
      </w:pPr>
      <w:r>
        <w:t xml:space="preserve">6. Technology Stack</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 TypeScript 5. Vite build tool. Tailwind CSS for styling.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State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Zustand (lightweight, no boilerplate).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Forms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Hook Form + Zod for schema validation.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3.11+ with FastAPI. Pydantic v2 models.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Calculation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Pure Python module (no framework dependency) — unit-testable in isolation.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 for local/single-user. PostgreSQL-ready via SQLAlchemy ORM. Phase 1 uses SQLite.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PDF reports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WeasyPrint (Python) for server-side PDF generation from HTML/CSS templates.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Climate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Bundled JSON file (ASHRAE locations). No external API dependency.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ASHRAE tables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Bundled JSON/CSV lookup tables (CLTD, CLF, SCL, etc.) from ASHRAE 2001 HOF.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Pytest (backend). Vitest (frontend). At least one known-good Manual calc per component.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local development only. Phase 3+: Dockerized, deployable to any VPS/cloud.</w:t>
            </w:r>
          </w:p>
        </w:tc>
      </w:tr>
    </w:tbl>
    <w:p>
      <w:r>
        <w:t xml:space="preserve"/>
      </w:r>
    </w:p>
    <w:p>
      <w:pPr>
        <w:pStyle w:val="Heading2"/>
      </w:pPr>
      <w:r>
        <w:t xml:space="preserve">6.1 Repository Structure</w:t>
      </w:r>
    </w:p>
    <w:p>
      <w:r>
        <w:t xml:space="preserve">Recommended monorepo layout:</w:t>
      </w:r>
    </w:p>
    <w:p>
      <w:r>
        <w:t xml:space="preserve"/>
      </w:r>
    </w:p>
    <w:p>
      <w:r>
        <w:rPr>
          <w:rFonts w:ascii="Courier New" w:cs="Courier New" w:eastAsia="Courier New" w:hAnsi="Courier New"/>
          <w:b/>
          <w:bCs/>
          <w:sz w:val="20"/>
          <w:szCs w:val="20"/>
        </w:rPr>
        <w:t xml:space="preserve">resload/</w:t>
      </w:r>
    </w:p>
    <w:p>
      <w:r>
        <w:rPr>
          <w:rFonts w:ascii="Courier New" w:cs="Courier New" w:eastAsia="Courier New" w:hAnsi="Courier New"/>
          <w:sz w:val="18"/>
          <w:szCs w:val="18"/>
        </w:rPr>
        <w:t xml:space="preserve">  backend/          — FastAPI app + calculation engine</w:t>
      </w:r>
    </w:p>
    <w:p>
      <w:r>
        <w:rPr>
          <w:rFonts w:ascii="Courier New" w:cs="Courier New" w:eastAsia="Courier New" w:hAnsi="Courier New"/>
          <w:sz w:val="18"/>
          <w:szCs w:val="18"/>
        </w:rPr>
        <w:t xml:space="preserve">    engine/          — Pure Python calc modules</w:t>
      </w:r>
    </w:p>
    <w:p>
      <w:r>
        <w:rPr>
          <w:rFonts w:ascii="Courier New" w:cs="Courier New" w:eastAsia="Courier New" w:hAnsi="Courier New"/>
          <w:sz w:val="18"/>
          <w:szCs w:val="18"/>
        </w:rPr>
        <w:t xml:space="preserve">      ashrae_cooling.py</w:t>
      </w:r>
    </w:p>
    <w:p>
      <w:r>
        <w:rPr>
          <w:rFonts w:ascii="Courier New" w:cs="Courier New" w:eastAsia="Courier New" w:hAnsi="Courier New"/>
          <w:sz w:val="18"/>
          <w:szCs w:val="18"/>
        </w:rPr>
        <w:t xml:space="preserve">      ashrae_heating.py</w:t>
      </w:r>
    </w:p>
    <w:p>
      <w:r>
        <w:rPr>
          <w:rFonts w:ascii="Courier New" w:cs="Courier New" w:eastAsia="Courier New" w:hAnsi="Courier New"/>
          <w:sz w:val="18"/>
          <w:szCs w:val="18"/>
        </w:rPr>
        <w:t xml:space="preserve">      infiltration.py</w:t>
      </w:r>
    </w:p>
    <w:p>
      <w:r>
        <w:rPr>
          <w:rFonts w:ascii="Courier New" w:cs="Courier New" w:eastAsia="Courier New" w:hAnsi="Courier New"/>
          <w:sz w:val="18"/>
          <w:szCs w:val="18"/>
        </w:rPr>
        <w:t xml:space="preserve">      internal_gains.py</w:t>
      </w:r>
    </w:p>
    <w:p>
      <w:r>
        <w:rPr>
          <w:rFonts w:ascii="Courier New" w:cs="Courier New" w:eastAsia="Courier New" w:hAnsi="Courier New"/>
          <w:sz w:val="18"/>
          <w:szCs w:val="18"/>
        </w:rPr>
        <w:t xml:space="preserve">      unit_conversion.py</w:t>
      </w:r>
    </w:p>
    <w:p>
      <w:r>
        <w:rPr>
          <w:rFonts w:ascii="Courier New" w:cs="Courier New" w:eastAsia="Courier New" w:hAnsi="Courier New"/>
          <w:sz w:val="18"/>
          <w:szCs w:val="18"/>
        </w:rPr>
        <w:t xml:space="preserve">    data/             — Bundled ASHRAE tables (JSON/CSV)</w:t>
      </w:r>
    </w:p>
    <w:p>
      <w:r>
        <w:rPr>
          <w:rFonts w:ascii="Courier New" w:cs="Courier New" w:eastAsia="Courier New" w:hAnsi="Courier New"/>
          <w:sz w:val="18"/>
          <w:szCs w:val="18"/>
        </w:rPr>
        <w:t xml:space="preserve">    api/              — FastAPI routers</w:t>
      </w:r>
    </w:p>
    <w:p>
      <w:r>
        <w:rPr>
          <w:rFonts w:ascii="Courier New" w:cs="Courier New" w:eastAsia="Courier New" w:hAnsi="Courier New"/>
          <w:sz w:val="18"/>
          <w:szCs w:val="18"/>
        </w:rPr>
        <w:t xml:space="preserve">    models/           — Pydantic + SQLAlchemy models</w:t>
      </w:r>
    </w:p>
    <w:p>
      <w:r>
        <w:rPr>
          <w:rFonts w:ascii="Courier New" w:cs="Courier New" w:eastAsia="Courier New" w:hAnsi="Courier New"/>
          <w:sz w:val="18"/>
          <w:szCs w:val="18"/>
        </w:rPr>
        <w:t xml:space="preserve">    reports/          — PDF templates (WeasyPrint)</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frontend/          — React + TypeScript app</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pages/</w:t>
      </w:r>
    </w:p>
    <w:p>
      <w:r>
        <w:rPr>
          <w:rFonts w:ascii="Courier New" w:cs="Courier New" w:eastAsia="Courier New" w:hAnsi="Courier New"/>
          <w:sz w:val="18"/>
          <w:szCs w:val="18"/>
        </w:rPr>
        <w:t xml:space="preserve">      store/          — Zustand stores</w:t>
      </w:r>
    </w:p>
    <w:p>
      <w:r>
        <w:rPr>
          <w:rFonts w:ascii="Courier New" w:cs="Courier New" w:eastAsia="Courier New" w:hAnsi="Courier New"/>
          <w:sz w:val="18"/>
          <w:szCs w:val="18"/>
        </w:rPr>
        <w:t xml:space="preserve">      api/            — API client (fetch/axios)</w:t>
      </w:r>
    </w:p>
    <w:p>
      <w:r>
        <w:rPr>
          <w:rFonts w:ascii="Courier New" w:cs="Courier New" w:eastAsia="Courier New" w:hAnsi="Courier New"/>
          <w:sz w:val="18"/>
          <w:szCs w:val="18"/>
        </w:rPr>
        <w:t xml:space="preserve">  docs/              — This document and any supplemental references</w:t>
      </w:r>
    </w:p>
    <w:p>
      <w:r>
        <w:t xml:space="preserve"/>
      </w:r>
    </w:p>
    <w:p>
      <w:pPr>
        <w:pStyle w:val="Heading1"/>
      </w:pPr>
      <w:r>
        <w:t xml:space="preserve">7. UI / UX Specification</w:t>
      </w:r>
    </w:p>
    <w:p>
      <w:pPr>
        <w:pBdr>
          <w:bottom w:val="single" w:color="2E75B6" w:sz="6" w:space="1"/>
        </w:pBdr>
      </w:pPr>
      <w:r>
        <w:t xml:space="preserve"/>
      </w:r>
    </w:p>
    <w:p>
      <w:r>
        <w:t xml:space="preserve"/>
      </w:r>
    </w:p>
    <w:p>
      <w:pPr>
        <w:pStyle w:val="Heading2"/>
      </w:pPr>
      <w:r>
        <w:t xml:space="preserve">7.1 Application Layout</w:t>
      </w:r>
    </w:p>
    <w:p>
      <w:r>
        <w:t xml:space="preserve">Single-page application with a persistent left sidebar and main content area.</w:t>
      </w:r>
    </w:p>
    <w:p>
      <w:r>
        <w:t xml:space="preserve"/>
      </w:r>
    </w:p>
    <w:p>
      <w:pPr>
        <w:pStyle w:val="ListParagraph"/>
        <w:numPr>
          <w:ilvl w:val="0"/>
          <w:numId w:val="2"/>
        </w:numPr>
      </w:pPr>
      <w:r>
        <w:t xml:space="preserve">Sidebar: project tree (Project &gt; Building &gt; Zone &gt; Room). Click any node to navigate to it.</w:t>
      </w:r>
    </w:p>
    <w:p>
      <w:pPr>
        <w:pStyle w:val="ListParagraph"/>
        <w:numPr>
          <w:ilvl w:val="0"/>
          <w:numId w:val="2"/>
        </w:numPr>
      </w:pPr>
      <w:r>
        <w:t xml:space="preserve">Top bar: project name, unit system toggle (IP/SI), save status, generate report button.</w:t>
      </w:r>
    </w:p>
    <w:p>
      <w:pPr>
        <w:pStyle w:val="ListParagraph"/>
        <w:numPr>
          <w:ilvl w:val="0"/>
          <w:numId w:val="2"/>
        </w:numPr>
      </w:pPr>
      <w:r>
        <w:t xml:space="preserve">Main area: context-sensitive form for the selected node.</w:t>
      </w:r>
    </w:p>
    <w:p>
      <w:r>
        <w:t xml:space="preserve"/>
      </w:r>
    </w:p>
    <w:p>
      <w:pPr>
        <w:pStyle w:val="Heading2"/>
      </w:pPr>
      <w:r>
        <w:t xml:space="preserve">7.2 Room Input Form</w:t>
      </w:r>
    </w:p>
    <w:p>
      <w:r>
        <w:t xml:space="preserve">The room form is the primary data entry surface. It uses tabbed sections:</w:t>
      </w:r>
    </w:p>
    <w:p>
      <w:r>
        <w:t xml:space="preserve"/>
      </w:r>
    </w:p>
    <w:p>
      <w:pPr>
        <w:pStyle w:val="ListParagraph"/>
        <w:numPr>
          <w:ilvl w:val="0"/>
          <w:numId w:val="3"/>
        </w:numPr>
      </w:pPr>
      <w:r>
        <w:t xml:space="preserve">General: name, floor area, ceiling height, occupants, activity level.</w:t>
      </w:r>
    </w:p>
    <w:p>
      <w:pPr>
        <w:pStyle w:val="ListParagraph"/>
        <w:numPr>
          <w:ilvl w:val="0"/>
          <w:numId w:val="3"/>
        </w:numPr>
      </w:pPr>
      <w:r>
        <w:t xml:space="preserve">Walls: table of wall entries. Each row: orientation, area, U-value (or assembly selector), wall group.</w:t>
      </w:r>
    </w:p>
    <w:p>
      <w:pPr>
        <w:pStyle w:val="ListParagraph"/>
        <w:numPr>
          <w:ilvl w:val="0"/>
          <w:numId w:val="3"/>
        </w:numPr>
      </w:pPr>
      <w:r>
        <w:t xml:space="preserve">Windows: table of window entries. Each row: orientation, area, U-value, SHGC, shading.</w:t>
      </w:r>
    </w:p>
    <w:p>
      <w:pPr>
        <w:pStyle w:val="ListParagraph"/>
        <w:numPr>
          <w:ilvl w:val="0"/>
          <w:numId w:val="3"/>
        </w:numPr>
      </w:pPr>
      <w:r>
        <w:t xml:space="preserve">Roof / Floor: ceiling/roof type, area, U-value, roof group. Floor slab / exposed floor.</w:t>
      </w:r>
    </w:p>
    <w:p>
      <w:pPr>
        <w:pStyle w:val="ListParagraph"/>
        <w:numPr>
          <w:ilvl w:val="0"/>
          <w:numId w:val="3"/>
        </w:numPr>
      </w:pPr>
      <w:r>
        <w:t xml:space="preserve">Internal Gains: occupants (auto from General), lighting W/ft², equipment watts.</w:t>
      </w:r>
    </w:p>
    <w:p>
      <w:pPr>
        <w:pStyle w:val="ListParagraph"/>
        <w:numPr>
          <w:ilvl w:val="0"/>
          <w:numId w:val="3"/>
        </w:numPr>
      </w:pPr>
      <w:r>
        <w:t xml:space="preserve">Infiltration: method selector (ACH / CFM), value input.</w:t>
      </w:r>
    </w:p>
    <w:p>
      <w:r>
        <w:t xml:space="preserve"/>
      </w:r>
    </w:p>
    <w:p>
      <w:pPr>
        <w:pStyle w:val="Heading2"/>
      </w:pPr>
      <w:r>
        <w:t xml:space="preserve">7.3 Results Panel</w:t>
      </w:r>
    </w:p>
    <w:p>
      <w:r>
        <w:t xml:space="preserve">A collapsible panel on the right side (or bottom drawer on smaller screens) shows live calculation results as inputs are changed. It displays:</w:t>
      </w:r>
    </w:p>
    <w:p>
      <w:r>
        <w:t xml:space="preserve"/>
      </w:r>
    </w:p>
    <w:p>
      <w:pPr>
        <w:pStyle w:val="ListParagraph"/>
        <w:numPr>
          <w:ilvl w:val="0"/>
          <w:numId w:val="2"/>
        </w:numPr>
      </w:pPr>
      <w:r>
        <w:t xml:space="preserve">Room sensible cooling load (BTU/hr)</w:t>
      </w:r>
    </w:p>
    <w:p>
      <w:pPr>
        <w:pStyle w:val="ListParagraph"/>
        <w:numPr>
          <w:ilvl w:val="0"/>
          <w:numId w:val="2"/>
        </w:numPr>
      </w:pPr>
      <w:r>
        <w:t xml:space="preserve">Room latent cooling load (BTU/hr)</w:t>
      </w:r>
    </w:p>
    <w:p>
      <w:pPr>
        <w:pStyle w:val="ListParagraph"/>
        <w:numPr>
          <w:ilvl w:val="0"/>
          <w:numId w:val="2"/>
        </w:numPr>
      </w:pPr>
      <w:r>
        <w:t xml:space="preserve">Room total cooling load (BTU/hr)</w:t>
      </w:r>
    </w:p>
    <w:p>
      <w:pPr>
        <w:pStyle w:val="ListParagraph"/>
        <w:numPr>
          <w:ilvl w:val="0"/>
          <w:numId w:val="2"/>
        </w:numPr>
      </w:pPr>
      <w:r>
        <w:t xml:space="preserve">Room heating load (BTU/hr)</w:t>
      </w:r>
    </w:p>
    <w:p>
      <w:pPr>
        <w:pStyle w:val="ListParagraph"/>
        <w:numPr>
          <w:ilvl w:val="0"/>
          <w:numId w:val="2"/>
        </w:numPr>
      </w:pPr>
      <w:r>
        <w:t xml:space="preserve">Required supply airflow CFM</w:t>
      </w:r>
    </w:p>
    <w:p>
      <w:pPr>
        <w:pStyle w:val="ListParagraph"/>
        <w:numPr>
          <w:ilvl w:val="0"/>
          <w:numId w:val="2"/>
        </w:numPr>
      </w:pPr>
      <w:r>
        <w:t xml:space="preserve">Breakdown by component (wall, window, roof, infiltration, internal gains) as a simple bar chart.</w:t>
      </w:r>
    </w:p>
    <w:p>
      <w:r>
        <w:t xml:space="preserve"/>
      </w:r>
    </w:p>
    <w:p>
      <w:pPr>
        <w:pStyle w:val="Heading2"/>
      </w:pPr>
      <w:r>
        <w:t xml:space="preserve">7.4 Project Summary View</w:t>
      </w:r>
    </w:p>
    <w:p>
      <w:r>
        <w:t xml:space="preserve">At the project/building level, display:</w:t>
      </w:r>
    </w:p>
    <w:p>
      <w:r>
        <w:t xml:space="preserve"/>
      </w:r>
    </w:p>
    <w:p>
      <w:pPr>
        <w:pStyle w:val="ListParagraph"/>
        <w:numPr>
          <w:ilvl w:val="0"/>
          <w:numId w:val="2"/>
        </w:numPr>
      </w:pPr>
      <w:r>
        <w:t xml:space="preserve">Total system sensible and latent cooling load (BTU/hr and tons).</w:t>
      </w:r>
    </w:p>
    <w:p>
      <w:pPr>
        <w:pStyle w:val="ListParagraph"/>
        <w:numPr>
          <w:ilvl w:val="0"/>
          <w:numId w:val="2"/>
        </w:numPr>
      </w:pPr>
      <w:r>
        <w:t xml:space="preserve">Total system heating load (BTU/hr and MBH).</w:t>
      </w:r>
    </w:p>
    <w:p>
      <w:pPr>
        <w:pStyle w:val="ListParagraph"/>
        <w:numPr>
          <w:ilvl w:val="0"/>
          <w:numId w:val="2"/>
        </w:numPr>
      </w:pPr>
      <w:r>
        <w:t xml:space="preserve">Room-by-room table: name, cooling load, heating load, supply CFM.</w:t>
      </w:r>
    </w:p>
    <w:p>
      <w:pPr>
        <w:pStyle w:val="ListParagraph"/>
        <w:numPr>
          <w:ilvl w:val="0"/>
          <w:numId w:val="2"/>
        </w:numPr>
      </w:pPr>
      <w:r>
        <w:t xml:space="preserve">Dominant load component per room (for quick diagnostics).</w:t>
      </w:r>
    </w:p>
    <w:p>
      <w:r>
        <w:t xml:space="preserve"/>
      </w:r>
    </w:p>
    <w:p>
      <w:pPr>
        <w:pStyle w:val="Heading1"/>
      </w:pPr>
      <w:r>
        <w:t xml:space="preserve">8. Output Specifications</w:t>
      </w:r>
    </w:p>
    <w:p>
      <w:pPr>
        <w:pBdr>
          <w:bottom w:val="single" w:color="2E75B6" w:sz="6" w:space="1"/>
        </w:pBdr>
      </w:pPr>
      <w:r>
        <w:t xml:space="preserve"/>
      </w:r>
    </w:p>
    <w:p>
      <w:r>
        <w:t xml:space="preserve"/>
      </w:r>
    </w:p>
    <w:p>
      <w:pPr>
        <w:pStyle w:val="Heading2"/>
      </w:pPr>
      <w:r>
        <w:t xml:space="preserve">8.1 PDF Report (Phase 2)</w:t>
      </w:r>
    </w:p>
    <w:p>
      <w:r>
        <w:t xml:space="preserve">The PDF report is the primary deliverable. It must be professional enough to submit with permit applications or hand to a contractor. Required sections:</w:t>
      </w:r>
    </w:p>
    <w:p>
      <w:r>
        <w:t xml:space="preserve"/>
      </w:r>
    </w:p>
    <w:p>
      <w:pPr>
        <w:pStyle w:val="ListParagraph"/>
        <w:numPr>
          <w:ilvl w:val="0"/>
          <w:numId w:val="3"/>
        </w:numPr>
      </w:pPr>
      <w:r>
        <w:t xml:space="preserve">Cover page: project name, address, engineer of record, date, calculation method.</w:t>
      </w:r>
    </w:p>
    <w:p>
      <w:pPr>
        <w:pStyle w:val="ListParagraph"/>
        <w:numPr>
          <w:ilvl w:val="0"/>
          <w:numId w:val="3"/>
        </w:numPr>
      </w:pPr>
      <w:r>
        <w:t xml:space="preserve">Design conditions summary: location, outdoor and indoor design temps, daily range, latent conditions.</w:t>
      </w:r>
    </w:p>
    <w:p>
      <w:pPr>
        <w:pStyle w:val="ListParagraph"/>
        <w:numPr>
          <w:ilvl w:val="0"/>
          <w:numId w:val="3"/>
        </w:numPr>
      </w:pPr>
      <w:r>
        <w:t xml:space="preserve">System sizing summary: total cooling (BTU/hr, tons), total heating (BTU/hr, MBH).</w:t>
      </w:r>
    </w:p>
    <w:p>
      <w:pPr>
        <w:pStyle w:val="ListParagraph"/>
        <w:numPr>
          <w:ilvl w:val="0"/>
          <w:numId w:val="3"/>
        </w:numPr>
      </w:pPr>
      <w:r>
        <w:t xml:space="preserve">Room-by-room load table: one row per room with sensible, latent, total cooling, heating, and supply CFM.</w:t>
      </w:r>
    </w:p>
    <w:p>
      <w:pPr>
        <w:pStyle w:val="ListParagraph"/>
        <w:numPr>
          <w:ilvl w:val="0"/>
          <w:numId w:val="3"/>
        </w:numPr>
      </w:pPr>
      <w:r>
        <w:t xml:space="preserve">Room calculation detail sheets (optional toggle): full component breakdown for each room.</w:t>
      </w:r>
    </w:p>
    <w:p>
      <w:pPr>
        <w:pStyle w:val="ListParagraph"/>
        <w:numPr>
          <w:ilvl w:val="0"/>
          <w:numId w:val="3"/>
        </w:numPr>
      </w:pPr>
      <w:r>
        <w:t xml:space="preserve">Assumptions and notes section.</w:t>
      </w:r>
    </w:p>
    <w:p>
      <w:r>
        <w:t xml:space="preserve"/>
      </w:r>
    </w:p>
    <w:p>
      <w:pPr>
        <w:pStyle w:val="Heading2"/>
      </w:pPr>
      <w:r>
        <w:t xml:space="preserve">8.2 Airflow Schedule</w:t>
      </w:r>
    </w:p>
    <w:p>
      <w:r>
        <w:t xml:space="preserve">A separate table output (printable or exportable to CSV) listing each room with its design supply CFM. This is the primary hand-off document to the HVAC contractor for duct design.</w:t>
      </w:r>
    </w:p>
    <w:p>
      <w:r>
        <w:t xml:space="preserve"/>
      </w:r>
    </w:p>
    <w:p>
      <w:pPr>
        <w:pStyle w:val="Heading2"/>
      </w:pPr>
      <w:r>
        <w:t xml:space="preserve">8.3 Energy Use Estimate (Phase 4)</w:t>
      </w:r>
    </w:p>
    <w:p>
      <w:r>
        <w:t xml:space="preserve">Annual heating and cooling energy estimates using the simplified degree-day method as a first pass. Full bin-hour method in a later iteration. Outputs: annual kWh (cooling), annual therms or kWh (heating), estimated annual cost at user-entered utility rates.</w:t>
      </w:r>
    </w:p>
    <w:p>
      <w:r>
        <w:t xml:space="preserve"/>
      </w:r>
    </w:p>
    <w:p>
      <w:pPr>
        <w:pStyle w:val="Heading1"/>
      </w:pPr>
      <w:r>
        <w:t xml:space="preserve">9. ASHRAE Reference Data Notes</w:t>
      </w:r>
    </w:p>
    <w:p>
      <w:pPr>
        <w:pBdr>
          <w:bottom w:val="single" w:color="2E75B6" w:sz="6" w:space="1"/>
        </w:pBdr>
      </w:pPr>
      <w:r>
        <w:t xml:space="preserve"/>
      </w:r>
    </w:p>
    <w:p>
      <w:r>
        <w:t xml:space="preserve"/>
      </w:r>
    </w:p>
    <w:p>
      <w:r>
        <w:t xml:space="preserve">The following ASHRAE 2001 HOF tables must be digitized and bundled with the application. They are copyrighted; the developer must obtain a license or use published/derived data sources. This section documents which tables are needed and their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Table 29-1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Heat gain from occupants by activity (sensible + latent BTU/hr per person).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Table 29-3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CLTD values for flat roofs — indexed by roof group (1–13) and solar time hour.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Table 29-4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CLTD values for walls — indexed by wall group (A–K), orientation, and solar time hour.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Table 29-6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Wall group classifications by construction type.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Table 29-12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Solar Cooling Load (SCL) factors — indexed by zone type, orientation, month, and hour.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Table 29-8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CLF for people (by hours in space and hours after entry).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Table 29-9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CLF for lighting (by hours on and hours after shutoff).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Table 29-10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CLF for equipment.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Chapter 27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ASHRAE climatic design conditions for US and Canadian locations.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Chapter 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Typical U-values for common construction assemblies.</w:t>
            </w:r>
          </w:p>
        </w:tc>
      </w:tr>
    </w:tbl>
    <w:p>
      <w:r>
        <w:t xml:space="preserve"/>
      </w:r>
    </w:p>
    <w:p>
      <w:r>
        <w:t xml:space="preserve">Implementation note: All table data should be stored as JSON files in backend/data/ashrae/. Each file should be self-documenting with a header block identifying its source table number, year, and any transformations applied.</w:t>
      </w:r>
    </w:p>
    <w:p>
      <w:r>
        <w:t xml:space="preserve"/>
      </w:r>
    </w:p>
    <w:p>
      <w:pPr>
        <w:pStyle w:val="Heading1"/>
      </w:pPr>
      <w:r>
        <w:t xml:space="preserve">10. Testing Strategy</w:t>
      </w:r>
    </w:p>
    <w:p>
      <w:pPr>
        <w:pBdr>
          <w:bottom w:val="single" w:color="2E75B6" w:sz="6" w:space="1"/>
        </w:pBdr>
      </w:pPr>
      <w:r>
        <w:t xml:space="preserve"/>
      </w:r>
    </w:p>
    <w:p>
      <w:r>
        <w:t xml:space="preserve"/>
      </w:r>
    </w:p>
    <w:p>
      <w:r>
        <w:t xml:space="preserve">The calculation engine is safety-critical (informs equipment sizing). Testing is non-negotiable.</w:t>
      </w:r>
    </w:p>
    <w:p>
      <w:r>
        <w:t xml:space="preserve"/>
      </w:r>
    </w:p>
    <w:p>
      <w:pPr>
        <w:pStyle w:val="Heading2"/>
      </w:pPr>
      <w:r>
        <w:t xml:space="preserve">10.1 Manual Reference Cases</w:t>
      </w:r>
    </w:p>
    <w:p>
      <w:r>
        <w:t xml:space="preserve">Before any automated test suite, the developer must hand-calculate at least one complete room load using ASHRAE 2001 HOF tables and verify the engine produces the same result within ±1%. This reference case must be committed to tests/reference_cases/ as a JSON fixture with expected values and full hand-calculation notes.</w:t>
      </w:r>
    </w:p>
    <w:p>
      <w:r>
        <w:t xml:space="preserve"/>
      </w:r>
    </w:p>
    <w:p>
      <w:pPr>
        <w:pStyle w:val="Heading2"/>
      </w:pPr>
      <w:r>
        <w:t xml:space="preserve">10.2 Unit Tests</w:t>
      </w:r>
    </w:p>
    <w:p>
      <w:pPr>
        <w:pStyle w:val="ListParagraph"/>
        <w:numPr>
          <w:ilvl w:val="0"/>
          <w:numId w:val="2"/>
        </w:numPr>
      </w:pPr>
      <w:r>
        <w:t xml:space="preserve">Each calculation function in engine/ must have at least one unit test with a known input/output pair.</w:t>
      </w:r>
    </w:p>
    <w:p>
      <w:pPr>
        <w:pStyle w:val="ListParagraph"/>
        <w:numPr>
          <w:ilvl w:val="0"/>
          <w:numId w:val="2"/>
        </w:numPr>
      </w:pPr>
      <w:r>
        <w:t xml:space="preserve">Unit conversion functions must be tested for round-trip accuracy.</w:t>
      </w:r>
    </w:p>
    <w:p>
      <w:pPr>
        <w:pStyle w:val="ListParagraph"/>
        <w:numPr>
          <w:ilvl w:val="0"/>
          <w:numId w:val="2"/>
        </w:numPr>
      </w:pPr>
      <w:r>
        <w:t xml:space="preserve">ASHRAE table lookup functions must be tested against spot-check values.</w:t>
      </w:r>
    </w:p>
    <w:p>
      <w:r>
        <w:t xml:space="preserve"/>
      </w:r>
    </w:p>
    <w:p>
      <w:pPr>
        <w:pStyle w:val="Heading2"/>
      </w:pPr>
      <w:r>
        <w:t xml:space="preserve">10.3 Integration Tests</w:t>
      </w:r>
    </w:p>
    <w:p>
      <w:pPr>
        <w:pStyle w:val="ListParagraph"/>
        <w:numPr>
          <w:ilvl w:val="0"/>
          <w:numId w:val="2"/>
        </w:numPr>
      </w:pPr>
      <w:r>
        <w:t xml:space="preserve">A full project (at least 3 rooms) must be processed end-to-end via the API and results validated.</w:t>
      </w:r>
    </w:p>
    <w:p>
      <w:pPr>
        <w:pStyle w:val="ListParagraph"/>
        <w:numPr>
          <w:ilvl w:val="0"/>
          <w:numId w:val="2"/>
        </w:numPr>
      </w:pPr>
      <w:r>
        <w:t xml:space="preserve">PDF report generation must not throw and must produce a non-zero byte file.</w:t>
      </w:r>
    </w:p>
    <w:p>
      <w:r>
        <w:t xml:space="preserve"/>
      </w:r>
    </w:p>
    <w:p>
      <w:pPr>
        <w:pStyle w:val="Heading1"/>
      </w:pPr>
      <w:r>
        <w:t xml:space="preserve">11. Future Features (Parking Lot)</w:t>
      </w:r>
    </w:p>
    <w:p>
      <w:pPr>
        <w:pBdr>
          <w:bottom w:val="single" w:color="2E75B6" w:sz="6" w:space="1"/>
        </w:pBdr>
      </w:pPr>
      <w:r>
        <w:t xml:space="preserve"/>
      </w:r>
    </w:p>
    <w:p>
      <w:r>
        <w:t xml:space="preserve"/>
      </w:r>
    </w:p>
    <w:p>
      <w:r>
        <w:t xml:space="preserve">These features are out of scope for current phases but should not be designed against:</w:t>
      </w:r>
    </w:p>
    <w:p>
      <w:r>
        <w:t xml:space="preserve"/>
      </w:r>
    </w:p>
    <w:p>
      <w:pPr>
        <w:pStyle w:val="ListParagraph"/>
        <w:numPr>
          <w:ilvl w:val="0"/>
          <w:numId w:val="2"/>
        </w:numPr>
      </w:pPr>
      <w:r>
        <w:t xml:space="preserve">PDF floor plan import: user uploads a PDF, draws rectangular room shapes over it, enters scale, and room dimensions are auto-calculated.</w:t>
      </w:r>
    </w:p>
    <w:p>
      <w:pPr>
        <w:pStyle w:val="ListParagraph"/>
        <w:numPr>
          <w:ilvl w:val="0"/>
          <w:numId w:val="2"/>
        </w:numPr>
      </w:pPr>
      <w:r>
        <w:t xml:space="preserve">Manual J mode: full ACCA Manual J load calculation with block load and room load outputs. Requires separate table data.</w:t>
      </w:r>
    </w:p>
    <w:p>
      <w:pPr>
        <w:pStyle w:val="ListParagraph"/>
        <w:numPr>
          <w:ilvl w:val="0"/>
          <w:numId w:val="2"/>
        </w:numPr>
      </w:pPr>
      <w:r>
        <w:t xml:space="preserve">Construction assembly library: curated library of common wall, roof, and floor assemblies with pre-filled U-values, SHGC, and ASHRAE group classifications.</w:t>
      </w:r>
    </w:p>
    <w:p>
      <w:pPr>
        <w:pStyle w:val="ListParagraph"/>
        <w:numPr>
          <w:ilvl w:val="0"/>
          <w:numId w:val="2"/>
        </w:numPr>
      </w:pPr>
      <w:r>
        <w:t xml:space="preserve">Multi-user / team accounts: project sharing, engineer of record signature block.</w:t>
      </w:r>
    </w:p>
    <w:p>
      <w:pPr>
        <w:pStyle w:val="ListParagraph"/>
        <w:numPr>
          <w:ilvl w:val="0"/>
          <w:numId w:val="2"/>
        </w:numPr>
      </w:pPr>
      <w:r>
        <w:t xml:space="preserve">BIM/IFC import: extract room geometry from a BIM model file.</w:t>
      </w:r>
    </w:p>
    <w:p>
      <w:pPr>
        <w:pStyle w:val="ListParagraph"/>
        <w:numPr>
          <w:ilvl w:val="0"/>
          <w:numId w:val="2"/>
        </w:numPr>
      </w:pPr>
      <w:r>
        <w:t xml:space="preserve">ACCA Manual D integration: duct sizing from airflow targets.</w:t>
      </w:r>
    </w:p>
    <w:p>
      <w:r>
        <w:t xml:space="preserve"/>
      </w:r>
    </w:p>
    <w:p>
      <w:pPr>
        <w:pStyle w:val="Heading1"/>
      </w:pPr>
      <w:r>
        <w:t xml:space="preserve">12. Changelog</w:t>
      </w:r>
    </w:p>
    <w:p>
      <w:pPr>
        <w:pBdr>
          <w:bottom w:val="single" w:color="2E75B6" w:sz="6" w:space="1"/>
        </w:pBdr>
      </w:pPr>
      <w:r>
        <w:t xml:space="preserve"/>
      </w:r>
    </w:p>
    <w:p>
      <w:r>
        <w:t xml:space="preserve"/>
      </w:r>
    </w:p>
    <w:p>
      <w:r>
        <w:t xml:space="preserve">This section is maintained by Claude Code. Each development session should append an entry here describing what was built, any decisions made, and any deviations from this specification. Entries are in reverse chronological order (newest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Format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 Version | Author | Summary of changes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200"/>
        <w:gridCol w:w="62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Author</w:t>
            </w:r>
          </w:p>
        </w:tc>
        <w:tc>
          <w:tcPr>
            <w:tcW w:type="dxa" w:w="6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2026-06-02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(Cowork)</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document created from design session with Will. Defined full scope: ASHRAE 2001 HOF engine, React/FastAPI web app, 6-phase roadmap, data model, calculation formulas, UI spec, PDF report spec, and testing strategy.</w:t>
            </w:r>
          </w:p>
        </w:tc>
      </w:tr>
    </w:tbl>
    <w:p>
      <w:r>
        <w:t xml:space="preserve"/>
      </w:r>
    </w:p>
    <w:p>
      <w:pPr>
        <w:pStyle w:val="Heading1"/>
      </w:pPr>
      <w:r>
        <w:t xml:space="preserve">13. Instructions for Claude Code</w:t>
      </w:r>
    </w:p>
    <w:p>
      <w:pPr>
        <w:pBdr>
          <w:bottom w:val="single" w:color="2E75B6" w:sz="6" w:space="1"/>
        </w:pBdr>
      </w:pPr>
      <w:r>
        <w:t xml:space="preserve"/>
      </w:r>
    </w:p>
    <w:p>
      <w:r>
        <w:t xml:space="preserve"/>
      </w:r>
    </w:p>
    <w:p>
      <w:r>
        <w:t xml:space="preserve">When this document is provided to Claude Code at the start of a session, follow these instructions:</w:t>
      </w:r>
    </w:p>
    <w:p>
      <w:r>
        <w:t xml:space="preserve"/>
      </w:r>
    </w:p>
    <w:p>
      <w:pPr>
        <w:pStyle w:val="ListParagraph"/>
        <w:numPr>
          <w:ilvl w:val="0"/>
          <w:numId w:val="3"/>
        </w:numPr>
      </w:pPr>
      <w:r>
        <w:rPr>
          <w:b/>
          <w:bCs/>
        </w:rPr>
        <w:t xml:space="preserve">Read the full document before writing any code.</w:t>
      </w:r>
      <w:r>
        <w:t xml:space="preserve"> Understand the current phase status in Section 2 before starting work.</w:t>
      </w:r>
    </w:p>
    <w:p>
      <w:pPr>
        <w:pStyle w:val="ListParagraph"/>
        <w:numPr>
          <w:ilvl w:val="0"/>
          <w:numId w:val="3"/>
        </w:numPr>
      </w:pPr>
      <w:r>
        <w:rPr>
          <w:b/>
          <w:bCs/>
        </w:rPr>
        <w:t xml:space="preserve">Work one phase at a time.</w:t>
      </w:r>
      <w:r>
        <w:t xml:space="preserve"> Do not implement features from a later phase unless explicitly instructed.</w:t>
      </w:r>
    </w:p>
    <w:p>
      <w:pPr>
        <w:pStyle w:val="ListParagraph"/>
        <w:numPr>
          <w:ilvl w:val="0"/>
          <w:numId w:val="3"/>
        </w:numPr>
      </w:pPr>
      <w:r>
        <w:rPr>
          <w:b/>
          <w:bCs/>
        </w:rPr>
        <w:t xml:space="preserve">Follow the repository structure in Section 6.1 exactly.</w:t>
      </w:r>
      <w:r>
        <w:t xml:space="preserve"> Do not invent new top-level directories.</w:t>
      </w:r>
    </w:p>
    <w:p>
      <w:pPr>
        <w:pStyle w:val="ListParagraph"/>
        <w:numPr>
          <w:ilvl w:val="0"/>
          <w:numId w:val="3"/>
        </w:numPr>
      </w:pPr>
      <w:r>
        <w:rPr>
          <w:b/>
          <w:bCs/>
        </w:rPr>
        <w:t xml:space="preserve">All calculation logic lives in backend/engine/.</w:t>
      </w:r>
      <w:r>
        <w:t xml:space="preserve"> The FastAPI layer calls engine functions; it does not contain calc logic itself.</w:t>
      </w:r>
    </w:p>
    <w:p>
      <w:pPr>
        <w:pStyle w:val="ListParagraph"/>
        <w:numPr>
          <w:ilvl w:val="0"/>
          <w:numId w:val="3"/>
        </w:numPr>
      </w:pPr>
      <w:r>
        <w:rPr>
          <w:b/>
          <w:bCs/>
        </w:rPr>
        <w:t xml:space="preserve">Test every calculation function.</w:t>
      </w:r>
      <w:r>
        <w:t xml:space="preserve"> Before marking a phase complete, there must be a passing pytest test for each engine function with at least one known-good value from ASHRAE tables or hand calculation.</w:t>
      </w:r>
    </w:p>
    <w:p>
      <w:pPr>
        <w:pStyle w:val="ListParagraph"/>
        <w:numPr>
          <w:ilvl w:val="0"/>
          <w:numId w:val="3"/>
        </w:numPr>
      </w:pPr>
      <w:r>
        <w:rPr>
          <w:b/>
          <w:bCs/>
        </w:rPr>
        <w:t xml:space="preserve">Update the Changelog (Section 12) at the end of every session.</w:t>
      </w:r>
      <w:r>
        <w:t xml:space="preserve"> Add a new row with date, version increment, and a plain-English summary of what was built or changed.</w:t>
      </w:r>
    </w:p>
    <w:p>
      <w:pPr>
        <w:pStyle w:val="ListParagraph"/>
        <w:numPr>
          <w:ilvl w:val="0"/>
          <w:numId w:val="3"/>
        </w:numPr>
      </w:pPr>
      <w:r>
        <w:rPr>
          <w:b/>
          <w:bCs/>
        </w:rPr>
        <w:t xml:space="preserve">Update phase statuses in Section 2</w:t>
      </w:r>
      <w:r>
        <w:t xml:space="preserve"> when a phase is started (set to "In Progress") or completed (set to "Complete").</w:t>
      </w:r>
    </w:p>
    <w:p>
      <w:pPr>
        <w:pStyle w:val="ListParagraph"/>
        <w:numPr>
          <w:ilvl w:val="0"/>
          <w:numId w:val="3"/>
        </w:numPr>
      </w:pPr>
      <w:r>
        <w:rPr>
          <w:b/>
          <w:bCs/>
        </w:rPr>
        <w:t xml:space="preserve">If you deviate from this spec for a good reason, document it.</w:t>
      </w:r>
      <w:r>
        <w:t xml:space="preserve"> Add a note in the Changelog explaining what changed and why. Do not silently diverge.</w:t>
      </w:r>
    </w:p>
    <w:p>
      <w:pPr>
        <w:pStyle w:val="ListParagraph"/>
        <w:numPr>
          <w:ilvl w:val="0"/>
          <w:numId w:val="3"/>
        </w:numPr>
      </w:pPr>
      <w:r>
        <w:rPr>
          <w:b/>
          <w:bCs/>
        </w:rPr>
        <w:t xml:space="preserve">Never hardcode unit-system-specific values in the UI.</w:t>
      </w:r>
      <w:r>
        <w:t xml:space="preserve"> Always read unit_system from the project and apply conversions from unit_conversion.py.</w:t>
      </w:r>
    </w:p>
    <w:p>
      <w:pPr>
        <w:pStyle w:val="ListParagraph"/>
        <w:numPr>
          <w:ilvl w:val="0"/>
          <w:numId w:val="3"/>
        </w:numPr>
      </w:pPr>
      <w:r>
        <w:rPr>
          <w:b/>
          <w:bCs/>
        </w:rPr>
        <w:t xml:space="preserve">ASHRAE table data is read-only.</w:t>
      </w:r>
      <w:r>
        <w:t xml:space="preserve"> Never modify files in backend/data/ashrae/ programmatically. They are source-of-truth reference data.</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2" w:pos="9360"/>
      </w:tabs>
    </w:pPr>
    <w:r>
      <w:rPr>
        <w:rFonts w:ascii="Arial" w:cs="Arial" w:eastAsia="Arial" w:hAnsi="Arial"/>
        <w:color w:val="888888"/>
        <w:sz w:val="16"/>
        <w:szCs w:val="16"/>
      </w:rPr>
      <w:t xml:space="preserve">Development Roadmap &amp; Instructions — Living Document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2" w:pos="9360"/>
      </w:tabs>
    </w:pPr>
    <w:r>
      <w:rPr>
        <w:rFonts w:ascii="Arial" w:cs="Arial" w:eastAsia="Arial" w:hAnsi="Arial"/>
        <w:color w:val="666666"/>
        <w:sz w:val="18"/>
        <w:szCs w:val="18"/>
      </w:rPr>
      <w:t xml:space="preserve">Residential Heat Gain/Loss Calculation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2026-06-03T03:22:56.531Z</dcterms:created>
  <dcterms:modified xsi:type="dcterms:W3CDTF">2026-06-03T03:22:56.531Z</dcterms:modified>
</cp:coreProperties>
</file>

<file path=docProps/custom.xml><?xml version="1.0" encoding="utf-8"?>
<Properties xmlns="http://schemas.openxmlformats.org/officeDocument/2006/custom-properties" xmlns:vt="http://schemas.openxmlformats.org/officeDocument/2006/docPropsVTypes"/>
</file>