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708"/>
        <w:rPr>
          <w:rFonts w:ascii="Comic Sans MS" w:hAnsi="Comic Sans MS" w:cs="Comic Sans MS"/>
          <w:sz w:val="28"/>
          <w:szCs w:val="28"/>
          <w:highlight w:val="none"/>
        </w:rPr>
      </w:pPr>
      <w:r>
        <w:rPr>
          <w:rFonts w:ascii="Comic Sans MS" w:hAnsi="Comic Sans MS" w:eastAsia="Comic Sans MS" w:cs="Comic Sans MS"/>
          <w:sz w:val="28"/>
          <w:szCs w:val="28"/>
        </w:rPr>
        <w:t xml:space="preserve">Chap 22 : Gestion des Compétences</w:t>
      </w:r>
      <w:r>
        <w:rPr>
          <w:rFonts w:ascii="Comic Sans MS" w:hAnsi="Comic Sans MS" w:cs="Comic Sans MS"/>
          <w:sz w:val="28"/>
          <w:szCs w:val="28"/>
          <w:highlight w:val="none"/>
        </w:rPr>
      </w:r>
      <w:r>
        <w:rPr>
          <w:rFonts w:ascii="Comic Sans MS" w:hAnsi="Comic Sans MS" w:cs="Comic Sans MS"/>
          <w:sz w:val="28"/>
          <w:szCs w:val="28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sz w:val="24"/>
          <w:szCs w:val="24"/>
          <w:highlight w:val="none"/>
        </w:rPr>
        <w:t xml:space="preserve">Déf: Mise en pratique des connaissances par l’experience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cs="Comic Sans MS"/>
        </w:rPr>
      </w:pPr>
      <w:r>
        <w:rPr>
          <w:rFonts w:ascii="Comic Sans MS" w:hAnsi="Comic Sans MS" w:eastAsia="Comic Sans MS" w:cs="Comic Sans MS"/>
        </w:rPr>
      </w:r>
      <w:r>
        <w:rPr>
          <w:rFonts w:ascii="Comic Sans MS" w:hAnsi="Comic Sans MS" w:eastAsia="Comic Sans MS" w:cs="Comic Sans M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1470492</wp:posOffset>
                </wp:positionH>
                <wp:positionV relativeFrom="paragraph">
                  <wp:posOffset>271335</wp:posOffset>
                </wp:positionV>
                <wp:extent cx="155448" cy="1207587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55447" cy="1207587"/>
                        </a:xfrm>
                        <a:prstGeom prst="rightBrace">
                          <a:avLst>
                            <a:gd name="adj1" fmla="val 833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88" type="#_x0000_t88" style="position:absolute;z-index:2048;o:allowoverlap:true;o:allowincell:true;mso-position-horizontal-relative:text;margin-left:115.79pt;mso-position-horizontal:absolute;mso-position-vertical-relative:text;margin-top:21.36pt;mso-position-vertical:absolute;width:12.24pt;height:95.09pt;mso-wrap-distance-left:9.07pt;mso-wrap-distance-top:0.00pt;mso-wrap-distance-right:9.07pt;mso-wrap-distance-bottom:0.00pt;visibility:visible;" filled="f" strokecolor="#284963" strokeweight="0.50pt"/>
            </w:pict>
          </mc:Fallback>
        </mc:AlternateContent>
      </w:r>
      <w:r>
        <w:rPr>
          <w:rFonts w:ascii="Comic Sans MS" w:hAnsi="Comic Sans MS" w:cs="Comic Sans MS"/>
        </w:rPr>
      </w:r>
      <w:r>
        <w:rPr>
          <w:rFonts w:ascii="Comic Sans MS" w:hAnsi="Comic Sans MS" w:cs="Comic Sans MS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CONNAISSANCES </w:t>
        <w:tab/>
        <w:tab/>
      </w:r>
      <w:r>
        <w:rPr>
          <w:rFonts w:ascii="Comic Sans MS" w:hAnsi="Comic Sans MS" w:eastAsia="Comic Sans MS" w:cs="Comic Sans MS"/>
          <w:highlight w:val="none"/>
        </w:rPr>
        <w:t xml:space="preserve">SAVOIR</w:t>
      </w:r>
      <w:r>
        <w:rPr>
          <w:rFonts w:ascii="Comic Sans MS" w:hAnsi="Comic Sans MS" w:eastAsia="Comic Sans MS" w:cs="Comic Sans MS"/>
          <w:highlight w:val="none"/>
        </w:rPr>
        <w:br/>
        <w:tab/>
        <w:t xml:space="preserve">+</w:t>
        <w:br/>
        <w:t xml:space="preserve">COMPETENCES  </w:t>
        <w:tab/>
        <w:tab/>
        <w:t xml:space="preserve">SAVOIR - FAIRE</w:t>
      </w:r>
      <w:r>
        <w:rPr>
          <w:rFonts w:ascii="Comic Sans MS" w:hAnsi="Comic Sans MS" w:eastAsia="Comic Sans MS" w:cs="Comic Sans MS"/>
          <w:highlight w:val="none"/>
        </w:rPr>
        <w:br/>
        <w:tab/>
        <w:t xml:space="preserve">+</w:t>
        <w:br/>
      </w:r>
      <w:r>
        <w:rPr>
          <w:rFonts w:ascii="Comic Sans MS" w:hAnsi="Comic Sans MS" w:eastAsia="Comic Sans MS" w:cs="Comic Sans MS"/>
          <w:highlight w:val="none"/>
        </w:rPr>
        <w:t xml:space="preserve">COMPORTEMENT</w:t>
      </w:r>
      <w:r>
        <w:rPr>
          <w:rFonts w:ascii="Comic Sans MS" w:hAnsi="Comic Sans MS" w:eastAsia="Comic Sans MS" w:cs="Comic Sans MS"/>
          <w:highlight w:val="none"/>
        </w:rPr>
        <w:t xml:space="preserve"> </w:t>
      </w:r>
      <w:r>
        <w:rPr>
          <w:rFonts w:ascii="Comic Sans MS" w:hAnsi="Comic Sans MS" w:eastAsia="Comic Sans MS" w:cs="Comic Sans MS"/>
        </w:rPr>
        <w:tab/>
        <w:tab/>
        <w:t xml:space="preserve">SAVOIR – </w:t>
      </w:r>
      <w:r>
        <w:rPr>
          <w:rFonts w:ascii="Comic Sans MS" w:hAnsi="Comic Sans MS" w:eastAsia="Comic Sans MS" w:cs="Comic Sans MS"/>
        </w:rPr>
        <w:t xml:space="preserve">ÊTRE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I  -</w:t>
      </w:r>
      <w:r>
        <w:rPr>
          <w:rFonts w:ascii="Comic Sans MS" w:hAnsi="Comic Sans MS" w:eastAsia="Comic Sans MS" w:cs="Comic Sans MS"/>
          <w:highlight w:val="none"/>
        </w:rPr>
        <w:br/>
        <w:t xml:space="preserve">a) les enjeux pour l’E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1)</w:t>
        <w:br/>
        <w:t xml:space="preserve">Une bonne gestion</w:t>
      </w:r>
      <w:r>
        <w:rPr>
          <w:rFonts w:ascii="Comic Sans MS" w:hAnsi="Comic Sans MS" w:eastAsia="Comic Sans MS" w:cs="Comic Sans MS"/>
          <w:highlight w:val="none"/>
        </w:rPr>
        <w:t xml:space="preserve"> permet à l’E la mise en place  de son activité.</w:t>
        <w:br/>
        <w:t xml:space="preserve">Un salarié compétent EFFICACE doit comprendre son travail et savoir que ses perspectives individuelles sont prise en compte.</w:t>
        <w:br/>
        <w:t xml:space="preserve">(un salarié travaille d’abord pour son propre intéret)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3)</w:t>
        <w:br/>
        <w:t xml:space="preserve">L’avantage concurrenciel de cette</w:t>
        <w:br/>
        <w:t xml:space="preserve">E. vient des Hommes et leurs savoir-faire</w:t>
        <w:br/>
        <w:t xml:space="preserve">(facteur travail) qui reste irremplacable par une machine(facteur Capital).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4)</w:t>
        <w:br/>
        <w:t xml:space="preserve">Si l’E a un savoir fair irremplacable, </w:t>
        <w:br/>
      </w:r>
      <w:r>
        <w:rPr>
          <w:rFonts w:ascii="Comic Sans MS" w:hAnsi="Comic Sans MS" w:eastAsia="Comic Sans MS" w:cs="Comic Sans MS"/>
          <w:highlight w:val="none"/>
        </w:rPr>
        <w:t xml:space="preserve">alors la gestion des compétences deviens un enjeux stratégique pour sa pérénité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Def CYBERCECURTÉ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Moyen pour assurer la sécurité des données informatique sensibles.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5) </w:t>
      </w:r>
      <w:r>
        <w:rPr>
          <w:rFonts w:ascii="Comic Sans MS" w:hAnsi="Comic Sans MS" w:eastAsia="Comic Sans MS" w:cs="Comic Sans MS"/>
          <w:highlight w:val="none"/>
          <w:u w:val="single"/>
        </w:rPr>
        <w:t xml:space="preserve">Enjeux</w:t>
      </w:r>
      <w:r>
        <w:rPr>
          <w:rFonts w:ascii="Comic Sans MS" w:hAnsi="Comic Sans MS" w:eastAsia="Comic Sans MS" w:cs="Comic Sans MS"/>
          <w:highlight w:val="none"/>
        </w:rPr>
        <w:t xml:space="preserve">: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1"/>
        </w:num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Vol de données confidencielles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60"/>
        <w:numPr>
          <w:ilvl w:val="0"/>
          <w:numId w:val="1"/>
        </w:num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Activité est paralysée par 1 virus</w:t>
        <w:br/>
        <w:t xml:space="preserve">(pare-feu)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60"/>
        <w:numPr>
          <w:ilvl w:val="0"/>
          <w:numId w:val="1"/>
        </w:numPr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Rançonnage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6) Actions mises en place pour y remédier :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tbl>
      <w:tblPr>
        <w:tblStyle w:val="712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8080"/>
      </w:tblGrid>
      <w:tr>
        <w:trPr/>
        <w:tc>
          <w:tcPr>
            <w:tcW w:w="1275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Externe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pStyle w:val="860"/>
              <w:numPr>
                <w:ilvl w:val="0"/>
                <w:numId w:val="2"/>
              </w:num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Recrutement de personnes compétentes en cyber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</w:tr>
      <w:tr>
        <w:trPr/>
        <w:tc>
          <w:tcPr>
            <w:tcW w:w="1275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Interne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  <w:tc>
          <w:tcPr>
            <w:tcW w:w="8080" w:type="dxa"/>
            <w:textDirection w:val="lrTb"/>
            <w:noWrap w:val="false"/>
          </w:tcPr>
          <w:p>
            <w:pPr>
              <w:pStyle w:val="860"/>
              <w:numPr>
                <w:ilvl w:val="0"/>
                <w:numId w:val="3"/>
              </w:num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Formations spécifiques des informaticiens de l’E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</w:tr>
    </w:tbl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B. 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tbl>
      <w:tblPr>
        <w:tblStyle w:val="712"/>
        <w:tblW w:w="0" w:type="auto"/>
        <w:tblLayout w:type="fixed"/>
        <w:tblLook w:val="04A0" w:firstRow="1" w:lastRow="0" w:firstColumn="1" w:lastColumn="0" w:noHBand="0" w:noVBand="1"/>
      </w:tblPr>
      <w:tblGrid>
        <w:gridCol w:w="4110"/>
        <w:gridCol w:w="4535"/>
      </w:tblGrid>
      <w:tr>
        <w:trPr/>
        <w:tc>
          <w:tcPr>
            <w:tcW w:w="4110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BENETEAU(b</w:t>
            </w:r>
            <w:r>
              <w:rPr>
                <w:rFonts w:ascii="Comic Sans MS" w:hAnsi="Comic Sans MS" w:eastAsia="Comic Sans MS" w:cs="Comic Sans MS"/>
                <w:highlight w:val="none"/>
              </w:rPr>
              <w:t xml:space="preserve">âteau</w:t>
            </w:r>
            <w:r>
              <w:rPr>
                <w:rFonts w:ascii="Comic Sans MS" w:hAnsi="Comic Sans MS" w:eastAsia="Comic Sans MS" w:cs="Comic Sans MS"/>
                <w:highlight w:val="none"/>
              </w:rPr>
              <w:t xml:space="preserve">)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  <w:tc>
          <w:tcPr>
            <w:tcW w:w="4535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KINDY(Chaussettes)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</w:tr>
      <w:tr>
        <w:trPr>
          <w:trHeight w:val="359"/>
        </w:trPr>
        <w:tc>
          <w:tcPr>
            <w:tcW w:w="4110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Baisse Activité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d</w:t>
            </w:r>
            <w:r>
              <w:rPr>
                <w:rFonts w:ascii="Comic Sans MS" w:hAnsi="Comic Sans MS" w:eastAsia="Comic Sans MS" w:cs="Comic Sans MS"/>
                <w:highlight w:val="none"/>
              </w:rPr>
              <w:t xml:space="preserve">û à la crise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Sanitaire.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↓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Plan de Réduction des effectifs en fermant certains sites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(5/24)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Malheuresement les compétences des salariés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ind w:left="0" w:firstLine="0"/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Licenciés ne correspondaient pas aux compétences nécessaires dans les 19 autres usines.</w:t>
              <w:br/>
            </w:r>
            <w:r>
              <w:rPr>
                <w:rFonts w:ascii="Comic Sans MS" w:hAnsi="Comic Sans MS" w:eastAsia="Comic Sans MS" w:cs="Comic Sans MS"/>
                <w:highlight w:val="none"/>
              </w:rPr>
              <w:t xml:space="preserve">-&gt; changement de métier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  <w:tc>
          <w:tcPr>
            <w:tcW w:w="4535" w:type="dxa"/>
            <w:textDirection w:val="lrTb"/>
            <w:noWrap w:val="false"/>
          </w:tcPr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Difficulté de recrutement</w:t>
              <w:br/>
              <w:t xml:space="preserve">de profils POINTUS</w:t>
              <w:br/>
              <w:t xml:space="preserve">(BONNETIERS)</w:t>
              <w:br/>
              <w:t xml:space="preserve">↓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Transmission du Savoir faire d’un sénior vers un jeunes.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(l’écoles ne forme plus d’élèves à ce métier)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↓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  <w:p>
            <w:pPr>
              <w:rPr>
                <w:rFonts w:ascii="Comic Sans MS" w:hAnsi="Comic Sans MS" w:eastAsia="Comic Sans MS" w:cs="Comic Sans MS"/>
                <w:highlight w:val="none"/>
              </w:rPr>
            </w:pPr>
            <w:r>
              <w:rPr>
                <w:rFonts w:ascii="Comic Sans MS" w:hAnsi="Comic Sans MS" w:eastAsia="Comic Sans MS" w:cs="Comic Sans MS"/>
                <w:highlight w:val="none"/>
              </w:rPr>
              <w:t xml:space="preserve">Co</w:t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  <w:r>
              <w:rPr>
                <w:rFonts w:ascii="Comic Sans MS" w:hAnsi="Comic Sans MS" w:eastAsia="Comic Sans MS" w:cs="Comic Sans MS"/>
                <w:highlight w:val="none"/>
              </w:rPr>
            </w:r>
          </w:p>
        </w:tc>
      </w:tr>
    </w:tbl>
    <w:p>
      <w:pPr>
        <w:rPr>
          <w:rFonts w:ascii="Comic Sans MS" w:hAnsi="Comic Sans MS" w:cs="Comic Sans MS"/>
          <w:highlight w:val="none"/>
        </w:rPr>
      </w:pP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Quantité qualité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II.A Démarche</w:t>
        <w:br/>
        <w:t xml:space="preserve">GEPP : Gestion des Emplois et des Parcours Professionnesls</w:t>
      </w:r>
      <w:r>
        <w:rPr>
          <w:rFonts w:ascii="Comic Sans MS" w:hAnsi="Comic Sans MS" w:eastAsia="Comic Sans MS" w:cs="Comic Sans MS"/>
          <w:highlight w:val="none"/>
        </w:rPr>
        <w:br/>
        <w:t xml:space="preserve">Analyseles besoins en recrutement (compétences)</w:t>
        <w:br/>
        <w:t xml:space="preserve">et on les compare avec l’existant (compétences djà là)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rPr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1639465</wp:posOffset>
                </wp:positionH>
                <wp:positionV relativeFrom="paragraph">
                  <wp:posOffset>-944943</wp:posOffset>
                </wp:positionV>
                <wp:extent cx="211074" cy="2428875"/>
                <wp:effectExtent l="3175" t="3175" r="3175" b="3175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5399976" flipH="0" flipV="0">
                          <a:off x="0" y="0"/>
                          <a:ext cx="211073" cy="2428875"/>
                        </a:xfrm>
                        <a:prstGeom prst="rightBrace">
                          <a:avLst>
                            <a:gd name="adj1" fmla="val 833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88" type="#_x0000_t88" style="position:absolute;z-index:6144;o:allowoverlap:true;o:allowincell:true;mso-position-horizontal-relative:text;margin-left:129.09pt;mso-position-horizontal:absolute;mso-position-vertical-relative:text;margin-top:-74.40pt;mso-position-vertical:absolute;width:16.62pt;height:191.25pt;mso-wrap-distance-left:9.07pt;mso-wrap-distance-top:0.00pt;mso-wrap-distance-right:9.07pt;mso-wrap-distance-bottom:0.00pt;rotation:89;visibility:visible;" filled="f" strokecolor="#284963" strokeweight="0.50pt"/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6236" w:leader="none"/>
        </w:tabs>
        <w:rPr>
          <w:highlight w:val="none"/>
        </w:rPr>
      </w:pPr>
      <w:r>
        <w:tab/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Actions de Recrutement (QUANTITATIF)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———  de Formations (QUANTITATIF)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60"/>
        <w:numPr>
          <w:ilvl w:val="0"/>
          <w:numId w:val="12"/>
        </w:numPr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Risque d’une GEPP mal évalué ou mal anticipé</w:t>
        <w:br/>
      </w:r>
      <w:r>
        <w:rPr>
          <w:rFonts w:ascii="Comic Sans MS" w:hAnsi="Comic Sans MS" w:eastAsia="Comic Sans MS" w:cs="Comic Sans MS"/>
          <w:highlight w:val="none"/>
        </w:rPr>
        <w:t xml:space="preserve">L’E. aura des consécences négatives sur son actvité FUTURE.</w:t>
      </w:r>
      <w:r>
        <w:rPr>
          <w:rFonts w:ascii="Comic Sans MS" w:hAnsi="Comic Sans MS" w:eastAsia="Comic Sans MS" w:cs="Comic Sans MS"/>
          <w:highlight w:val="none"/>
        </w:rPr>
        <w:br/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60"/>
        <w:numPr>
          <w:ilvl w:val="0"/>
          <w:numId w:val="12"/>
        </w:numPr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Une bonne GEPP permet à une E.</w:t>
        <w:br/>
        <w:t xml:space="preserve">d’obtenir un avantage cocurrenciel non négligeable (recrutement d’une compétence POINTUE rare sur le  (recrutement d’une compétence POINTUE rare sur le marché)</w:t>
        <w:br/>
        <w:t xml:space="preserve">cela sera synonyme d’</w:t>
      </w:r>
      <w:r>
        <w:rPr>
          <w:rFonts w:ascii="Comic Sans MS" w:hAnsi="Comic Sans MS" w:eastAsia="Comic Sans MS" w:cs="Comic Sans MS"/>
          <w:highlight w:val="none"/>
        </w:rPr>
        <w:t xml:space="preserve">↗️</w:t>
      </w:r>
      <w:r>
        <w:rPr>
          <w:rFonts w:ascii="Comic Sans MS" w:hAnsi="Comic Sans MS" w:eastAsia="Comic Sans MS" w:cs="Comic Sans MS"/>
          <w:highlight w:val="none"/>
        </w:rPr>
        <w:t xml:space="preserve"> du CA.</w:t>
      </w:r>
      <w:r>
        <w:rPr>
          <w:rFonts w:ascii="Comic Sans MS" w:hAnsi="Comic Sans MS" w:eastAsia="Comic Sans MS" w:cs="Comic Sans MS"/>
          <w:highlight w:val="none"/>
        </w:rPr>
        <w:br/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60"/>
        <w:numPr>
          <w:ilvl w:val="0"/>
          <w:numId w:val="12"/>
        </w:numPr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1er outil: Entretien professionnel</w:t>
        <w:br/>
        <w:t xml:space="preserve">Bilan entre le salarié et son supérieur hiérarchique direct qui permet de faire le point sur sa carriere et ses perspectives d’avenir professionnel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ind w:left="709" w:firstLine="0"/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152036</wp:posOffset>
                </wp:positionH>
                <wp:positionV relativeFrom="paragraph">
                  <wp:posOffset>-57326</wp:posOffset>
                </wp:positionV>
                <wp:extent cx="207992" cy="245364"/>
                <wp:effectExtent l="6350" t="6350" r="6350" b="6350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5399942" flipH="0" flipV="0">
                          <a:off x="0" y="0"/>
                          <a:ext cx="207990" cy="245362"/>
                        </a:xfrm>
                        <a:prstGeom prst="bentUpArrow">
                          <a:avLst>
                            <a:gd name="adj1" fmla="val 16954"/>
                            <a:gd name="adj2" fmla="val 25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/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90" type="#_x0000_t90" style="position:absolute;z-index:8192;o:allowoverlap:true;o:allowincell:true;mso-position-horizontal-relative:text;margin-left:11.97pt;mso-position-horizontal:absolute;mso-position-vertical-relative:text;margin-top:-4.51pt;mso-position-vertical:absolute;width:16.38pt;height:19.32pt;mso-wrap-distance-left:9.07pt;mso-wrap-distance-top:0.00pt;mso-wrap-distance-right:9.07pt;mso-wrap-distance-bottom:0.00pt;rotation:89;v-text-anchor:middle;visibility:visible;" fillcolor="#5B9BD5" strokecolor="#2D4D6A" strokeweight="1.00pt">
                <v:textbox inset="0,0,0,0">
                  <w:txbxContent>
                    <w:p>
                      <w:pPr>
                        <w:jc w:val="center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 w:eastAsia="Comic Sans MS" w:cs="Comic Sans MS"/>
          <w:highlight w:val="none"/>
        </w:rPr>
        <w:t xml:space="preserve">Mise en place de formation, augmentation, promotion, mobilité.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2eme outil: Pyramide des </w:t>
      </w:r>
      <w:r>
        <w:rPr>
          <w:rFonts w:ascii="Comic Sans MS" w:hAnsi="Comic Sans MS" w:eastAsia="Comic Sans MS" w:cs="Comic Sans MS"/>
          <w:highlight w:val="none"/>
        </w:rPr>
        <w:t xml:space="preserve">âges de l’E.</w:t>
        <w:br/>
        <w:t xml:space="preserve">Approche collective des salariés en fonction de l’</w:t>
      </w:r>
      <w:r>
        <w:rPr>
          <w:rFonts w:ascii="Comic Sans MS" w:hAnsi="Comic Sans MS" w:eastAsia="Comic Sans MS" w:cs="Comic Sans MS"/>
          <w:highlight w:val="none"/>
        </w:rPr>
        <w:t xml:space="preserve">âge et du sexe</w:t>
        <w:br/>
        <w:t xml:space="preserve">Son analyse permet d’assurer un équilibre sur le long terme en assurant le renouvellement des compétences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4) Une majorité des Salariés qui ont entre 55 et 65 ont va bien</w:t>
      </w:r>
      <w:r>
        <w:rPr>
          <w:rFonts w:ascii="Comic Sans MS" w:hAnsi="Comic Sans MS" w:eastAsia="Comic Sans MS" w:cs="Comic Sans MS"/>
          <w:highlight w:val="none"/>
        </w:rPr>
        <w:t xml:space="preserve">t</w:t>
      </w:r>
      <w:r>
        <w:rPr>
          <w:rFonts w:ascii="Comic Sans MS" w:hAnsi="Comic Sans MS" w:eastAsia="Comic Sans MS" w:cs="Comic Sans MS"/>
          <w:highlight w:val="none"/>
        </w:rPr>
        <w:t xml:space="preserve">ôt quitter l’E . (retraite)</w:t>
        <w:br/>
        <w:t xml:space="preserve">Il va falloir recruter en AMONT pour la transmission des compétence</w:t>
      </w:r>
      <w:r>
        <w:rPr>
          <w:rFonts w:ascii="Comic Sans MS" w:hAnsi="Comic Sans MS" w:eastAsia="Comic Sans MS" w:cs="Comic Sans MS"/>
          <w:highlight w:val="none"/>
        </w:rPr>
        <w:t xml:space="preserve">s.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III.A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2018 : Recrutement intenssif gr</w:t>
      </w:r>
      <w:r>
        <w:rPr>
          <w:rFonts w:ascii="Comic Sans MS" w:hAnsi="Comic Sans MS" w:eastAsia="Comic Sans MS" w:cs="Comic Sans MS"/>
          <w:highlight w:val="none"/>
        </w:rPr>
        <w:t xml:space="preserve">âce à l’avanture  de nombreuse agences: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13"/>
        </w:numPr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Profession qui attire des jeunes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pStyle w:val="860"/>
        <w:numPr>
          <w:ilvl w:val="0"/>
          <w:numId w:val="13"/>
        </w:numPr>
        <w:tabs>
          <w:tab w:val="left" w:pos="6236" w:leader="none"/>
        </w:tabs>
        <w:rPr>
          <w:rFonts w:ascii="Comic Sans MS" w:hAnsi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Bac +2 minimum (BTS immo)</w:t>
        <w:br/>
        <w:t xml:space="preserve">Commerciaux formés aux méthodes et aux valeurs de réseau.</w:t>
      </w:r>
      <w:r>
        <w:rPr>
          <w:rFonts w:ascii="Comic Sans MS" w:hAnsi="Comic Sans MS" w:cs="Comic Sans MS"/>
          <w:highlight w:val="none"/>
        </w:rPr>
      </w:r>
      <w:r>
        <w:rPr>
          <w:rFonts w:ascii="Comic Sans MS" w:hAnsi="Comic Sans MS" w:cs="Comic Sans MS"/>
          <w:highlight w:val="none"/>
        </w:rPr>
      </w:r>
    </w:p>
    <w:p>
      <w:pPr>
        <w:tabs>
          <w:tab w:val="left" w:pos="6236" w:leader="none"/>
        </w:tabs>
        <w:rPr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2019 : Chute libre de l’immobilié</w:t>
        <w:br/>
      </w:r>
      <w:r>
        <w:rPr>
          <w:rFonts w:ascii="Comic Sans MS" w:hAnsi="Comic Sans MS" w:eastAsia="Comic Sans MS" w:cs="Comic Sans MS"/>
          <w:highlight w:val="none"/>
        </w:rPr>
        <w:t xml:space="preserve">peu d’acheteur et bcp vendeurs</w:t>
      </w:r>
      <w:r>
        <w:t xml:space="preserve"> les Prix baissent.</w:t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6236" w:leader="none"/>
        </w:tabs>
        <w:rPr>
          <w:highlight w:val="none"/>
        </w:rPr>
      </w:pPr>
      <w:r>
        <w:rPr>
          <w:highlight w:val="none"/>
        </w:rPr>
        <w:t xml:space="preserve">2021: Immobilier: revient 1 valeur Refuge à cause du COVID, </w:t>
        <w:br/>
        <w:t xml:space="preserve">les personnes se sont tournés vers la campagne gr</w:t>
      </w:r>
      <w:r>
        <w:rPr>
          <w:highlight w:val="none"/>
        </w:rPr>
        <w:t xml:space="preserve">âce au télétravail</w:t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6236" w:leader="none"/>
        </w:tabs>
        <w:rPr>
          <w:highlight w:val="none"/>
        </w:rPr>
      </w:pPr>
      <w:r>
        <w:rPr>
          <w:highlight w:val="none"/>
        </w:rPr>
        <w:t xml:space="preserve">Le marché des maisons de compagne a été DOPÉ PAR LES CITADINS qui cherchent de l’espace et des jardins.</w:t>
        <w:br/>
        <w:br/>
        <w:t xml:space="preserve">2) Avec autant d’instabilité, les recrutements(prévision)</w:t>
        <w:br/>
        <w:t xml:space="preserve">deviennent très compliqués, complexes</w:t>
      </w: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6236" w:leader="none"/>
        </w:tabs>
        <w:rPr>
          <w:highlight w:val="none"/>
        </w:rPr>
      </w:pPr>
      <w:r>
        <w:rPr>
          <w:highlight w:val="none"/>
        </w:rPr>
        <w:t xml:space="preserve">3) Il faut </w:t>
      </w:r>
      <w:r>
        <w:rPr>
          <w:highlight w:val="none"/>
        </w:rPr>
        <w:t xml:space="preserve">être très RÉACTIF et avoir un GEPP adaptable.</w:t>
        <w:br/>
        <w:t xml:space="preserve">Sinon, les décsions prives et les actions seront déjà dépassés(obsolètes)</w:t>
      </w:r>
      <w:r>
        <w:rPr>
          <w:highlight w:val="none"/>
        </w:rPr>
      </w:r>
      <w:r>
        <w:rPr>
          <w:highlight w:val="none"/>
        </w:rPr>
      </w:r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-1126785</wp:posOffset>
                </wp:positionH>
                <wp:positionV relativeFrom="paragraph">
                  <wp:posOffset>31087</wp:posOffset>
                </wp:positionV>
                <wp:extent cx="7639050" cy="360"/>
                <wp:effectExtent l="0" t="0" r="0" b="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639048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3" o:spid="_x0000_s3" style="position:absolute;left:0;text-align:left;z-index:2048;mso-wrap-distance-left:9.07pt;mso-wrap-distance-top:0.00pt;mso-wrap-distance-right:9.07pt;mso-wrap-distance-bottom:0.00pt;rotation:0;visibility:visible;" from="-88.7pt,2.4pt" to="512.8pt,2.5pt" filled="f" strokecolor="#284963" strokeweight="0.50pt"/>
            </w:pict>
          </mc:Fallback>
        </mc:AlternateContent>
      </w:r>
      <w:r/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color w:val="c00000"/>
          <w:highlight w:val="none"/>
          <w:u w:val="single"/>
        </w:rPr>
      </w:pPr>
      <w:r>
        <w:rPr>
          <w:rFonts w:ascii="Comic Sans MS" w:hAnsi="Comic Sans MS" w:eastAsia="Comic Sans MS" w:cs="Comic Sans MS"/>
          <w:color w:val="c00000"/>
          <w:highlight w:val="none"/>
          <w:u w:val="single"/>
        </w:rPr>
      </w:r>
      <w:r>
        <w:rPr>
          <w:rFonts w:ascii="Comic Sans MS" w:hAnsi="Comic Sans MS" w:eastAsia="Comic Sans MS" w:cs="Comic Sans MS"/>
          <w:color w:val="c00000"/>
          <w:highlight w:val="none"/>
          <w:u w:val="single"/>
        </w:rPr>
        <w:t xml:space="preserve">Mercredi 27 </w:t>
      </w:r>
      <w:r>
        <w:rPr>
          <w:rFonts w:ascii="Comic Sans MS" w:hAnsi="Comic Sans MS" w:eastAsia="Comic Sans MS" w:cs="Comic Sans MS"/>
          <w:color w:val="ff0000"/>
          <w:highlight w:val="none"/>
          <w:u w:val="single"/>
        </w:rPr>
        <w:t xml:space="preserve">mars </w:t>
      </w:r>
      <w:r>
        <w:rPr>
          <w:rFonts w:ascii="Comic Sans MS" w:hAnsi="Comic Sans MS" w:eastAsia="Comic Sans MS" w:cs="Comic Sans MS"/>
          <w:color w:val="c00000"/>
          <w:highlight w:val="none"/>
          <w:u w:val="single"/>
        </w:rPr>
        <w:t xml:space="preserve">2024      2024-03-27</w:t>
      </w:r>
      <w:r>
        <w:rPr>
          <w:rFonts w:ascii="Comic Sans MS" w:hAnsi="Comic Sans MS" w:eastAsia="Comic Sans MS" w:cs="Comic Sans MS"/>
          <w:color w:val="c00000"/>
          <w:highlight w:val="none"/>
          <w:u w:val="single"/>
        </w:rPr>
      </w:r>
      <w:r>
        <w:rPr>
          <w:rFonts w:ascii="Comic Sans MS" w:hAnsi="Comic Sans MS" w:eastAsia="Comic Sans MS" w:cs="Comic Sans MS"/>
          <w:color w:val="c00000"/>
          <w:highlight w:val="none"/>
          <w:u w:val="singl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III.B.4 Nouvelle attentes des jeunes génératioons: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8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Donner du sens à leur travail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8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Échanger et s’enrichir</w:t>
        <w:br/>
        <w:t xml:space="preserve">des différences de l’inclusion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8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Offres d’emplois précises et transparents(pioche de la réalité)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8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Motivations rationnelles(opportunités/nécessaire)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ind w:left="0" w:firstLine="0"/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III.B.5 Attitude à adopter par les E.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9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Communiquer sur leur MARQUE EMPLOYEUR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9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Transparente : Infos/Actus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9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Soutien des jeunes talents qui sauront s’en souvenir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  <w:t xml:space="preserve">III.B.6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L’E peut facilement évaluer les compétences de ses</w:t>
        <w:br/>
        <w:t xml:space="preserve">futures salariés gr</w:t>
      </w:r>
      <w:r>
        <w:rPr>
          <w:rFonts w:ascii="Comic Sans MS" w:hAnsi="Comic Sans MS" w:eastAsia="Comic Sans MS" w:cs="Comic Sans MS"/>
          <w:highlight w:val="none"/>
        </w:rPr>
        <w:t xml:space="preserve">âce aux dipl</w:t>
      </w:r>
      <w:r>
        <w:rPr>
          <w:rFonts w:ascii="Comic Sans MS" w:hAnsi="Comic Sans MS" w:eastAsia="Comic Sans MS" w:cs="Comic Sans MS"/>
          <w:highlight w:val="none"/>
        </w:rPr>
        <w:t xml:space="preserve">ô</w:t>
      </w:r>
      <w:r>
        <w:rPr>
          <w:rFonts w:ascii="Comic Sans MS" w:hAnsi="Comic Sans MS" w:eastAsia="Comic Sans MS" w:cs="Comic Sans MS"/>
          <w:highlight w:val="none"/>
        </w:rPr>
        <w:t xml:space="preserve">mes.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  <w:t xml:space="preserve">Mais la manière dont le salarié va évoluer es beaucoup plus difficiles à évaluer.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pStyle w:val="860"/>
        <w:numPr>
          <w:ilvl w:val="0"/>
          <w:numId w:val="11"/>
        </w:num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" behindDoc="0" locked="0" layoutInCell="1" allowOverlap="1">
                <wp:simplePos x="0" y="0"/>
                <wp:positionH relativeFrom="column">
                  <wp:posOffset>821077</wp:posOffset>
                </wp:positionH>
                <wp:positionV relativeFrom="paragraph">
                  <wp:posOffset>251752</wp:posOffset>
                </wp:positionV>
                <wp:extent cx="352425" cy="152400"/>
                <wp:effectExtent l="6350" t="6350" r="6350" b="635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52424" cy="152399"/>
                        </a:xfrm>
                        <a:prstGeom prst="mathNotEqual">
                          <a:avLst>
                            <a:gd name="adj1" fmla="val 23520"/>
                            <a:gd name="adj2" fmla="val 6600000"/>
                            <a:gd name="adj3" fmla="val 117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7168;o:allowoverlap:true;o:allowincell:true;mso-position-horizontal-relative:text;margin-left:64.65pt;mso-position-horizontal:absolute;mso-position-vertical-relative:text;margin-top:19.82pt;mso-position-vertical:absolute;width:27.75pt;height:12.00pt;mso-wrap-distance-left:9.07pt;mso-wrap-distance-top:0.00pt;mso-wrap-distance-right:9.07pt;mso-wrap-distance-bottom:0.00pt;visibility:visible;" fillcolor="#5B9BD5" strokecolor="#2D4D6A" strokeweight="1.00pt"/>
            </w:pict>
          </mc:Fallback>
        </mc:AlternateContent>
      </w:r>
      <w:r>
        <w:rPr>
          <w:rFonts w:ascii="Comic Sans MS" w:hAnsi="Comic Sans MS" w:eastAsia="Comic Sans MS" w:cs="Comic Sans MS"/>
          <w:highlight w:val="none"/>
        </w:rPr>
        <w:t xml:space="preserve">La gestion devient de plus en plus individuelle car tous les salariés</w:t>
        <w:br/>
        <w:t xml:space="preserve">sont            —&gt; TENSIONS entre eux</w:t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</w:p>
    <w:p>
      <w:pPr>
        <w:tabs>
          <w:tab w:val="left" w:pos="6236" w:leader="none"/>
        </w:tabs>
        <w:rPr>
          <w:rFonts w:ascii="Comic Sans MS" w:hAnsi="Comic Sans MS" w:eastAsia="Comic Sans MS" w:cs="Comic Sans MS"/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7615" cy="307212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064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44392" t="21892" r="14813" b="62458"/>
                        <a:stretch/>
                      </pic:blipFill>
                      <pic:spPr bwMode="auto">
                        <a:xfrm flipH="0" flipV="0">
                          <a:off x="0" y="0"/>
                          <a:ext cx="3597615" cy="307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83.28pt;height:241.9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6236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tabs>
          <w:tab w:val="left" w:pos="6236" w:leader="none"/>
        </w:tabs>
        <w:rPr>
          <w:highlight w:val="none"/>
        </w:rPr>
      </w:pPr>
      <w:r>
        <w:rPr>
          <w:rFonts w:ascii="Comic Sans MS" w:hAnsi="Comic Sans MS" w:eastAsia="Comic Sans MS" w:cs="Comic Sans MS"/>
          <w:highlight w:val="none"/>
        </w:rPr>
      </w:r>
      <w:r/>
      <w:r>
        <w:rPr>
          <w:rFonts w:ascii="Comic Sans MS" w:hAnsi="Comic Sans MS" w:eastAsia="Comic Sans MS" w:cs="Comic Sans MS"/>
          <w:highlight w:val="none"/>
        </w:rPr>
      </w:r>
      <w:r/>
      <w:r>
        <w:rPr>
          <w:rFonts w:ascii="Comic Sans MS" w:hAnsi="Comic Sans MS" w:eastAsia="Comic Sans MS" w:cs="Comic Sans MS"/>
          <w:highlight w:val="none"/>
        </w:rPr>
      </w:r>
      <w:r>
        <w:rPr>
          <w:rFonts w:ascii="Comic Sans MS" w:hAnsi="Comic Sans MS" w:eastAsia="Comic Sans MS" w:cs="Comic Sans MS"/>
          <w:highlight w:val="none"/>
        </w:rPr>
      </w:r>
      <w:r/>
      <w:r>
        <w:rPr>
          <w:rFonts w:ascii="Comic Sans MS" w:hAnsi="Comic Sans MS" w:eastAsia="Comic Sans MS" w:cs="Comic Sans MS"/>
          <w:highlight w:val="none"/>
        </w:rPr>
      </w:r>
      <w:r/>
      <w:r/>
      <w:r/>
      <w:r>
        <w:rPr>
          <w:rFonts w:ascii="Comic Sans MS" w:hAnsi="Comic Sans MS" w:eastAsia="Comic Sans MS" w:cs="Comic Sans MS"/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mic Sans MS">
    <w:panose1 w:val="030F07020303020202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Ø"/>
      <w:lvlJc w:val="left"/>
      <w:pPr>
        <w:ind w:left="709" w:hanging="360"/>
      </w:pPr>
      <w:rPr>
        <w:rFonts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0">
    <w:name w:val="Heading 1"/>
    <w:basedOn w:val="856"/>
    <w:next w:val="856"/>
    <w:link w:val="68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81">
    <w:name w:val="Heading 1 Char"/>
    <w:link w:val="680"/>
    <w:uiPriority w:val="9"/>
    <w:rPr>
      <w:rFonts w:ascii="Arial" w:hAnsi="Arial" w:eastAsia="Arial" w:cs="Arial"/>
      <w:sz w:val="40"/>
      <w:szCs w:val="40"/>
    </w:rPr>
  </w:style>
  <w:style w:type="paragraph" w:styleId="682">
    <w:name w:val="Heading 2"/>
    <w:basedOn w:val="856"/>
    <w:next w:val="856"/>
    <w:link w:val="68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83">
    <w:name w:val="Heading 2 Char"/>
    <w:link w:val="682"/>
    <w:uiPriority w:val="9"/>
    <w:rPr>
      <w:rFonts w:ascii="Arial" w:hAnsi="Arial" w:eastAsia="Arial" w:cs="Arial"/>
      <w:sz w:val="34"/>
    </w:rPr>
  </w:style>
  <w:style w:type="paragraph" w:styleId="684">
    <w:name w:val="Heading 3"/>
    <w:basedOn w:val="856"/>
    <w:next w:val="856"/>
    <w:link w:val="68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85">
    <w:name w:val="Heading 3 Char"/>
    <w:link w:val="684"/>
    <w:uiPriority w:val="9"/>
    <w:rPr>
      <w:rFonts w:ascii="Arial" w:hAnsi="Arial" w:eastAsia="Arial" w:cs="Arial"/>
      <w:sz w:val="30"/>
      <w:szCs w:val="30"/>
    </w:rPr>
  </w:style>
  <w:style w:type="paragraph" w:styleId="686">
    <w:name w:val="Heading 4"/>
    <w:basedOn w:val="856"/>
    <w:next w:val="856"/>
    <w:link w:val="68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7">
    <w:name w:val="Heading 4 Char"/>
    <w:link w:val="686"/>
    <w:uiPriority w:val="9"/>
    <w:rPr>
      <w:rFonts w:ascii="Arial" w:hAnsi="Arial" w:eastAsia="Arial" w:cs="Arial"/>
      <w:b/>
      <w:bCs/>
      <w:sz w:val="26"/>
      <w:szCs w:val="26"/>
    </w:rPr>
  </w:style>
  <w:style w:type="paragraph" w:styleId="688">
    <w:name w:val="Heading 5"/>
    <w:basedOn w:val="856"/>
    <w:next w:val="856"/>
    <w:link w:val="68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9">
    <w:name w:val="Heading 5 Char"/>
    <w:link w:val="688"/>
    <w:uiPriority w:val="9"/>
    <w:rPr>
      <w:rFonts w:ascii="Arial" w:hAnsi="Arial" w:eastAsia="Arial" w:cs="Arial"/>
      <w:b/>
      <w:bCs/>
      <w:sz w:val="24"/>
      <w:szCs w:val="24"/>
    </w:rPr>
  </w:style>
  <w:style w:type="paragraph" w:styleId="690">
    <w:name w:val="Heading 6"/>
    <w:basedOn w:val="856"/>
    <w:next w:val="856"/>
    <w:link w:val="69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1">
    <w:name w:val="Heading 6 Char"/>
    <w:link w:val="690"/>
    <w:uiPriority w:val="9"/>
    <w:rPr>
      <w:rFonts w:ascii="Arial" w:hAnsi="Arial" w:eastAsia="Arial" w:cs="Arial"/>
      <w:b/>
      <w:bCs/>
      <w:sz w:val="22"/>
      <w:szCs w:val="22"/>
    </w:rPr>
  </w:style>
  <w:style w:type="paragraph" w:styleId="692">
    <w:name w:val="Heading 7"/>
    <w:basedOn w:val="856"/>
    <w:next w:val="856"/>
    <w:link w:val="69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3">
    <w:name w:val="Heading 7 Char"/>
    <w:link w:val="69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94">
    <w:name w:val="Heading 8"/>
    <w:basedOn w:val="856"/>
    <w:next w:val="856"/>
    <w:link w:val="69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5">
    <w:name w:val="Heading 8 Char"/>
    <w:link w:val="694"/>
    <w:uiPriority w:val="9"/>
    <w:rPr>
      <w:rFonts w:ascii="Arial" w:hAnsi="Arial" w:eastAsia="Arial" w:cs="Arial"/>
      <w:i/>
      <w:iCs/>
      <w:sz w:val="22"/>
      <w:szCs w:val="22"/>
    </w:rPr>
  </w:style>
  <w:style w:type="paragraph" w:styleId="696">
    <w:name w:val="Heading 9"/>
    <w:basedOn w:val="856"/>
    <w:next w:val="856"/>
    <w:link w:val="69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7">
    <w:name w:val="Heading 9 Char"/>
    <w:link w:val="696"/>
    <w:uiPriority w:val="9"/>
    <w:rPr>
      <w:rFonts w:ascii="Arial" w:hAnsi="Arial" w:eastAsia="Arial" w:cs="Arial"/>
      <w:i/>
      <w:iCs/>
      <w:sz w:val="21"/>
      <w:szCs w:val="21"/>
    </w:rPr>
  </w:style>
  <w:style w:type="paragraph" w:styleId="698">
    <w:name w:val="Title"/>
    <w:basedOn w:val="856"/>
    <w:next w:val="856"/>
    <w:link w:val="6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9">
    <w:name w:val="Title Char"/>
    <w:link w:val="698"/>
    <w:uiPriority w:val="10"/>
    <w:rPr>
      <w:sz w:val="48"/>
      <w:szCs w:val="48"/>
    </w:rPr>
  </w:style>
  <w:style w:type="paragraph" w:styleId="700">
    <w:name w:val="Subtitle"/>
    <w:basedOn w:val="856"/>
    <w:next w:val="856"/>
    <w:link w:val="701"/>
    <w:uiPriority w:val="11"/>
    <w:qFormat/>
    <w:pPr>
      <w:spacing w:before="200" w:after="200"/>
    </w:pPr>
    <w:rPr>
      <w:sz w:val="24"/>
      <w:szCs w:val="24"/>
    </w:rPr>
  </w:style>
  <w:style w:type="character" w:styleId="701">
    <w:name w:val="Subtitle Char"/>
    <w:link w:val="700"/>
    <w:uiPriority w:val="11"/>
    <w:rPr>
      <w:sz w:val="24"/>
      <w:szCs w:val="24"/>
    </w:rPr>
  </w:style>
  <w:style w:type="paragraph" w:styleId="702">
    <w:name w:val="Quote"/>
    <w:basedOn w:val="856"/>
    <w:next w:val="856"/>
    <w:link w:val="703"/>
    <w:uiPriority w:val="29"/>
    <w:qFormat/>
    <w:pPr>
      <w:ind w:left="720" w:right="720"/>
    </w:pPr>
    <w:rPr>
      <w:i/>
    </w:rPr>
  </w:style>
  <w:style w:type="character" w:styleId="703">
    <w:name w:val="Quote Char"/>
    <w:link w:val="702"/>
    <w:uiPriority w:val="29"/>
    <w:rPr>
      <w:i/>
    </w:rPr>
  </w:style>
  <w:style w:type="paragraph" w:styleId="704">
    <w:name w:val="Intense Quote"/>
    <w:basedOn w:val="856"/>
    <w:next w:val="856"/>
    <w:link w:val="7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5">
    <w:name w:val="Intense Quote Char"/>
    <w:link w:val="704"/>
    <w:uiPriority w:val="30"/>
    <w:rPr>
      <w:i/>
    </w:rPr>
  </w:style>
  <w:style w:type="paragraph" w:styleId="706">
    <w:name w:val="Header"/>
    <w:basedOn w:val="856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7">
    <w:name w:val="Header Char"/>
    <w:link w:val="706"/>
    <w:uiPriority w:val="99"/>
  </w:style>
  <w:style w:type="paragraph" w:styleId="708">
    <w:name w:val="Footer"/>
    <w:basedOn w:val="856"/>
    <w:link w:val="7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9">
    <w:name w:val="Footer Char"/>
    <w:link w:val="708"/>
    <w:uiPriority w:val="99"/>
  </w:style>
  <w:style w:type="paragraph" w:styleId="710">
    <w:name w:val="Caption"/>
    <w:basedOn w:val="856"/>
    <w:next w:val="8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1">
    <w:name w:val="Caption Char"/>
    <w:basedOn w:val="710"/>
    <w:link w:val="708"/>
    <w:uiPriority w:val="99"/>
  </w:style>
  <w:style w:type="table" w:styleId="712">
    <w:name w:val="Table Grid"/>
    <w:basedOn w:val="8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3">
    <w:name w:val="Table Grid Light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4">
    <w:name w:val="Plain Table 1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2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6">
    <w:name w:val="Plain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7">
    <w:name w:val="Plain Table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Plain Table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9">
    <w:name w:val="Grid Table 1 Light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1 Light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1 Light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2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2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2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3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4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1">
    <w:name w:val="Grid Table 4 - Accent 1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2">
    <w:name w:val="Grid Table 4 - Accent 2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3">
    <w:name w:val="Grid Table 4 - Accent 3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4">
    <w:name w:val="Grid Table 4 - Accent 4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5">
    <w:name w:val="Grid Table 4 - Accent 5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6">
    <w:name w:val="Grid Table 4 - Accent 6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7">
    <w:name w:val="Grid Table 5 Dark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8">
    <w:name w:val="Grid Table 5 Dark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0">
    <w:name w:val="Grid Table 5 Dark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1">
    <w:name w:val="Grid Table 5 Dark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52">
    <w:name w:val="Grid Table 5 Dark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53">
    <w:name w:val="Grid Table 5 Dark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54">
    <w:name w:val="Grid Table 6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5">
    <w:name w:val="Grid Table 6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6">
    <w:name w:val="Grid Table 6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7">
    <w:name w:val="Grid Table 6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8">
    <w:name w:val="Grid Table 6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9">
    <w:name w:val="Grid Table 6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0">
    <w:name w:val="Grid Table 6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1">
    <w:name w:val="Grid Table 7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7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7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7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1 Light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6">
    <w:name w:val="List Table 2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7">
    <w:name w:val="List Table 2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8">
    <w:name w:val="List Table 2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9">
    <w:name w:val="List Table 2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0">
    <w:name w:val="List Table 2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1">
    <w:name w:val="List Table 2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2">
    <w:name w:val="List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3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3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5 Dark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5 Dark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5 Dark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6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4">
    <w:name w:val="List Table 6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5">
    <w:name w:val="List Table 6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6">
    <w:name w:val="List Table 6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7">
    <w:name w:val="List Table 6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8">
    <w:name w:val="List Table 6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9">
    <w:name w:val="List Table 6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0">
    <w:name w:val="List Table 7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1">
    <w:name w:val="List Table 7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12">
    <w:name w:val="List Table 7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3">
    <w:name w:val="List Table 7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14">
    <w:name w:val="List Table 7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15">
    <w:name w:val="List Table 7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16">
    <w:name w:val="List Table 7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7">
    <w:name w:val="Lined - Accent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8">
    <w:name w:val="Lined - Accent 1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9">
    <w:name w:val="Lined - Accent 2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0">
    <w:name w:val="Lined - Accent 3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1">
    <w:name w:val="Lined - Accent 4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2">
    <w:name w:val="Lined - Accent 5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3">
    <w:name w:val="Lined - Accent 6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4">
    <w:name w:val="Bordered &amp; Lined - Accent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5">
    <w:name w:val="Bordered &amp; Lined - Accent 1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6">
    <w:name w:val="Bordered &amp; Lined - Accent 2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7">
    <w:name w:val="Bordered &amp; Lined - Accent 3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8">
    <w:name w:val="Bordered &amp; Lined - Accent 4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9">
    <w:name w:val="Bordered &amp; Lined - Accent 5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0">
    <w:name w:val="Bordered &amp; Lined - Accent 6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1">
    <w:name w:val="Bordered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2">
    <w:name w:val="Bordered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3">
    <w:name w:val="Bordered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4">
    <w:name w:val="Bordered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5">
    <w:name w:val="Bordered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6">
    <w:name w:val="Bordered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7">
    <w:name w:val="Bordered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8">
    <w:name w:val="Hyperlink"/>
    <w:uiPriority w:val="99"/>
    <w:unhideWhenUsed/>
    <w:rPr>
      <w:color w:val="0000ff" w:themeColor="hyperlink"/>
      <w:u w:val="single"/>
    </w:rPr>
  </w:style>
  <w:style w:type="paragraph" w:styleId="839">
    <w:name w:val="footnote text"/>
    <w:basedOn w:val="856"/>
    <w:link w:val="840"/>
    <w:uiPriority w:val="99"/>
    <w:semiHidden/>
    <w:unhideWhenUsed/>
    <w:pPr>
      <w:spacing w:after="40" w:line="240" w:lineRule="auto"/>
    </w:pPr>
    <w:rPr>
      <w:sz w:val="18"/>
    </w:rPr>
  </w:style>
  <w:style w:type="character" w:styleId="840">
    <w:name w:val="Footnote Text Char"/>
    <w:link w:val="839"/>
    <w:uiPriority w:val="99"/>
    <w:rPr>
      <w:sz w:val="18"/>
    </w:rPr>
  </w:style>
  <w:style w:type="character" w:styleId="841">
    <w:name w:val="footnote reference"/>
    <w:uiPriority w:val="99"/>
    <w:unhideWhenUsed/>
    <w:rPr>
      <w:vertAlign w:val="superscript"/>
    </w:rPr>
  </w:style>
  <w:style w:type="paragraph" w:styleId="842">
    <w:name w:val="endnote text"/>
    <w:basedOn w:val="856"/>
    <w:link w:val="843"/>
    <w:uiPriority w:val="99"/>
    <w:semiHidden/>
    <w:unhideWhenUsed/>
    <w:pPr>
      <w:spacing w:after="0" w:line="240" w:lineRule="auto"/>
    </w:pPr>
    <w:rPr>
      <w:sz w:val="20"/>
    </w:rPr>
  </w:style>
  <w:style w:type="character" w:styleId="843">
    <w:name w:val="Endnote Text Char"/>
    <w:link w:val="842"/>
    <w:uiPriority w:val="99"/>
    <w:rPr>
      <w:sz w:val="20"/>
    </w:rPr>
  </w:style>
  <w:style w:type="character" w:styleId="844">
    <w:name w:val="endnote reference"/>
    <w:uiPriority w:val="99"/>
    <w:semiHidden/>
    <w:unhideWhenUsed/>
    <w:rPr>
      <w:vertAlign w:val="superscript"/>
    </w:rPr>
  </w:style>
  <w:style w:type="paragraph" w:styleId="845">
    <w:name w:val="toc 1"/>
    <w:basedOn w:val="856"/>
    <w:next w:val="856"/>
    <w:uiPriority w:val="39"/>
    <w:unhideWhenUsed/>
    <w:pPr>
      <w:ind w:left="0" w:right="0" w:firstLine="0"/>
      <w:spacing w:after="57"/>
    </w:pPr>
  </w:style>
  <w:style w:type="paragraph" w:styleId="846">
    <w:name w:val="toc 2"/>
    <w:basedOn w:val="856"/>
    <w:next w:val="856"/>
    <w:uiPriority w:val="39"/>
    <w:unhideWhenUsed/>
    <w:pPr>
      <w:ind w:left="283" w:right="0" w:firstLine="0"/>
      <w:spacing w:after="57"/>
    </w:pPr>
  </w:style>
  <w:style w:type="paragraph" w:styleId="847">
    <w:name w:val="toc 3"/>
    <w:basedOn w:val="856"/>
    <w:next w:val="856"/>
    <w:uiPriority w:val="39"/>
    <w:unhideWhenUsed/>
    <w:pPr>
      <w:ind w:left="567" w:right="0" w:firstLine="0"/>
      <w:spacing w:after="57"/>
    </w:pPr>
  </w:style>
  <w:style w:type="paragraph" w:styleId="848">
    <w:name w:val="toc 4"/>
    <w:basedOn w:val="856"/>
    <w:next w:val="856"/>
    <w:uiPriority w:val="39"/>
    <w:unhideWhenUsed/>
    <w:pPr>
      <w:ind w:left="850" w:right="0" w:firstLine="0"/>
      <w:spacing w:after="57"/>
    </w:pPr>
  </w:style>
  <w:style w:type="paragraph" w:styleId="849">
    <w:name w:val="toc 5"/>
    <w:basedOn w:val="856"/>
    <w:next w:val="856"/>
    <w:uiPriority w:val="39"/>
    <w:unhideWhenUsed/>
    <w:pPr>
      <w:ind w:left="1134" w:right="0" w:firstLine="0"/>
      <w:spacing w:after="57"/>
    </w:pPr>
  </w:style>
  <w:style w:type="paragraph" w:styleId="850">
    <w:name w:val="toc 6"/>
    <w:basedOn w:val="856"/>
    <w:next w:val="856"/>
    <w:uiPriority w:val="39"/>
    <w:unhideWhenUsed/>
    <w:pPr>
      <w:ind w:left="1417" w:right="0" w:firstLine="0"/>
      <w:spacing w:after="57"/>
    </w:pPr>
  </w:style>
  <w:style w:type="paragraph" w:styleId="851">
    <w:name w:val="toc 7"/>
    <w:basedOn w:val="856"/>
    <w:next w:val="856"/>
    <w:uiPriority w:val="39"/>
    <w:unhideWhenUsed/>
    <w:pPr>
      <w:ind w:left="1701" w:right="0" w:firstLine="0"/>
      <w:spacing w:after="57"/>
    </w:pPr>
  </w:style>
  <w:style w:type="paragraph" w:styleId="852">
    <w:name w:val="toc 8"/>
    <w:basedOn w:val="856"/>
    <w:next w:val="856"/>
    <w:uiPriority w:val="39"/>
    <w:unhideWhenUsed/>
    <w:pPr>
      <w:ind w:left="1984" w:right="0" w:firstLine="0"/>
      <w:spacing w:after="57"/>
    </w:pPr>
  </w:style>
  <w:style w:type="paragraph" w:styleId="853">
    <w:name w:val="toc 9"/>
    <w:basedOn w:val="856"/>
    <w:next w:val="856"/>
    <w:uiPriority w:val="39"/>
    <w:unhideWhenUsed/>
    <w:pPr>
      <w:ind w:left="2268" w:right="0" w:firstLine="0"/>
      <w:spacing w:after="57"/>
    </w:pPr>
  </w:style>
  <w:style w:type="paragraph" w:styleId="854">
    <w:name w:val="TOC Heading"/>
    <w:uiPriority w:val="39"/>
    <w:unhideWhenUsed/>
  </w:style>
  <w:style w:type="paragraph" w:styleId="855">
    <w:name w:val="table of figures"/>
    <w:basedOn w:val="856"/>
    <w:next w:val="856"/>
    <w:uiPriority w:val="99"/>
    <w:unhideWhenUsed/>
    <w:pPr>
      <w:spacing w:after="0" w:afterAutospacing="0"/>
    </w:pPr>
  </w:style>
  <w:style w:type="paragraph" w:styleId="856" w:default="1">
    <w:name w:val="Normal"/>
    <w:qFormat/>
  </w:style>
  <w:style w:type="table" w:styleId="8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8" w:default="1">
    <w:name w:val="No List"/>
    <w:uiPriority w:val="99"/>
    <w:semiHidden/>
    <w:unhideWhenUsed/>
  </w:style>
  <w:style w:type="paragraph" w:styleId="859">
    <w:name w:val="No Spacing"/>
    <w:basedOn w:val="856"/>
    <w:uiPriority w:val="1"/>
    <w:qFormat/>
    <w:pPr>
      <w:spacing w:after="0" w:line="240" w:lineRule="auto"/>
    </w:pPr>
  </w:style>
  <w:style w:type="paragraph" w:styleId="860">
    <w:name w:val="List Paragraph"/>
    <w:basedOn w:val="856"/>
    <w:uiPriority w:val="34"/>
    <w:qFormat/>
    <w:pPr>
      <w:contextualSpacing/>
      <w:ind w:left="720"/>
    </w:pPr>
  </w:style>
  <w:style w:type="character" w:styleId="86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2024-03-28T10:43:24Z</dcterms:modified>
</cp:coreProperties>
</file>