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BDDA5" w14:textId="77777777" w:rsidR="008B52D6" w:rsidRDefault="00000000">
      <w:pPr>
        <w:spacing w:before="480"/>
        <w:jc w:val="center"/>
      </w:pPr>
      <w:r>
        <w:rPr>
          <w:b/>
          <w:bCs/>
          <w:color w:val="5C3317"/>
          <w:sz w:val="56"/>
          <w:szCs w:val="56"/>
        </w:rPr>
        <w:t>COFFEE SHOP</w:t>
      </w:r>
    </w:p>
    <w:p w14:paraId="6F12DEA7" w14:textId="77777777" w:rsidR="008B52D6" w:rsidRDefault="00000000">
      <w:pPr>
        <w:spacing w:before="60" w:after="60"/>
        <w:jc w:val="center"/>
      </w:pPr>
      <w:r>
        <w:rPr>
          <w:color w:val="555555"/>
          <w:sz w:val="36"/>
          <w:szCs w:val="36"/>
        </w:rPr>
        <w:t>Revenue Analysis Report</w:t>
      </w:r>
    </w:p>
    <w:p w14:paraId="41F49318" w14:textId="3EAF018F" w:rsidR="008B52D6" w:rsidRDefault="00000000">
      <w:pPr>
        <w:spacing w:before="40" w:after="20"/>
        <w:jc w:val="center"/>
      </w:pPr>
      <w:r>
        <w:rPr>
          <w:i/>
          <w:iCs/>
          <w:color w:val="555555"/>
          <w:sz w:val="20"/>
          <w:szCs w:val="20"/>
        </w:rPr>
        <w:t xml:space="preserve">Prepared by: </w:t>
      </w:r>
      <w:r w:rsidR="009743CB">
        <w:rPr>
          <w:i/>
          <w:iCs/>
          <w:color w:val="555555"/>
          <w:sz w:val="20"/>
          <w:szCs w:val="20"/>
        </w:rPr>
        <w:t>Chad</w:t>
      </w:r>
    </w:p>
    <w:p w14:paraId="5EBBE53F" w14:textId="77777777" w:rsidR="008B52D6" w:rsidRDefault="00000000">
      <w:pPr>
        <w:spacing w:after="480"/>
        <w:jc w:val="center"/>
      </w:pPr>
      <w:r>
        <w:rPr>
          <w:i/>
          <w:iCs/>
          <w:color w:val="555555"/>
          <w:sz w:val="20"/>
          <w:szCs w:val="20"/>
        </w:rPr>
        <w:t>Date: May 2026</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2D6" w14:paraId="792E130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9568072" w14:textId="77777777" w:rsidR="008B52D6" w:rsidRDefault="00000000">
            <w:r>
              <w:rPr>
                <w:b/>
                <w:bCs/>
                <w:color w:val="555555"/>
                <w:sz w:val="20"/>
                <w:szCs w:val="20"/>
              </w:rPr>
              <w:t>Dataset period</w:t>
            </w:r>
          </w:p>
        </w:tc>
        <w:tc>
          <w:tcPr>
            <w:tcW w:w="6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68A7818" w14:textId="77777777" w:rsidR="008B52D6" w:rsidRDefault="00000000">
            <w:r>
              <w:rPr>
                <w:color w:val="2C2C2C"/>
                <w:sz w:val="20"/>
                <w:szCs w:val="20"/>
              </w:rPr>
              <w:t>March 2024 – March 2025</w:t>
            </w:r>
          </w:p>
        </w:tc>
      </w:tr>
      <w:tr w:rsidR="008B52D6" w14:paraId="08E26F4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79CB301" w14:textId="77777777" w:rsidR="008B52D6" w:rsidRDefault="00000000">
            <w:r>
              <w:rPr>
                <w:b/>
                <w:bCs/>
                <w:color w:val="555555"/>
                <w:sz w:val="20"/>
                <w:szCs w:val="20"/>
              </w:rPr>
              <w:t>Total transactions</w:t>
            </w:r>
          </w:p>
        </w:tc>
        <w:tc>
          <w:tcPr>
            <w:tcW w:w="6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18C27DF" w14:textId="77777777" w:rsidR="008B52D6" w:rsidRDefault="00000000">
            <w:r>
              <w:rPr>
                <w:color w:val="2C2C2C"/>
                <w:sz w:val="20"/>
                <w:szCs w:val="20"/>
              </w:rPr>
              <w:t>3,547</w:t>
            </w:r>
          </w:p>
        </w:tc>
      </w:tr>
      <w:tr w:rsidR="008B52D6" w14:paraId="38473950"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1D2D0E6" w14:textId="77777777" w:rsidR="008B52D6" w:rsidRDefault="00000000">
            <w:r>
              <w:rPr>
                <w:b/>
                <w:bCs/>
                <w:color w:val="555555"/>
                <w:sz w:val="20"/>
                <w:szCs w:val="20"/>
              </w:rPr>
              <w:t>Payment method</w:t>
            </w:r>
          </w:p>
        </w:tc>
        <w:tc>
          <w:tcPr>
            <w:tcW w:w="6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FA501EA" w14:textId="77777777" w:rsidR="008B52D6" w:rsidRDefault="00000000">
            <w:r>
              <w:rPr>
                <w:color w:val="2C2C2C"/>
                <w:sz w:val="20"/>
                <w:szCs w:val="20"/>
              </w:rPr>
              <w:t>Card only</w:t>
            </w:r>
          </w:p>
        </w:tc>
      </w:tr>
      <w:tr w:rsidR="008B52D6" w14:paraId="03B9638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F6E7A98" w14:textId="77777777" w:rsidR="008B52D6" w:rsidRDefault="00000000">
            <w:r>
              <w:rPr>
                <w:b/>
                <w:bCs/>
                <w:color w:val="555555"/>
                <w:sz w:val="20"/>
                <w:szCs w:val="20"/>
              </w:rPr>
              <w:t>Data source</w:t>
            </w:r>
          </w:p>
        </w:tc>
        <w:tc>
          <w:tcPr>
            <w:tcW w:w="6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C61EC76" w14:textId="77777777" w:rsidR="008B52D6" w:rsidRDefault="00000000">
            <w:r>
              <w:rPr>
                <w:color w:val="2C2C2C"/>
                <w:sz w:val="20"/>
                <w:szCs w:val="20"/>
              </w:rPr>
              <w:t>Point-of-sale transaction records</w:t>
            </w:r>
          </w:p>
        </w:tc>
      </w:tr>
    </w:tbl>
    <w:p w14:paraId="7A2B1045" w14:textId="77777777" w:rsidR="008B52D6" w:rsidRDefault="008B52D6">
      <w:pPr>
        <w:spacing w:before="240" w:after="240"/>
      </w:pPr>
    </w:p>
    <w:p w14:paraId="611C210C" w14:textId="77777777" w:rsidR="008B52D6" w:rsidRDefault="00000000">
      <w:pPr>
        <w:pBdr>
          <w:bottom w:val="single" w:sz="6" w:space="4" w:color="D4A96A"/>
        </w:pBdr>
        <w:spacing w:before="320" w:after="160"/>
      </w:pPr>
      <w:r>
        <w:rPr>
          <w:b/>
          <w:bCs/>
          <w:color w:val="5C3317"/>
          <w:sz w:val="26"/>
          <w:szCs w:val="26"/>
        </w:rPr>
        <w:t>Executive Summary</w:t>
      </w:r>
    </w:p>
    <w:p w14:paraId="0F2CBE7A" w14:textId="77777777" w:rsidR="008B52D6" w:rsidRDefault="00000000">
      <w:pPr>
        <w:spacing w:before="80" w:after="80"/>
      </w:pPr>
      <w:r>
        <w:rPr>
          <w:color w:val="2C2C2C"/>
        </w:rPr>
        <w:t>This report presents a revenue analysis of coffee shop sales data spanning March 2024 to March 2025, covering 3,547 individual transactions. The analysis examines revenue performance across products, days of the week, and months of the year to identify key patterns and commercial opportunities.</w:t>
      </w:r>
    </w:p>
    <w:p w14:paraId="4293FE20" w14:textId="77777777" w:rsidR="008B52D6" w:rsidRDefault="008B52D6">
      <w:pPr>
        <w:spacing w:before="60" w:after="60"/>
      </w:pPr>
    </w:p>
    <w:p w14:paraId="4288E71E" w14:textId="77777777" w:rsidR="008B52D6" w:rsidRDefault="00000000">
      <w:pPr>
        <w:spacing w:before="80" w:after="80"/>
      </w:pPr>
      <w:r>
        <w:rPr>
          <w:color w:val="2C2C2C"/>
        </w:rPr>
        <w:t>The most important finding is that the coffee shop's two most popular products — Americano with Milk and Americano — are currently underpriced relative to their sales volume, meaning the shop is leaving revenue on the table with every transaction. Addressing this alone represents the highest-return action available to the business.</w:t>
      </w:r>
    </w:p>
    <w:p w14:paraId="19174D68" w14:textId="77777777" w:rsidR="008B52D6" w:rsidRDefault="008B52D6">
      <w:pPr>
        <w:spacing w:before="60" w:after="60"/>
      </w:pPr>
    </w:p>
    <w:p w14:paraId="2E014AA6" w14:textId="456DA3E5" w:rsidR="008B52D6" w:rsidRDefault="00000000">
      <w:pPr>
        <w:spacing w:before="80" w:after="80"/>
      </w:pPr>
      <w:r>
        <w:rPr>
          <w:color w:val="2C2C2C"/>
        </w:rPr>
        <w:t xml:space="preserve">Weekend revenue is significantly weaker than weekday performance, pointing to an over-reliance on a commuter customer base. January and April consistently underperform, likely tied to reduced commuter activity during holiday periods. Three targeted recommendations are presented below, </w:t>
      </w:r>
      <w:r w:rsidR="00733223">
        <w:rPr>
          <w:color w:val="2C2C2C"/>
        </w:rPr>
        <w:t>prioritized</w:t>
      </w:r>
      <w:r>
        <w:rPr>
          <w:color w:val="2C2C2C"/>
        </w:rPr>
        <w:t xml:space="preserve"> by ease of implementation and speed of impact.</w:t>
      </w:r>
    </w:p>
    <w:p w14:paraId="0299A12B" w14:textId="77777777" w:rsidR="008B52D6" w:rsidRDefault="008B52D6">
      <w:pPr>
        <w:spacing w:before="200" w:after="200"/>
      </w:pPr>
    </w:p>
    <w:p w14:paraId="5AC8A072" w14:textId="77777777" w:rsidR="008B52D6" w:rsidRDefault="00000000">
      <w:pPr>
        <w:pBdr>
          <w:bottom w:val="single" w:sz="6" w:space="4" w:color="D4A96A"/>
        </w:pBdr>
        <w:spacing w:before="320" w:after="160"/>
      </w:pPr>
      <w:r>
        <w:rPr>
          <w:b/>
          <w:bCs/>
          <w:color w:val="5C3317"/>
          <w:sz w:val="26"/>
          <w:szCs w:val="26"/>
        </w:rPr>
        <w:t>Key Findings</w:t>
      </w:r>
    </w:p>
    <w:p w14:paraId="5DC02D9A" w14:textId="77777777" w:rsidR="008B52D6" w:rsidRDefault="00000000">
      <w:pPr>
        <w:spacing w:before="80" w:after="80"/>
      </w:pPr>
      <w:r>
        <w:rPr>
          <w:b/>
          <w:bCs/>
          <w:color w:val="5C3317"/>
        </w:rPr>
        <w:t>Product performance</w:t>
      </w:r>
    </w:p>
    <w:p w14:paraId="30A244EA" w14:textId="77777777" w:rsidR="008B52D6" w:rsidRDefault="008B52D6">
      <w:pPr>
        <w:spacing w:before="40" w:after="40"/>
      </w:pPr>
    </w:p>
    <w:p w14:paraId="5C3A81EC" w14:textId="77777777" w:rsidR="008B52D6" w:rsidRDefault="00000000">
      <w:pPr>
        <w:pStyle w:val="ListParagraph"/>
        <w:numPr>
          <w:ilvl w:val="0"/>
          <w:numId w:val="2"/>
        </w:numPr>
        <w:spacing w:before="60" w:after="40"/>
      </w:pPr>
      <w:r>
        <w:rPr>
          <w:color w:val="2C2C2C"/>
        </w:rPr>
        <w:t>Latte generates the most revenue despite not being the highest-selling product.</w:t>
      </w:r>
    </w:p>
    <w:p w14:paraId="4B972E6C" w14:textId="77777777" w:rsidR="008B52D6" w:rsidRDefault="00000000">
      <w:pPr>
        <w:pStyle w:val="ListParagraph"/>
        <w:numPr>
          <w:ilvl w:val="0"/>
          <w:numId w:val="2"/>
        </w:numPr>
        <w:spacing w:before="40" w:after="40"/>
      </w:pPr>
      <w:r>
        <w:rPr>
          <w:color w:val="2C2C2C"/>
        </w:rPr>
        <w:t>Americano with Milk is the most ordered item on the menu but ranks lower on revenue due to its lower price point.</w:t>
      </w:r>
    </w:p>
    <w:p w14:paraId="01DCD076" w14:textId="77777777" w:rsidR="008B52D6" w:rsidRDefault="00000000">
      <w:pPr>
        <w:pStyle w:val="ListParagraph"/>
        <w:numPr>
          <w:ilvl w:val="0"/>
          <w:numId w:val="2"/>
        </w:numPr>
        <w:spacing w:before="40" w:after="40"/>
      </w:pPr>
      <w:r>
        <w:rPr>
          <w:color w:val="2C2C2C"/>
        </w:rPr>
        <w:t>Americano outsells Cappuccino in volume but brings in less revenue — a pricing misalignment.</w:t>
      </w:r>
    </w:p>
    <w:p w14:paraId="0F35EF93" w14:textId="77777777" w:rsidR="008B52D6" w:rsidRDefault="00000000">
      <w:pPr>
        <w:pStyle w:val="ListParagraph"/>
        <w:numPr>
          <w:ilvl w:val="0"/>
          <w:numId w:val="2"/>
        </w:numPr>
        <w:spacing w:before="40" w:after="80"/>
      </w:pPr>
      <w:r>
        <w:rPr>
          <w:color w:val="2C2C2C"/>
        </w:rPr>
        <w:t>Espresso is the least popular item overall in both volume and revenue.</w:t>
      </w:r>
    </w:p>
    <w:p w14:paraId="2334906E" w14:textId="77777777" w:rsidR="008B52D6" w:rsidRDefault="008B52D6">
      <w:pPr>
        <w:spacing w:before="60" w:after="60"/>
      </w:pPr>
    </w:p>
    <w:p w14:paraId="32959504" w14:textId="77777777" w:rsidR="008B52D6" w:rsidRDefault="00000000">
      <w:pPr>
        <w:spacing w:before="80" w:after="80"/>
      </w:pPr>
      <w:r>
        <w:rPr>
          <w:b/>
          <w:bCs/>
          <w:color w:val="5C3317"/>
        </w:rPr>
        <w:t>Day and time performance</w:t>
      </w:r>
    </w:p>
    <w:p w14:paraId="2F82981D" w14:textId="77777777" w:rsidR="008B52D6" w:rsidRDefault="008B52D6">
      <w:pPr>
        <w:spacing w:before="40" w:after="40"/>
      </w:pPr>
    </w:p>
    <w:p w14:paraId="40126C53" w14:textId="77777777" w:rsidR="008B52D6" w:rsidRDefault="00000000">
      <w:pPr>
        <w:pStyle w:val="ListParagraph"/>
        <w:numPr>
          <w:ilvl w:val="0"/>
          <w:numId w:val="2"/>
        </w:numPr>
        <w:spacing w:before="60" w:after="40"/>
      </w:pPr>
      <w:r>
        <w:rPr>
          <w:color w:val="2C2C2C"/>
        </w:rPr>
        <w:t>Tuesday, Monday, and Friday are the three highest-revenue days in that order.</w:t>
      </w:r>
    </w:p>
    <w:p w14:paraId="1DD27330" w14:textId="77777777" w:rsidR="008B52D6" w:rsidRDefault="00000000">
      <w:pPr>
        <w:pStyle w:val="ListParagraph"/>
        <w:numPr>
          <w:ilvl w:val="0"/>
          <w:numId w:val="2"/>
        </w:numPr>
        <w:spacing w:before="40" w:after="40"/>
      </w:pPr>
      <w:r>
        <w:rPr>
          <w:color w:val="2C2C2C"/>
        </w:rPr>
        <w:t>Saturday and Sunday are significantly less profitable, suggesting the customer base is predominantly weekday commuters.</w:t>
      </w:r>
    </w:p>
    <w:p w14:paraId="2D99B368" w14:textId="77777777" w:rsidR="008B52D6" w:rsidRDefault="00000000">
      <w:pPr>
        <w:pStyle w:val="ListParagraph"/>
        <w:numPr>
          <w:ilvl w:val="0"/>
          <w:numId w:val="2"/>
        </w:numPr>
        <w:spacing w:before="40" w:after="80"/>
      </w:pPr>
      <w:r>
        <w:rPr>
          <w:color w:val="2C2C2C"/>
        </w:rPr>
        <w:t>Peak revenue hours are 10am and 4pm, with stable and consistent performance between those hours.</w:t>
      </w:r>
    </w:p>
    <w:p w14:paraId="7C8474BE" w14:textId="77777777" w:rsidR="008B52D6" w:rsidRDefault="008B52D6">
      <w:pPr>
        <w:spacing w:before="60" w:after="60"/>
      </w:pPr>
    </w:p>
    <w:p w14:paraId="007FA6AC" w14:textId="77777777" w:rsidR="008B52D6" w:rsidRDefault="00000000">
      <w:pPr>
        <w:spacing w:before="80" w:after="80"/>
      </w:pPr>
      <w:r>
        <w:rPr>
          <w:b/>
          <w:bCs/>
          <w:color w:val="5C3317"/>
        </w:rPr>
        <w:t>Monthly performance</w:t>
      </w:r>
    </w:p>
    <w:p w14:paraId="3C29BB86" w14:textId="77777777" w:rsidR="008B52D6" w:rsidRDefault="008B52D6">
      <w:pPr>
        <w:spacing w:before="40" w:after="40"/>
      </w:pPr>
    </w:p>
    <w:p w14:paraId="280BCF83" w14:textId="77777777" w:rsidR="008B52D6" w:rsidRDefault="00000000">
      <w:pPr>
        <w:pStyle w:val="ListParagraph"/>
        <w:numPr>
          <w:ilvl w:val="0"/>
          <w:numId w:val="2"/>
        </w:numPr>
        <w:spacing w:before="60" w:after="40"/>
      </w:pPr>
      <w:r>
        <w:rPr>
          <w:color w:val="2C2C2C"/>
        </w:rPr>
        <w:t>March, October, and February are the three strongest months for revenue.</w:t>
      </w:r>
    </w:p>
    <w:p w14:paraId="68248CA2" w14:textId="77777777" w:rsidR="008B52D6" w:rsidRDefault="00000000">
      <w:pPr>
        <w:pStyle w:val="ListParagraph"/>
        <w:numPr>
          <w:ilvl w:val="0"/>
          <w:numId w:val="2"/>
        </w:numPr>
        <w:spacing w:before="40" w:after="80"/>
      </w:pPr>
      <w:r>
        <w:rPr>
          <w:color w:val="2C2C2C"/>
        </w:rPr>
        <w:t>January and April are the weakest months, consistent with reduced commuter activity during the holiday periods in those months.</w:t>
      </w:r>
    </w:p>
    <w:p w14:paraId="5D341DF5" w14:textId="77777777" w:rsidR="008B52D6" w:rsidRDefault="008B52D6">
      <w:pPr>
        <w:spacing w:before="200" w:after="200"/>
      </w:pPr>
    </w:p>
    <w:p w14:paraId="336E2A8E" w14:textId="77777777" w:rsidR="008B52D6" w:rsidRDefault="00000000">
      <w:pPr>
        <w:pBdr>
          <w:bottom w:val="single" w:sz="6" w:space="4" w:color="D4A96A"/>
        </w:pBdr>
        <w:spacing w:before="320" w:after="160"/>
      </w:pPr>
      <w:r>
        <w:rPr>
          <w:b/>
          <w:bCs/>
          <w:color w:val="5C3317"/>
          <w:sz w:val="26"/>
          <w:szCs w:val="26"/>
        </w:rPr>
        <w:t>Recommendations</w:t>
      </w:r>
    </w:p>
    <w:p w14:paraId="2463484E" w14:textId="77777777" w:rsidR="008B52D6" w:rsidRDefault="008B52D6">
      <w:pPr>
        <w:spacing w:before="80" w:after="8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6930"/>
      </w:tblGrid>
      <w:tr w:rsidR="008B52D6" w14:paraId="28065A0A" w14:textId="77777777" w:rsidTr="002D7942">
        <w:tblPrEx>
          <w:tblCellMar>
            <w:top w:w="0" w:type="dxa"/>
            <w:bottom w:w="0" w:type="dxa"/>
          </w:tblCellMar>
        </w:tblPrEx>
        <w:trPr>
          <w:gridAfter w:val="1"/>
          <w:wAfter w:w="6930" w:type="dxa"/>
        </w:trPr>
        <w:tc>
          <w:tcPr>
            <w:tcW w:w="2430" w:type="dxa"/>
            <w:tcBorders>
              <w:top w:val="none" w:sz="0" w:space="0" w:color="FFFFFF"/>
              <w:left w:val="none" w:sz="0" w:space="0" w:color="FFFFFF"/>
              <w:bottom w:val="none" w:sz="0" w:space="0" w:color="FFFFFF"/>
              <w:right w:val="none" w:sz="0" w:space="0" w:color="FFFFFF"/>
            </w:tcBorders>
            <w:shd w:val="clear" w:color="auto" w:fill="5C3317"/>
            <w:tcMar>
              <w:top w:w="100" w:type="dxa"/>
              <w:left w:w="160" w:type="dxa"/>
              <w:bottom w:w="100" w:type="dxa"/>
              <w:right w:w="160" w:type="dxa"/>
            </w:tcMar>
          </w:tcPr>
          <w:p w14:paraId="0FD98D17" w14:textId="77777777" w:rsidR="008B52D6" w:rsidRDefault="00000000">
            <w:r>
              <w:rPr>
                <w:b/>
                <w:bCs/>
                <w:color w:val="FFFFFF"/>
              </w:rPr>
              <w:t>Recommendation 1</w:t>
            </w:r>
          </w:p>
        </w:tc>
      </w:tr>
      <w:tr w:rsidR="008B52D6" w14:paraId="6ADE70C8" w14:textId="77777777" w:rsidTr="002D7942">
        <w:tblPrEx>
          <w:tblCellMar>
            <w:top w:w="0" w:type="dxa"/>
            <w:bottom w:w="0" w:type="dxa"/>
          </w:tblCellMar>
        </w:tblPrEx>
        <w:tc>
          <w:tcPr>
            <w:tcW w:w="2430" w:type="dxa"/>
            <w:tcBorders>
              <w:top w:val="none" w:sz="0" w:space="0" w:color="FFFFFF"/>
              <w:left w:val="none" w:sz="0" w:space="0" w:color="FFFFFF"/>
              <w:bottom w:val="none" w:sz="0" w:space="0" w:color="FFFFFF"/>
              <w:right w:val="none" w:sz="0" w:space="0" w:color="FFFFFF"/>
            </w:tcBorders>
            <w:shd w:val="clear" w:color="auto" w:fill="F5EFE6"/>
            <w:tcMar>
              <w:top w:w="80" w:type="dxa"/>
              <w:left w:w="160" w:type="dxa"/>
              <w:bottom w:w="80" w:type="dxa"/>
              <w:right w:w="120" w:type="dxa"/>
            </w:tcMar>
          </w:tcPr>
          <w:p w14:paraId="16B8EB55" w14:textId="77777777" w:rsidR="008B52D6" w:rsidRDefault="00000000">
            <w:r>
              <w:rPr>
                <w:b/>
                <w:bCs/>
                <w:color w:val="5C3317"/>
                <w:sz w:val="20"/>
                <w:szCs w:val="20"/>
              </w:rPr>
              <w:t>Finding</w:t>
            </w:r>
          </w:p>
        </w:tc>
        <w:tc>
          <w:tcPr>
            <w:tcW w:w="693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4F28CA1C" w14:textId="77777777" w:rsidR="008B52D6" w:rsidRDefault="00000000">
            <w:r>
              <w:rPr>
                <w:color w:val="2C2C2C"/>
                <w:sz w:val="20"/>
                <w:szCs w:val="20"/>
              </w:rPr>
              <w:t>Americano with Milk is the top-selling product but generates less revenue than Latte due to a lower price. Americano outsells Cappuccino in volume but earns less — a clear pricing misalignment.</w:t>
            </w:r>
          </w:p>
        </w:tc>
      </w:tr>
      <w:tr w:rsidR="008B52D6" w14:paraId="7CFB311A" w14:textId="77777777" w:rsidTr="002D7942">
        <w:tblPrEx>
          <w:tblCellMar>
            <w:top w:w="0" w:type="dxa"/>
            <w:bottom w:w="0" w:type="dxa"/>
          </w:tblCellMar>
        </w:tblPrEx>
        <w:tc>
          <w:tcPr>
            <w:tcW w:w="2430" w:type="dxa"/>
            <w:tcBorders>
              <w:top w:val="none" w:sz="0" w:space="0" w:color="FFFFFF"/>
              <w:left w:val="none" w:sz="0" w:space="0" w:color="FFFFFF"/>
              <w:bottom w:val="none" w:sz="0" w:space="0" w:color="FFFFFF"/>
              <w:right w:val="none" w:sz="0" w:space="0" w:color="FFFFFF"/>
            </w:tcBorders>
            <w:shd w:val="clear" w:color="auto" w:fill="F5EFE6"/>
            <w:tcMar>
              <w:top w:w="80" w:type="dxa"/>
              <w:left w:w="160" w:type="dxa"/>
              <w:bottom w:w="80" w:type="dxa"/>
              <w:right w:w="120" w:type="dxa"/>
            </w:tcMar>
          </w:tcPr>
          <w:p w14:paraId="729995F9" w14:textId="77777777" w:rsidR="008B52D6" w:rsidRDefault="00000000">
            <w:r>
              <w:rPr>
                <w:b/>
                <w:bCs/>
                <w:color w:val="5C3317"/>
                <w:sz w:val="20"/>
                <w:szCs w:val="20"/>
              </w:rPr>
              <w:t>Insight</w:t>
            </w:r>
          </w:p>
        </w:tc>
        <w:tc>
          <w:tcPr>
            <w:tcW w:w="693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091B7243" w14:textId="77777777" w:rsidR="008B52D6" w:rsidRDefault="00000000">
            <w:r>
              <w:rPr>
                <w:color w:val="2C2C2C"/>
                <w:sz w:val="20"/>
                <w:szCs w:val="20"/>
              </w:rPr>
              <w:t>Both products are priced below their market position. Customers are already choosing these products consistently, which means demand is established. A modest price increase would not likely reduce volume but would improve revenue on every transaction.</w:t>
            </w:r>
          </w:p>
        </w:tc>
      </w:tr>
      <w:tr w:rsidR="008B52D6" w14:paraId="346A23D4" w14:textId="77777777" w:rsidTr="002D7942">
        <w:tblPrEx>
          <w:tblCellMar>
            <w:top w:w="0" w:type="dxa"/>
            <w:bottom w:w="0" w:type="dxa"/>
          </w:tblCellMar>
        </w:tblPrEx>
        <w:tc>
          <w:tcPr>
            <w:tcW w:w="2430" w:type="dxa"/>
            <w:tcBorders>
              <w:top w:val="none" w:sz="0" w:space="0" w:color="FFFFFF"/>
              <w:left w:val="none" w:sz="0" w:space="0" w:color="FFFFFF"/>
              <w:bottom w:val="none" w:sz="0" w:space="0" w:color="FFFFFF"/>
              <w:right w:val="none" w:sz="0" w:space="0" w:color="FFFFFF"/>
            </w:tcBorders>
            <w:shd w:val="clear" w:color="auto" w:fill="F5EFE6"/>
            <w:tcMar>
              <w:top w:w="80" w:type="dxa"/>
              <w:left w:w="160" w:type="dxa"/>
              <w:bottom w:w="80" w:type="dxa"/>
              <w:right w:w="120" w:type="dxa"/>
            </w:tcMar>
          </w:tcPr>
          <w:p w14:paraId="4B97BE90" w14:textId="77777777" w:rsidR="008B52D6" w:rsidRDefault="00000000">
            <w:r>
              <w:rPr>
                <w:b/>
                <w:bCs/>
                <w:color w:val="5C3317"/>
                <w:sz w:val="20"/>
                <w:szCs w:val="20"/>
              </w:rPr>
              <w:t>Action</w:t>
            </w:r>
          </w:p>
        </w:tc>
        <w:tc>
          <w:tcPr>
            <w:tcW w:w="693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1776676B" w14:textId="77777777" w:rsidR="008B52D6" w:rsidRDefault="00000000">
            <w:r>
              <w:rPr>
                <w:color w:val="2C2C2C"/>
                <w:sz w:val="20"/>
                <w:szCs w:val="20"/>
              </w:rPr>
              <w:t>Reprice Americano with Milk and Americano upward. Even a modest increase of $0.50–$1.00 per transaction, applied across the volume of sales these products generate, would materially increase weekly and monthly revenue without requiring new customers.</w:t>
            </w:r>
          </w:p>
        </w:tc>
      </w:tr>
      <w:tr w:rsidR="008B52D6" w14:paraId="4A55CECF" w14:textId="77777777" w:rsidTr="002D7942">
        <w:tblPrEx>
          <w:tblCellMar>
            <w:top w:w="0" w:type="dxa"/>
            <w:bottom w:w="0" w:type="dxa"/>
          </w:tblCellMar>
        </w:tblPrEx>
        <w:tc>
          <w:tcPr>
            <w:tcW w:w="2430" w:type="dxa"/>
            <w:tcBorders>
              <w:top w:val="none" w:sz="0" w:space="0" w:color="FFFFFF"/>
              <w:left w:val="none" w:sz="0" w:space="0" w:color="FFFFFF"/>
              <w:bottom w:val="none" w:sz="0" w:space="0" w:color="FFFFFF"/>
              <w:right w:val="none" w:sz="0" w:space="0" w:color="FFFFFF"/>
            </w:tcBorders>
            <w:shd w:val="clear" w:color="auto" w:fill="F5EFE6"/>
            <w:tcMar>
              <w:top w:w="80" w:type="dxa"/>
              <w:left w:w="160" w:type="dxa"/>
              <w:bottom w:w="80" w:type="dxa"/>
              <w:right w:w="120" w:type="dxa"/>
            </w:tcMar>
          </w:tcPr>
          <w:p w14:paraId="66ED3915" w14:textId="77777777" w:rsidR="008B52D6" w:rsidRDefault="00000000">
            <w:r>
              <w:rPr>
                <w:b/>
                <w:bCs/>
                <w:color w:val="5C3317"/>
                <w:sz w:val="20"/>
                <w:szCs w:val="20"/>
              </w:rPr>
              <w:t>Expected outcome</w:t>
            </w:r>
          </w:p>
        </w:tc>
        <w:tc>
          <w:tcPr>
            <w:tcW w:w="693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35B3B5E4" w14:textId="77777777" w:rsidR="008B52D6" w:rsidRDefault="00000000">
            <w:r>
              <w:rPr>
                <w:color w:val="2C2C2C"/>
                <w:sz w:val="20"/>
                <w:szCs w:val="20"/>
              </w:rPr>
              <w:t>Higher revenue per transaction on the two most popular products. Improved alignment between sales volume and revenue contribution across the menu.</w:t>
            </w:r>
          </w:p>
        </w:tc>
      </w:tr>
    </w:tbl>
    <w:p w14:paraId="58EBB304" w14:textId="77777777" w:rsidR="008B52D6" w:rsidRDefault="008B52D6">
      <w:pPr>
        <w:spacing w:before="200" w:after="200"/>
      </w:pPr>
    </w:p>
    <w:p w14:paraId="4B5AD110" w14:textId="77777777" w:rsidR="002D7942" w:rsidRDefault="002D7942">
      <w:pPr>
        <w:spacing w:before="200" w:after="200"/>
      </w:pPr>
    </w:p>
    <w:p w14:paraId="59EF6577" w14:textId="77777777" w:rsidR="002D7942" w:rsidRDefault="002D7942">
      <w:pPr>
        <w:spacing w:before="200" w:after="200"/>
      </w:pPr>
    </w:p>
    <w:p w14:paraId="3C5F7A0D" w14:textId="77777777" w:rsidR="002D7942" w:rsidRDefault="002D7942">
      <w:pPr>
        <w:spacing w:before="200" w:after="200"/>
      </w:pPr>
    </w:p>
    <w:p w14:paraId="0BA54E0F" w14:textId="77777777" w:rsidR="002D7942" w:rsidRDefault="002D7942">
      <w:pPr>
        <w:spacing w:before="200" w:after="200"/>
      </w:pPr>
    </w:p>
    <w:p w14:paraId="073B512C" w14:textId="77777777" w:rsidR="002D7942" w:rsidRDefault="002D7942">
      <w:pPr>
        <w:spacing w:before="200"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6930"/>
      </w:tblGrid>
      <w:tr w:rsidR="008B52D6" w14:paraId="4E96E8AD" w14:textId="77777777" w:rsidTr="002D7942">
        <w:tblPrEx>
          <w:tblCellMar>
            <w:top w:w="0" w:type="dxa"/>
            <w:bottom w:w="0" w:type="dxa"/>
          </w:tblCellMar>
        </w:tblPrEx>
        <w:trPr>
          <w:gridAfter w:val="1"/>
          <w:wAfter w:w="6930" w:type="dxa"/>
        </w:trPr>
        <w:tc>
          <w:tcPr>
            <w:tcW w:w="2430" w:type="dxa"/>
            <w:tcBorders>
              <w:top w:val="none" w:sz="0" w:space="0" w:color="FFFFFF"/>
              <w:left w:val="none" w:sz="0" w:space="0" w:color="FFFFFF"/>
              <w:bottom w:val="none" w:sz="0" w:space="0" w:color="FFFFFF"/>
              <w:right w:val="none" w:sz="0" w:space="0" w:color="FFFFFF"/>
            </w:tcBorders>
            <w:shd w:val="clear" w:color="auto" w:fill="5C3317"/>
            <w:tcMar>
              <w:top w:w="100" w:type="dxa"/>
              <w:left w:w="160" w:type="dxa"/>
              <w:bottom w:w="100" w:type="dxa"/>
              <w:right w:w="160" w:type="dxa"/>
            </w:tcMar>
          </w:tcPr>
          <w:p w14:paraId="653F75CB" w14:textId="77777777" w:rsidR="008B52D6" w:rsidRDefault="00000000">
            <w:r>
              <w:rPr>
                <w:b/>
                <w:bCs/>
                <w:color w:val="FFFFFF"/>
              </w:rPr>
              <w:lastRenderedPageBreak/>
              <w:t>Recommendation 2</w:t>
            </w:r>
          </w:p>
        </w:tc>
      </w:tr>
      <w:tr w:rsidR="008B52D6" w14:paraId="3C88D8CA" w14:textId="77777777" w:rsidTr="002D7942">
        <w:tblPrEx>
          <w:tblCellMar>
            <w:top w:w="0" w:type="dxa"/>
            <w:bottom w:w="0" w:type="dxa"/>
          </w:tblCellMar>
        </w:tblPrEx>
        <w:tc>
          <w:tcPr>
            <w:tcW w:w="2430" w:type="dxa"/>
            <w:tcBorders>
              <w:top w:val="none" w:sz="0" w:space="0" w:color="FFFFFF"/>
              <w:left w:val="none" w:sz="0" w:space="0" w:color="FFFFFF"/>
              <w:bottom w:val="none" w:sz="0" w:space="0" w:color="FFFFFF"/>
              <w:right w:val="none" w:sz="0" w:space="0" w:color="FFFFFF"/>
            </w:tcBorders>
            <w:shd w:val="clear" w:color="auto" w:fill="F5EFE6"/>
            <w:tcMar>
              <w:top w:w="80" w:type="dxa"/>
              <w:left w:w="160" w:type="dxa"/>
              <w:bottom w:w="80" w:type="dxa"/>
              <w:right w:w="120" w:type="dxa"/>
            </w:tcMar>
          </w:tcPr>
          <w:p w14:paraId="0E691F53" w14:textId="77777777" w:rsidR="008B52D6" w:rsidRDefault="00000000">
            <w:r>
              <w:rPr>
                <w:b/>
                <w:bCs/>
                <w:color w:val="5C3317"/>
                <w:sz w:val="20"/>
                <w:szCs w:val="20"/>
              </w:rPr>
              <w:t>Finding</w:t>
            </w:r>
          </w:p>
        </w:tc>
        <w:tc>
          <w:tcPr>
            <w:tcW w:w="693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71E36AE5" w14:textId="77777777" w:rsidR="008B52D6" w:rsidRDefault="00000000">
            <w:r>
              <w:rPr>
                <w:color w:val="2C2C2C"/>
                <w:sz w:val="20"/>
                <w:szCs w:val="20"/>
              </w:rPr>
              <w:t>Saturday and Sunday generate significantly less revenue than weekday trading. The customer base appears to be predominantly Monday-to-Friday commuters who do not visit on weekends.</w:t>
            </w:r>
          </w:p>
        </w:tc>
      </w:tr>
      <w:tr w:rsidR="008B52D6" w14:paraId="3DFC3D10" w14:textId="77777777" w:rsidTr="002D7942">
        <w:tblPrEx>
          <w:tblCellMar>
            <w:top w:w="0" w:type="dxa"/>
            <w:bottom w:w="0" w:type="dxa"/>
          </w:tblCellMar>
        </w:tblPrEx>
        <w:tc>
          <w:tcPr>
            <w:tcW w:w="2430" w:type="dxa"/>
            <w:tcBorders>
              <w:top w:val="none" w:sz="0" w:space="0" w:color="FFFFFF"/>
              <w:left w:val="none" w:sz="0" w:space="0" w:color="FFFFFF"/>
              <w:bottom w:val="none" w:sz="0" w:space="0" w:color="FFFFFF"/>
              <w:right w:val="none" w:sz="0" w:space="0" w:color="FFFFFF"/>
            </w:tcBorders>
            <w:shd w:val="clear" w:color="auto" w:fill="F5EFE6"/>
            <w:tcMar>
              <w:top w:w="80" w:type="dxa"/>
              <w:left w:w="160" w:type="dxa"/>
              <w:bottom w:w="80" w:type="dxa"/>
              <w:right w:w="120" w:type="dxa"/>
            </w:tcMar>
          </w:tcPr>
          <w:p w14:paraId="68F19220" w14:textId="77777777" w:rsidR="008B52D6" w:rsidRDefault="00000000">
            <w:r>
              <w:rPr>
                <w:b/>
                <w:bCs/>
                <w:color w:val="5C3317"/>
                <w:sz w:val="20"/>
                <w:szCs w:val="20"/>
              </w:rPr>
              <w:t>Insight</w:t>
            </w:r>
          </w:p>
        </w:tc>
        <w:tc>
          <w:tcPr>
            <w:tcW w:w="693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167FC02D" w14:textId="3E2E820C" w:rsidR="008B52D6" w:rsidRDefault="00000000">
            <w:r>
              <w:rPr>
                <w:color w:val="2C2C2C"/>
                <w:sz w:val="20"/>
                <w:szCs w:val="20"/>
              </w:rPr>
              <w:t xml:space="preserve">Weekend footfall is low because the current customer base has no reason to visit outside of their commute routine. The space is likely </w:t>
            </w:r>
            <w:r w:rsidR="00994248">
              <w:rPr>
                <w:color w:val="2C2C2C"/>
                <w:sz w:val="20"/>
                <w:szCs w:val="20"/>
              </w:rPr>
              <w:t>underutilized</w:t>
            </w:r>
            <w:r>
              <w:rPr>
                <w:color w:val="2C2C2C"/>
                <w:sz w:val="20"/>
                <w:szCs w:val="20"/>
              </w:rPr>
              <w:t xml:space="preserve"> on weekends, representing fixed costs with reduced return.</w:t>
            </w:r>
          </w:p>
        </w:tc>
      </w:tr>
      <w:tr w:rsidR="008B52D6" w14:paraId="76A70B22" w14:textId="77777777" w:rsidTr="002D7942">
        <w:tblPrEx>
          <w:tblCellMar>
            <w:top w:w="0" w:type="dxa"/>
            <w:bottom w:w="0" w:type="dxa"/>
          </w:tblCellMar>
        </w:tblPrEx>
        <w:tc>
          <w:tcPr>
            <w:tcW w:w="2430" w:type="dxa"/>
            <w:tcBorders>
              <w:top w:val="none" w:sz="0" w:space="0" w:color="FFFFFF"/>
              <w:left w:val="none" w:sz="0" w:space="0" w:color="FFFFFF"/>
              <w:bottom w:val="none" w:sz="0" w:space="0" w:color="FFFFFF"/>
              <w:right w:val="none" w:sz="0" w:space="0" w:color="FFFFFF"/>
            </w:tcBorders>
            <w:shd w:val="clear" w:color="auto" w:fill="F5EFE6"/>
            <w:tcMar>
              <w:top w:w="80" w:type="dxa"/>
              <w:left w:w="160" w:type="dxa"/>
              <w:bottom w:w="80" w:type="dxa"/>
              <w:right w:w="120" w:type="dxa"/>
            </w:tcMar>
          </w:tcPr>
          <w:p w14:paraId="10BF69EE" w14:textId="77777777" w:rsidR="008B52D6" w:rsidRDefault="00000000">
            <w:r>
              <w:rPr>
                <w:b/>
                <w:bCs/>
                <w:color w:val="5C3317"/>
                <w:sz w:val="20"/>
                <w:szCs w:val="20"/>
              </w:rPr>
              <w:t>Action</w:t>
            </w:r>
          </w:p>
        </w:tc>
        <w:tc>
          <w:tcPr>
            <w:tcW w:w="693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1A4F7E25" w14:textId="404FAFCE" w:rsidR="008B52D6" w:rsidRDefault="00000000">
            <w:r>
              <w:rPr>
                <w:color w:val="2C2C2C"/>
                <w:sz w:val="20"/>
                <w:szCs w:val="20"/>
              </w:rPr>
              <w:t xml:space="preserve">Partner with local community groups to host weekend events that attract a different customer profile. Recommended starting points: Studio X Dance Club for Saturday morning gatherings, the Local Book Club for Sunday afternoon sessions, and the </w:t>
            </w:r>
            <w:r w:rsidR="00994248">
              <w:rPr>
                <w:color w:val="2C2C2C"/>
                <w:sz w:val="20"/>
                <w:szCs w:val="20"/>
              </w:rPr>
              <w:t>neighborhood</w:t>
            </w:r>
            <w:r>
              <w:rPr>
                <w:color w:val="2C2C2C"/>
                <w:sz w:val="20"/>
                <w:szCs w:val="20"/>
              </w:rPr>
              <w:t xml:space="preserve"> run club for post-run meetups. Additionally, promote the space as a working environment with seating arrangements and outlets to attract remote workers on weekends.</w:t>
            </w:r>
          </w:p>
        </w:tc>
      </w:tr>
      <w:tr w:rsidR="008B52D6" w14:paraId="46B9CCE4" w14:textId="77777777" w:rsidTr="002D7942">
        <w:tblPrEx>
          <w:tblCellMar>
            <w:top w:w="0" w:type="dxa"/>
            <w:bottom w:w="0" w:type="dxa"/>
          </w:tblCellMar>
        </w:tblPrEx>
        <w:tc>
          <w:tcPr>
            <w:tcW w:w="2430" w:type="dxa"/>
            <w:tcBorders>
              <w:top w:val="none" w:sz="0" w:space="0" w:color="FFFFFF"/>
              <w:left w:val="none" w:sz="0" w:space="0" w:color="FFFFFF"/>
              <w:bottom w:val="none" w:sz="0" w:space="0" w:color="FFFFFF"/>
              <w:right w:val="none" w:sz="0" w:space="0" w:color="FFFFFF"/>
            </w:tcBorders>
            <w:shd w:val="clear" w:color="auto" w:fill="F5EFE6"/>
            <w:tcMar>
              <w:top w:w="80" w:type="dxa"/>
              <w:left w:w="160" w:type="dxa"/>
              <w:bottom w:w="80" w:type="dxa"/>
              <w:right w:w="120" w:type="dxa"/>
            </w:tcMar>
          </w:tcPr>
          <w:p w14:paraId="01631250" w14:textId="77777777" w:rsidR="008B52D6" w:rsidRDefault="00000000">
            <w:r>
              <w:rPr>
                <w:b/>
                <w:bCs/>
                <w:color w:val="5C3317"/>
                <w:sz w:val="20"/>
                <w:szCs w:val="20"/>
              </w:rPr>
              <w:t>Expected outcome</w:t>
            </w:r>
          </w:p>
        </w:tc>
        <w:tc>
          <w:tcPr>
            <w:tcW w:w="693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50C23D63" w14:textId="77777777" w:rsidR="008B52D6" w:rsidRDefault="00000000">
            <w:r>
              <w:rPr>
                <w:color w:val="2C2C2C"/>
                <w:sz w:val="20"/>
                <w:szCs w:val="20"/>
              </w:rPr>
              <w:t>New weekend customer segment that is not dependent on the commuter pattern. Increased footfall on the two lowest-revenue days, with the potential to convert event attendees into regular customers.</w:t>
            </w:r>
          </w:p>
        </w:tc>
      </w:tr>
    </w:tbl>
    <w:p w14:paraId="60F62888" w14:textId="77777777" w:rsidR="008B52D6" w:rsidRDefault="008B52D6">
      <w:pPr>
        <w:spacing w:before="200"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6930"/>
      </w:tblGrid>
      <w:tr w:rsidR="008B52D6" w14:paraId="1EA8E0A8" w14:textId="77777777" w:rsidTr="002D7942">
        <w:tblPrEx>
          <w:tblCellMar>
            <w:top w:w="0" w:type="dxa"/>
            <w:bottom w:w="0" w:type="dxa"/>
          </w:tblCellMar>
        </w:tblPrEx>
        <w:trPr>
          <w:gridAfter w:val="1"/>
          <w:wAfter w:w="6930" w:type="dxa"/>
        </w:trPr>
        <w:tc>
          <w:tcPr>
            <w:tcW w:w="2430" w:type="dxa"/>
            <w:tcBorders>
              <w:top w:val="none" w:sz="0" w:space="0" w:color="FFFFFF"/>
              <w:left w:val="none" w:sz="0" w:space="0" w:color="FFFFFF"/>
              <w:bottom w:val="none" w:sz="0" w:space="0" w:color="FFFFFF"/>
              <w:right w:val="none" w:sz="0" w:space="0" w:color="FFFFFF"/>
            </w:tcBorders>
            <w:shd w:val="clear" w:color="auto" w:fill="5C3317"/>
            <w:tcMar>
              <w:top w:w="100" w:type="dxa"/>
              <w:left w:w="160" w:type="dxa"/>
              <w:bottom w:w="100" w:type="dxa"/>
              <w:right w:w="160" w:type="dxa"/>
            </w:tcMar>
          </w:tcPr>
          <w:p w14:paraId="5E7DE436" w14:textId="77777777" w:rsidR="008B52D6" w:rsidRDefault="00000000">
            <w:r>
              <w:rPr>
                <w:b/>
                <w:bCs/>
                <w:color w:val="FFFFFF"/>
              </w:rPr>
              <w:t>Recommendation 3</w:t>
            </w:r>
          </w:p>
        </w:tc>
      </w:tr>
      <w:tr w:rsidR="008B52D6" w14:paraId="3261387E" w14:textId="77777777" w:rsidTr="002D7942">
        <w:tblPrEx>
          <w:tblCellMar>
            <w:top w:w="0" w:type="dxa"/>
            <w:bottom w:w="0" w:type="dxa"/>
          </w:tblCellMar>
        </w:tblPrEx>
        <w:tc>
          <w:tcPr>
            <w:tcW w:w="2430" w:type="dxa"/>
            <w:tcBorders>
              <w:top w:val="none" w:sz="0" w:space="0" w:color="FFFFFF"/>
              <w:left w:val="none" w:sz="0" w:space="0" w:color="FFFFFF"/>
              <w:bottom w:val="none" w:sz="0" w:space="0" w:color="FFFFFF"/>
              <w:right w:val="none" w:sz="0" w:space="0" w:color="FFFFFF"/>
            </w:tcBorders>
            <w:shd w:val="clear" w:color="auto" w:fill="F5EFE6"/>
            <w:tcMar>
              <w:top w:w="80" w:type="dxa"/>
              <w:left w:w="160" w:type="dxa"/>
              <w:bottom w:w="80" w:type="dxa"/>
              <w:right w:w="120" w:type="dxa"/>
            </w:tcMar>
          </w:tcPr>
          <w:p w14:paraId="4FBF5C3B" w14:textId="77777777" w:rsidR="008B52D6" w:rsidRDefault="00000000">
            <w:r>
              <w:rPr>
                <w:b/>
                <w:bCs/>
                <w:color w:val="5C3317"/>
                <w:sz w:val="20"/>
                <w:szCs w:val="20"/>
              </w:rPr>
              <w:t>Finding</w:t>
            </w:r>
          </w:p>
        </w:tc>
        <w:tc>
          <w:tcPr>
            <w:tcW w:w="693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7B421D0B" w14:textId="77777777" w:rsidR="008B52D6" w:rsidRDefault="00000000">
            <w:r>
              <w:rPr>
                <w:color w:val="2C2C2C"/>
                <w:sz w:val="20"/>
                <w:szCs w:val="20"/>
              </w:rPr>
              <w:t>January and April are consistently the lowest-revenue months across the dataset. January sees reduced commuter activity during the holiday period. April coincides with spring break for schools in the area, further reducing the commuter customer base.</w:t>
            </w:r>
          </w:p>
        </w:tc>
      </w:tr>
      <w:tr w:rsidR="008B52D6" w14:paraId="113942A2" w14:textId="77777777" w:rsidTr="002D7942">
        <w:tblPrEx>
          <w:tblCellMar>
            <w:top w:w="0" w:type="dxa"/>
            <w:bottom w:w="0" w:type="dxa"/>
          </w:tblCellMar>
        </w:tblPrEx>
        <w:tc>
          <w:tcPr>
            <w:tcW w:w="2430" w:type="dxa"/>
            <w:tcBorders>
              <w:top w:val="none" w:sz="0" w:space="0" w:color="FFFFFF"/>
              <w:left w:val="none" w:sz="0" w:space="0" w:color="FFFFFF"/>
              <w:bottom w:val="none" w:sz="0" w:space="0" w:color="FFFFFF"/>
              <w:right w:val="none" w:sz="0" w:space="0" w:color="FFFFFF"/>
            </w:tcBorders>
            <w:shd w:val="clear" w:color="auto" w:fill="F5EFE6"/>
            <w:tcMar>
              <w:top w:w="80" w:type="dxa"/>
              <w:left w:w="160" w:type="dxa"/>
              <w:bottom w:w="80" w:type="dxa"/>
              <w:right w:w="120" w:type="dxa"/>
            </w:tcMar>
          </w:tcPr>
          <w:p w14:paraId="56C0F93D" w14:textId="77777777" w:rsidR="008B52D6" w:rsidRDefault="00000000">
            <w:r>
              <w:rPr>
                <w:b/>
                <w:bCs/>
                <w:color w:val="5C3317"/>
                <w:sz w:val="20"/>
                <w:szCs w:val="20"/>
              </w:rPr>
              <w:t>Insight</w:t>
            </w:r>
          </w:p>
        </w:tc>
        <w:tc>
          <w:tcPr>
            <w:tcW w:w="693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44266D3B" w14:textId="77777777" w:rsidR="008B52D6" w:rsidRDefault="00000000">
            <w:r>
              <w:rPr>
                <w:color w:val="2C2C2C"/>
                <w:sz w:val="20"/>
                <w:szCs w:val="20"/>
              </w:rPr>
              <w:t>These slow periods are predictable and recurring. The revenue dip is likely to repeat each year under the current business model. Managing costs during these months is as important as growing revenue during strong months.</w:t>
            </w:r>
          </w:p>
        </w:tc>
      </w:tr>
      <w:tr w:rsidR="008B52D6" w14:paraId="1D9C6A4A" w14:textId="77777777" w:rsidTr="002D7942">
        <w:tblPrEx>
          <w:tblCellMar>
            <w:top w:w="0" w:type="dxa"/>
            <w:bottom w:w="0" w:type="dxa"/>
          </w:tblCellMar>
        </w:tblPrEx>
        <w:tc>
          <w:tcPr>
            <w:tcW w:w="2430" w:type="dxa"/>
            <w:tcBorders>
              <w:top w:val="none" w:sz="0" w:space="0" w:color="FFFFFF"/>
              <w:left w:val="none" w:sz="0" w:space="0" w:color="FFFFFF"/>
              <w:bottom w:val="none" w:sz="0" w:space="0" w:color="FFFFFF"/>
              <w:right w:val="none" w:sz="0" w:space="0" w:color="FFFFFF"/>
            </w:tcBorders>
            <w:shd w:val="clear" w:color="auto" w:fill="F5EFE6"/>
            <w:tcMar>
              <w:top w:w="80" w:type="dxa"/>
              <w:left w:w="160" w:type="dxa"/>
              <w:bottom w:w="80" w:type="dxa"/>
              <w:right w:w="120" w:type="dxa"/>
            </w:tcMar>
          </w:tcPr>
          <w:p w14:paraId="5CBDFE4B" w14:textId="77777777" w:rsidR="008B52D6" w:rsidRDefault="00000000">
            <w:r>
              <w:rPr>
                <w:b/>
                <w:bCs/>
                <w:color w:val="5C3317"/>
                <w:sz w:val="20"/>
                <w:szCs w:val="20"/>
              </w:rPr>
              <w:t>Action</w:t>
            </w:r>
          </w:p>
        </w:tc>
        <w:tc>
          <w:tcPr>
            <w:tcW w:w="693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7FD15AFC" w14:textId="77777777" w:rsidR="008B52D6" w:rsidRDefault="00000000">
            <w:r>
              <w:rPr>
                <w:color w:val="2C2C2C"/>
                <w:sz w:val="20"/>
                <w:szCs w:val="20"/>
              </w:rPr>
              <w:t>Reduce ingredient stock orders in January and April in anticipation of lower sales volume, with particular focus on high-volume ingredients. Adjust staffing schedules to reduce shifts during these months. Consider running a targeted promotion in late March and late September to carry momentum into the slow months.</w:t>
            </w:r>
          </w:p>
        </w:tc>
      </w:tr>
      <w:tr w:rsidR="008B52D6" w14:paraId="3ADD9954" w14:textId="77777777" w:rsidTr="002D7942">
        <w:tblPrEx>
          <w:tblCellMar>
            <w:top w:w="0" w:type="dxa"/>
            <w:bottom w:w="0" w:type="dxa"/>
          </w:tblCellMar>
        </w:tblPrEx>
        <w:tc>
          <w:tcPr>
            <w:tcW w:w="2430" w:type="dxa"/>
            <w:tcBorders>
              <w:top w:val="none" w:sz="0" w:space="0" w:color="FFFFFF"/>
              <w:left w:val="none" w:sz="0" w:space="0" w:color="FFFFFF"/>
              <w:bottom w:val="none" w:sz="0" w:space="0" w:color="FFFFFF"/>
              <w:right w:val="none" w:sz="0" w:space="0" w:color="FFFFFF"/>
            </w:tcBorders>
            <w:shd w:val="clear" w:color="auto" w:fill="F5EFE6"/>
            <w:tcMar>
              <w:top w:w="80" w:type="dxa"/>
              <w:left w:w="160" w:type="dxa"/>
              <w:bottom w:w="80" w:type="dxa"/>
              <w:right w:w="120" w:type="dxa"/>
            </w:tcMar>
          </w:tcPr>
          <w:p w14:paraId="14A64C36" w14:textId="77777777" w:rsidR="008B52D6" w:rsidRDefault="00000000">
            <w:r>
              <w:rPr>
                <w:b/>
                <w:bCs/>
                <w:color w:val="5C3317"/>
                <w:sz w:val="20"/>
                <w:szCs w:val="20"/>
              </w:rPr>
              <w:t>Expected outcome</w:t>
            </w:r>
          </w:p>
        </w:tc>
        <w:tc>
          <w:tcPr>
            <w:tcW w:w="693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4AC6775A" w14:textId="77777777" w:rsidR="008B52D6" w:rsidRDefault="00000000">
            <w:r>
              <w:rPr>
                <w:color w:val="2C2C2C"/>
                <w:sz w:val="20"/>
                <w:szCs w:val="20"/>
              </w:rPr>
              <w:t>Lower operating expenses during predictable slow periods, protecting margin when revenue is reduced. Reduced ingredient waste. A more sustainable cost structure across the full year.</w:t>
            </w:r>
          </w:p>
        </w:tc>
      </w:tr>
    </w:tbl>
    <w:p w14:paraId="624FF8FD" w14:textId="77777777" w:rsidR="008B52D6" w:rsidRDefault="008B52D6">
      <w:pPr>
        <w:spacing w:before="240" w:after="240"/>
      </w:pPr>
    </w:p>
    <w:p w14:paraId="310FFB12" w14:textId="77777777" w:rsidR="008B52D6" w:rsidRDefault="00000000">
      <w:pPr>
        <w:pBdr>
          <w:bottom w:val="single" w:sz="6" w:space="4" w:color="D4A96A"/>
        </w:pBdr>
        <w:spacing w:before="320" w:after="160"/>
      </w:pPr>
      <w:r>
        <w:rPr>
          <w:b/>
          <w:bCs/>
          <w:color w:val="5C3317"/>
          <w:sz w:val="26"/>
          <w:szCs w:val="26"/>
        </w:rPr>
        <w:t>Implementation Priority</w:t>
      </w:r>
    </w:p>
    <w:p w14:paraId="4D1FB05D" w14:textId="77777777" w:rsidR="008B52D6" w:rsidRDefault="008B52D6">
      <w:pPr>
        <w:spacing w:before="80" w:after="80"/>
      </w:pPr>
    </w:p>
    <w:p w14:paraId="53BDBCEC" w14:textId="5C976C72" w:rsidR="008B52D6" w:rsidRDefault="00000000">
      <w:pPr>
        <w:spacing w:before="80" w:after="80"/>
      </w:pPr>
      <w:r>
        <w:rPr>
          <w:color w:val="555555"/>
        </w:rPr>
        <w:t xml:space="preserve">The following table </w:t>
      </w:r>
      <w:r w:rsidR="00994248">
        <w:rPr>
          <w:color w:val="555555"/>
        </w:rPr>
        <w:t>summarizes</w:t>
      </w:r>
      <w:r>
        <w:rPr>
          <w:color w:val="555555"/>
        </w:rPr>
        <w:t xml:space="preserve"> the recommended order of action based on implementation speed and expected impact.</w:t>
      </w:r>
    </w:p>
    <w:p w14:paraId="31057B1C" w14:textId="77777777" w:rsidR="008B52D6" w:rsidRDefault="008B52D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4320"/>
        <w:gridCol w:w="2160"/>
        <w:gridCol w:w="2160"/>
      </w:tblGrid>
      <w:tr w:rsidR="008B52D6" w14:paraId="17DD2FAB"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5C3317"/>
            <w:tcMar>
              <w:top w:w="80" w:type="dxa"/>
              <w:left w:w="120" w:type="dxa"/>
              <w:bottom w:w="80" w:type="dxa"/>
              <w:right w:w="120" w:type="dxa"/>
            </w:tcMar>
          </w:tcPr>
          <w:p w14:paraId="3A509EB0" w14:textId="77777777" w:rsidR="008B52D6" w:rsidRDefault="00000000">
            <w:r>
              <w:rPr>
                <w:b/>
                <w:bCs/>
                <w:color w:val="FFFFFF"/>
                <w:sz w:val="20"/>
                <w:szCs w:val="20"/>
              </w:rPr>
              <w:lastRenderedPageBreak/>
              <w:t>#</w:t>
            </w:r>
          </w:p>
        </w:tc>
        <w:tc>
          <w:tcPr>
            <w:tcW w:w="4320" w:type="dxa"/>
            <w:tcBorders>
              <w:top w:val="none" w:sz="0" w:space="0" w:color="FFFFFF"/>
              <w:left w:val="none" w:sz="0" w:space="0" w:color="FFFFFF"/>
              <w:bottom w:val="none" w:sz="0" w:space="0" w:color="FFFFFF"/>
              <w:right w:val="none" w:sz="0" w:space="0" w:color="FFFFFF"/>
            </w:tcBorders>
            <w:shd w:val="clear" w:color="auto" w:fill="5C3317"/>
            <w:tcMar>
              <w:top w:w="80" w:type="dxa"/>
              <w:left w:w="120" w:type="dxa"/>
              <w:bottom w:w="80" w:type="dxa"/>
              <w:right w:w="120" w:type="dxa"/>
            </w:tcMar>
          </w:tcPr>
          <w:p w14:paraId="41E4A4A6" w14:textId="77777777" w:rsidR="008B52D6" w:rsidRDefault="00000000">
            <w:r>
              <w:rPr>
                <w:b/>
                <w:bCs/>
                <w:color w:val="FFFFFF"/>
                <w:sz w:val="20"/>
                <w:szCs w:val="20"/>
              </w:rPr>
              <w:t>Recommendation</w:t>
            </w:r>
          </w:p>
        </w:tc>
        <w:tc>
          <w:tcPr>
            <w:tcW w:w="2160" w:type="dxa"/>
            <w:tcBorders>
              <w:top w:val="none" w:sz="0" w:space="0" w:color="FFFFFF"/>
              <w:left w:val="none" w:sz="0" w:space="0" w:color="FFFFFF"/>
              <w:bottom w:val="none" w:sz="0" w:space="0" w:color="FFFFFF"/>
              <w:right w:val="none" w:sz="0" w:space="0" w:color="FFFFFF"/>
            </w:tcBorders>
            <w:shd w:val="clear" w:color="auto" w:fill="5C3317"/>
            <w:tcMar>
              <w:top w:w="80" w:type="dxa"/>
              <w:left w:w="120" w:type="dxa"/>
              <w:bottom w:w="80" w:type="dxa"/>
              <w:right w:w="120" w:type="dxa"/>
            </w:tcMar>
          </w:tcPr>
          <w:p w14:paraId="7B8D3E8E" w14:textId="77777777" w:rsidR="008B52D6" w:rsidRDefault="00000000">
            <w:r>
              <w:rPr>
                <w:b/>
                <w:bCs/>
                <w:color w:val="FFFFFF"/>
                <w:sz w:val="20"/>
                <w:szCs w:val="20"/>
              </w:rPr>
              <w:t>Timeframe</w:t>
            </w:r>
          </w:p>
        </w:tc>
        <w:tc>
          <w:tcPr>
            <w:tcW w:w="2160" w:type="dxa"/>
            <w:tcBorders>
              <w:top w:val="none" w:sz="0" w:space="0" w:color="FFFFFF"/>
              <w:left w:val="none" w:sz="0" w:space="0" w:color="FFFFFF"/>
              <w:bottom w:val="none" w:sz="0" w:space="0" w:color="FFFFFF"/>
              <w:right w:val="none" w:sz="0" w:space="0" w:color="FFFFFF"/>
            </w:tcBorders>
            <w:shd w:val="clear" w:color="auto" w:fill="5C3317"/>
            <w:tcMar>
              <w:top w:w="80" w:type="dxa"/>
              <w:left w:w="120" w:type="dxa"/>
              <w:bottom w:w="80" w:type="dxa"/>
              <w:right w:w="120" w:type="dxa"/>
            </w:tcMar>
          </w:tcPr>
          <w:p w14:paraId="74A5CE03" w14:textId="77777777" w:rsidR="008B52D6" w:rsidRDefault="00000000">
            <w:r>
              <w:rPr>
                <w:b/>
                <w:bCs/>
                <w:color w:val="FFFFFF"/>
                <w:sz w:val="20"/>
                <w:szCs w:val="20"/>
              </w:rPr>
              <w:t>Impact</w:t>
            </w:r>
          </w:p>
        </w:tc>
      </w:tr>
      <w:tr w:rsidR="008B52D6" w14:paraId="210958CF"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B7A803A" w14:textId="77777777" w:rsidR="008B52D6" w:rsidRDefault="00000000">
            <w:r>
              <w:rPr>
                <w:color w:val="2C2C2C"/>
                <w:sz w:val="20"/>
                <w:szCs w:val="20"/>
              </w:rPr>
              <w:t>1</w:t>
            </w:r>
          </w:p>
        </w:tc>
        <w:tc>
          <w:tcPr>
            <w:tcW w:w="432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595E106" w14:textId="77777777" w:rsidR="008B52D6" w:rsidRDefault="00000000">
            <w:r>
              <w:rPr>
                <w:color w:val="2C2C2C"/>
                <w:sz w:val="20"/>
                <w:szCs w:val="20"/>
              </w:rPr>
              <w:t>Reprice Americano &amp; Americano with Milk</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1E6869D" w14:textId="77777777" w:rsidR="008B52D6" w:rsidRDefault="00000000">
            <w:r>
              <w:rPr>
                <w:color w:val="2C2C2C"/>
                <w:sz w:val="20"/>
                <w:szCs w:val="20"/>
              </w:rPr>
              <w:t>Immediate</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3C6E9F0" w14:textId="77777777" w:rsidR="008B52D6" w:rsidRDefault="00000000">
            <w:r>
              <w:rPr>
                <w:color w:val="2C2C2C"/>
                <w:sz w:val="20"/>
                <w:szCs w:val="20"/>
              </w:rPr>
              <w:t>High</w:t>
            </w:r>
          </w:p>
        </w:tc>
      </w:tr>
      <w:tr w:rsidR="008B52D6" w14:paraId="080CB9D0"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5EFE6"/>
            <w:tcMar>
              <w:top w:w="80" w:type="dxa"/>
              <w:left w:w="120" w:type="dxa"/>
              <w:bottom w:w="80" w:type="dxa"/>
              <w:right w:w="120" w:type="dxa"/>
            </w:tcMar>
          </w:tcPr>
          <w:p w14:paraId="7EA0AEA6" w14:textId="77777777" w:rsidR="008B52D6" w:rsidRDefault="00000000">
            <w:r>
              <w:rPr>
                <w:color w:val="2C2C2C"/>
                <w:sz w:val="20"/>
                <w:szCs w:val="20"/>
              </w:rPr>
              <w:t>2</w:t>
            </w:r>
          </w:p>
        </w:tc>
        <w:tc>
          <w:tcPr>
            <w:tcW w:w="4320" w:type="dxa"/>
            <w:tcBorders>
              <w:top w:val="none" w:sz="0" w:space="0" w:color="FFFFFF"/>
              <w:left w:val="none" w:sz="0" w:space="0" w:color="FFFFFF"/>
              <w:bottom w:val="none" w:sz="0" w:space="0" w:color="FFFFFF"/>
              <w:right w:val="none" w:sz="0" w:space="0" w:color="FFFFFF"/>
            </w:tcBorders>
            <w:shd w:val="clear" w:color="auto" w:fill="F5EFE6"/>
            <w:tcMar>
              <w:top w:w="80" w:type="dxa"/>
              <w:left w:w="120" w:type="dxa"/>
              <w:bottom w:w="80" w:type="dxa"/>
              <w:right w:w="120" w:type="dxa"/>
            </w:tcMar>
          </w:tcPr>
          <w:p w14:paraId="75591202" w14:textId="77777777" w:rsidR="008B52D6" w:rsidRDefault="00000000">
            <w:r>
              <w:rPr>
                <w:color w:val="2C2C2C"/>
                <w:sz w:val="20"/>
                <w:szCs w:val="20"/>
              </w:rPr>
              <w:t>Weekend community events</w:t>
            </w:r>
          </w:p>
        </w:tc>
        <w:tc>
          <w:tcPr>
            <w:tcW w:w="2160" w:type="dxa"/>
            <w:tcBorders>
              <w:top w:val="none" w:sz="0" w:space="0" w:color="FFFFFF"/>
              <w:left w:val="none" w:sz="0" w:space="0" w:color="FFFFFF"/>
              <w:bottom w:val="none" w:sz="0" w:space="0" w:color="FFFFFF"/>
              <w:right w:val="none" w:sz="0" w:space="0" w:color="FFFFFF"/>
            </w:tcBorders>
            <w:shd w:val="clear" w:color="auto" w:fill="F5EFE6"/>
            <w:tcMar>
              <w:top w:w="80" w:type="dxa"/>
              <w:left w:w="120" w:type="dxa"/>
              <w:bottom w:w="80" w:type="dxa"/>
              <w:right w:w="120" w:type="dxa"/>
            </w:tcMar>
          </w:tcPr>
          <w:p w14:paraId="7514D2BB" w14:textId="77777777" w:rsidR="008B52D6" w:rsidRDefault="00000000">
            <w:r>
              <w:rPr>
                <w:color w:val="2C2C2C"/>
                <w:sz w:val="20"/>
                <w:szCs w:val="20"/>
              </w:rPr>
              <w:t>1–4 weeks</w:t>
            </w:r>
          </w:p>
        </w:tc>
        <w:tc>
          <w:tcPr>
            <w:tcW w:w="2160" w:type="dxa"/>
            <w:tcBorders>
              <w:top w:val="none" w:sz="0" w:space="0" w:color="FFFFFF"/>
              <w:left w:val="none" w:sz="0" w:space="0" w:color="FFFFFF"/>
              <w:bottom w:val="none" w:sz="0" w:space="0" w:color="FFFFFF"/>
              <w:right w:val="none" w:sz="0" w:space="0" w:color="FFFFFF"/>
            </w:tcBorders>
            <w:shd w:val="clear" w:color="auto" w:fill="F5EFE6"/>
            <w:tcMar>
              <w:top w:w="80" w:type="dxa"/>
              <w:left w:w="120" w:type="dxa"/>
              <w:bottom w:w="80" w:type="dxa"/>
              <w:right w:w="120" w:type="dxa"/>
            </w:tcMar>
          </w:tcPr>
          <w:p w14:paraId="3AE54173" w14:textId="77777777" w:rsidR="008B52D6" w:rsidRDefault="00000000">
            <w:r>
              <w:rPr>
                <w:color w:val="2C2C2C"/>
                <w:sz w:val="20"/>
                <w:szCs w:val="20"/>
              </w:rPr>
              <w:t>Medium–High</w:t>
            </w:r>
          </w:p>
        </w:tc>
      </w:tr>
      <w:tr w:rsidR="008B52D6" w14:paraId="3E4CDA30"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B411CA7" w14:textId="77777777" w:rsidR="008B52D6" w:rsidRDefault="00000000">
            <w:r>
              <w:rPr>
                <w:color w:val="2C2C2C"/>
                <w:sz w:val="20"/>
                <w:szCs w:val="20"/>
              </w:rPr>
              <w:t>3</w:t>
            </w:r>
          </w:p>
        </w:tc>
        <w:tc>
          <w:tcPr>
            <w:tcW w:w="432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BF5266F" w14:textId="77777777" w:rsidR="008B52D6" w:rsidRDefault="00000000">
            <w:r>
              <w:rPr>
                <w:color w:val="2C2C2C"/>
                <w:sz w:val="20"/>
                <w:szCs w:val="20"/>
              </w:rPr>
              <w:t>Slow month cost management</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6D03C3A" w14:textId="77777777" w:rsidR="008B52D6" w:rsidRDefault="00000000">
            <w:r>
              <w:rPr>
                <w:color w:val="2C2C2C"/>
                <w:sz w:val="20"/>
                <w:szCs w:val="20"/>
              </w:rPr>
              <w:t>Seasonal</w:t>
            </w:r>
          </w:p>
        </w:tc>
        <w:tc>
          <w:tcPr>
            <w:tcW w:w="21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DA356FC" w14:textId="77777777" w:rsidR="008B52D6" w:rsidRDefault="00000000">
            <w:r>
              <w:rPr>
                <w:color w:val="2C2C2C"/>
                <w:sz w:val="20"/>
                <w:szCs w:val="20"/>
              </w:rPr>
              <w:t>Medium</w:t>
            </w:r>
          </w:p>
        </w:tc>
      </w:tr>
    </w:tbl>
    <w:p w14:paraId="255B38B5" w14:textId="77777777" w:rsidR="008B52D6" w:rsidRDefault="008B52D6">
      <w:pPr>
        <w:spacing w:before="240" w:after="240"/>
      </w:pPr>
    </w:p>
    <w:p w14:paraId="379B465B" w14:textId="77777777" w:rsidR="008B52D6" w:rsidRDefault="00000000">
      <w:pPr>
        <w:pBdr>
          <w:bottom w:val="single" w:sz="6" w:space="4" w:color="D4A96A"/>
        </w:pBdr>
        <w:spacing w:before="320" w:after="160"/>
      </w:pPr>
      <w:r>
        <w:rPr>
          <w:b/>
          <w:bCs/>
          <w:color w:val="5C3317"/>
          <w:sz w:val="26"/>
          <w:szCs w:val="26"/>
        </w:rPr>
        <w:t>Closing Note</w:t>
      </w:r>
    </w:p>
    <w:p w14:paraId="5AE6D94A" w14:textId="77777777" w:rsidR="008B52D6" w:rsidRDefault="00000000">
      <w:pPr>
        <w:spacing w:before="80" w:after="80"/>
      </w:pPr>
      <w:r>
        <w:rPr>
          <w:color w:val="2C2C2C"/>
        </w:rPr>
        <w:t>All recommendations in this report are grounded directly in transaction data from the point-of-sale system. No recommendation relies on assumptions beyond what the data supports.</w:t>
      </w:r>
    </w:p>
    <w:p w14:paraId="652AC99E" w14:textId="77777777" w:rsidR="008B52D6" w:rsidRDefault="008B52D6">
      <w:pPr>
        <w:spacing w:before="80" w:after="80"/>
      </w:pPr>
    </w:p>
    <w:p w14:paraId="35859528" w14:textId="77777777" w:rsidR="008B52D6" w:rsidRDefault="00000000">
      <w:pPr>
        <w:spacing w:before="80" w:after="80"/>
      </w:pPr>
      <w:r>
        <w:rPr>
          <w:color w:val="2C2C2C"/>
        </w:rPr>
        <w:t>It is recommended that Recommendation 1 — repricing — is implemented first, as it requires no additional investment and produces an immediate impact on revenue. Recommendations 2 and 3 can be pursued in parallel as planning allows.</w:t>
      </w:r>
    </w:p>
    <w:p w14:paraId="60B7E271" w14:textId="77777777" w:rsidR="008B52D6" w:rsidRDefault="008B52D6">
      <w:pPr>
        <w:spacing w:before="80" w:after="80"/>
      </w:pPr>
    </w:p>
    <w:p w14:paraId="0976EAC3" w14:textId="77777777" w:rsidR="008B52D6" w:rsidRDefault="00000000">
      <w:pPr>
        <w:spacing w:before="80" w:after="80"/>
      </w:pPr>
      <w:r>
        <w:rPr>
          <w:i/>
          <w:iCs/>
          <w:color w:val="555555"/>
        </w:rPr>
        <w:t>As additional data becomes available, particularly across a second full year, a comparative analysis can provide deeper insight into year-over-year growth and seasonal trend confirmation.</w:t>
      </w:r>
    </w:p>
    <w:sectPr w:rsidR="008B52D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4890B" w14:textId="77777777" w:rsidR="001E58DD" w:rsidRDefault="001E58DD">
      <w:r>
        <w:separator/>
      </w:r>
    </w:p>
  </w:endnote>
  <w:endnote w:type="continuationSeparator" w:id="0">
    <w:p w14:paraId="724B0657" w14:textId="77777777" w:rsidR="001E58DD" w:rsidRDefault="001E5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88796" w14:textId="77777777" w:rsidR="008B52D6" w:rsidRDefault="00000000">
    <w:pPr>
      <w:pBdr>
        <w:top w:val="single" w:sz="4" w:space="4" w:color="CCCCCC"/>
      </w:pBdr>
    </w:pPr>
    <w:r>
      <w:rPr>
        <w:color w:val="555555"/>
        <w:sz w:val="16"/>
        <w:szCs w:val="16"/>
      </w:rPr>
      <w:t xml:space="preserve">Coffee Shop Revenue </w:t>
    </w:r>
    <w:proofErr w:type="gramStart"/>
    <w:r>
      <w:rPr>
        <w:color w:val="555555"/>
        <w:sz w:val="16"/>
        <w:szCs w:val="16"/>
      </w:rPr>
      <w:t>Analysis  |</w:t>
    </w:r>
    <w:proofErr w:type="gramEnd"/>
    <w:r>
      <w:rPr>
        <w:color w:val="555555"/>
        <w:sz w:val="16"/>
        <w:szCs w:val="16"/>
      </w:rPr>
      <w:t xml:space="preserve">  Confidential</w:t>
    </w:r>
    <w:r>
      <w:rPr>
        <w:sz w:val="16"/>
        <w:szCs w:val="16"/>
      </w:rPr>
      <w:ptab w:relativeTo="margin" w:alignment="right" w:leader="none"/>
    </w:r>
    <w:r>
      <w:rPr>
        <w:color w:val="555555"/>
        <w:sz w:val="16"/>
        <w:szCs w:val="16"/>
      </w:rPr>
      <w:fldChar w:fldCharType="begin"/>
    </w:r>
    <w:r>
      <w:rPr>
        <w:color w:val="555555"/>
        <w:sz w:val="16"/>
        <w:szCs w:val="16"/>
      </w:rPr>
      <w:instrText>PAGE</w:instrText>
    </w:r>
    <w:r>
      <w:rPr>
        <w:color w:val="555555"/>
        <w:sz w:val="16"/>
        <w:szCs w:val="16"/>
      </w:rPr>
      <w:fldChar w:fldCharType="separate"/>
    </w:r>
    <w:r w:rsidR="00733223">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09808" w14:textId="77777777" w:rsidR="001E58DD" w:rsidRDefault="001E58DD">
      <w:r>
        <w:separator/>
      </w:r>
    </w:p>
  </w:footnote>
  <w:footnote w:type="continuationSeparator" w:id="0">
    <w:p w14:paraId="0A17ADDB" w14:textId="77777777" w:rsidR="001E58DD" w:rsidRDefault="001E5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06CD"/>
    <w:multiLevelType w:val="hybridMultilevel"/>
    <w:tmpl w:val="43FA49C2"/>
    <w:lvl w:ilvl="0" w:tplc="2750A4E6">
      <w:start w:val="1"/>
      <w:numFmt w:val="decimal"/>
      <w:lvlText w:val="%1."/>
      <w:lvlJc w:val="left"/>
      <w:pPr>
        <w:ind w:left="720" w:hanging="360"/>
      </w:pPr>
    </w:lvl>
    <w:lvl w:ilvl="1" w:tplc="83F82DA0">
      <w:numFmt w:val="decimal"/>
      <w:lvlText w:val=""/>
      <w:lvlJc w:val="left"/>
    </w:lvl>
    <w:lvl w:ilvl="2" w:tplc="B0BEFC4A">
      <w:numFmt w:val="decimal"/>
      <w:lvlText w:val=""/>
      <w:lvlJc w:val="left"/>
    </w:lvl>
    <w:lvl w:ilvl="3" w:tplc="507C0F5A">
      <w:numFmt w:val="decimal"/>
      <w:lvlText w:val=""/>
      <w:lvlJc w:val="left"/>
    </w:lvl>
    <w:lvl w:ilvl="4" w:tplc="4B52F222">
      <w:numFmt w:val="decimal"/>
      <w:lvlText w:val=""/>
      <w:lvlJc w:val="left"/>
    </w:lvl>
    <w:lvl w:ilvl="5" w:tplc="8F1C8A14">
      <w:numFmt w:val="decimal"/>
      <w:lvlText w:val=""/>
      <w:lvlJc w:val="left"/>
    </w:lvl>
    <w:lvl w:ilvl="6" w:tplc="B3069F04">
      <w:numFmt w:val="decimal"/>
      <w:lvlText w:val=""/>
      <w:lvlJc w:val="left"/>
    </w:lvl>
    <w:lvl w:ilvl="7" w:tplc="0B8EBC22">
      <w:numFmt w:val="decimal"/>
      <w:lvlText w:val=""/>
      <w:lvlJc w:val="left"/>
    </w:lvl>
    <w:lvl w:ilvl="8" w:tplc="DB48F68C">
      <w:numFmt w:val="decimal"/>
      <w:lvlText w:val=""/>
      <w:lvlJc w:val="left"/>
    </w:lvl>
  </w:abstractNum>
  <w:abstractNum w:abstractNumId="1" w15:restartNumberingAfterBreak="0">
    <w:nsid w:val="3A550391"/>
    <w:multiLevelType w:val="hybridMultilevel"/>
    <w:tmpl w:val="DCB0FB74"/>
    <w:lvl w:ilvl="0" w:tplc="493CDEEC">
      <w:start w:val="1"/>
      <w:numFmt w:val="bullet"/>
      <w:lvlText w:val="●"/>
      <w:lvlJc w:val="left"/>
      <w:pPr>
        <w:ind w:left="720" w:hanging="360"/>
      </w:pPr>
    </w:lvl>
    <w:lvl w:ilvl="1" w:tplc="808AB8DA">
      <w:start w:val="1"/>
      <w:numFmt w:val="bullet"/>
      <w:lvlText w:val="○"/>
      <w:lvlJc w:val="left"/>
      <w:pPr>
        <w:ind w:left="1440" w:hanging="360"/>
      </w:pPr>
    </w:lvl>
    <w:lvl w:ilvl="2" w:tplc="32403B5E">
      <w:start w:val="1"/>
      <w:numFmt w:val="bullet"/>
      <w:lvlText w:val="■"/>
      <w:lvlJc w:val="left"/>
      <w:pPr>
        <w:ind w:left="2160" w:hanging="360"/>
      </w:pPr>
    </w:lvl>
    <w:lvl w:ilvl="3" w:tplc="0F8233D6">
      <w:start w:val="1"/>
      <w:numFmt w:val="bullet"/>
      <w:lvlText w:val="●"/>
      <w:lvlJc w:val="left"/>
      <w:pPr>
        <w:ind w:left="2880" w:hanging="360"/>
      </w:pPr>
    </w:lvl>
    <w:lvl w:ilvl="4" w:tplc="1DD25CA2">
      <w:start w:val="1"/>
      <w:numFmt w:val="bullet"/>
      <w:lvlText w:val="○"/>
      <w:lvlJc w:val="left"/>
      <w:pPr>
        <w:ind w:left="3600" w:hanging="360"/>
      </w:pPr>
    </w:lvl>
    <w:lvl w:ilvl="5" w:tplc="3A88CCA4">
      <w:start w:val="1"/>
      <w:numFmt w:val="bullet"/>
      <w:lvlText w:val="■"/>
      <w:lvlJc w:val="left"/>
      <w:pPr>
        <w:ind w:left="4320" w:hanging="360"/>
      </w:pPr>
    </w:lvl>
    <w:lvl w:ilvl="6" w:tplc="3A66E9D6">
      <w:start w:val="1"/>
      <w:numFmt w:val="bullet"/>
      <w:lvlText w:val="●"/>
      <w:lvlJc w:val="left"/>
      <w:pPr>
        <w:ind w:left="5040" w:hanging="360"/>
      </w:pPr>
    </w:lvl>
    <w:lvl w:ilvl="7" w:tplc="76E810B6">
      <w:start w:val="1"/>
      <w:numFmt w:val="bullet"/>
      <w:lvlText w:val="●"/>
      <w:lvlJc w:val="left"/>
      <w:pPr>
        <w:ind w:left="5760" w:hanging="360"/>
      </w:pPr>
    </w:lvl>
    <w:lvl w:ilvl="8" w:tplc="5A247D00">
      <w:start w:val="1"/>
      <w:numFmt w:val="bullet"/>
      <w:lvlText w:val="●"/>
      <w:lvlJc w:val="left"/>
      <w:pPr>
        <w:ind w:left="6480" w:hanging="360"/>
      </w:pPr>
    </w:lvl>
  </w:abstractNum>
  <w:abstractNum w:abstractNumId="2" w15:restartNumberingAfterBreak="0">
    <w:nsid w:val="66F33DD5"/>
    <w:multiLevelType w:val="hybridMultilevel"/>
    <w:tmpl w:val="97564D82"/>
    <w:lvl w:ilvl="0" w:tplc="EE5CE2AC">
      <w:start w:val="1"/>
      <w:numFmt w:val="bullet"/>
      <w:lvlText w:val="•"/>
      <w:lvlJc w:val="left"/>
      <w:pPr>
        <w:ind w:left="720" w:hanging="360"/>
      </w:pPr>
      <w:rPr>
        <w:color w:val="5C3317"/>
      </w:rPr>
    </w:lvl>
    <w:lvl w:ilvl="1" w:tplc="85128FB4">
      <w:numFmt w:val="decimal"/>
      <w:lvlText w:val=""/>
      <w:lvlJc w:val="left"/>
    </w:lvl>
    <w:lvl w:ilvl="2" w:tplc="54768986">
      <w:numFmt w:val="decimal"/>
      <w:lvlText w:val=""/>
      <w:lvlJc w:val="left"/>
    </w:lvl>
    <w:lvl w:ilvl="3" w:tplc="392A6CC8">
      <w:numFmt w:val="decimal"/>
      <w:lvlText w:val=""/>
      <w:lvlJc w:val="left"/>
    </w:lvl>
    <w:lvl w:ilvl="4" w:tplc="9DE02AF6">
      <w:numFmt w:val="decimal"/>
      <w:lvlText w:val=""/>
      <w:lvlJc w:val="left"/>
    </w:lvl>
    <w:lvl w:ilvl="5" w:tplc="A3545A94">
      <w:numFmt w:val="decimal"/>
      <w:lvlText w:val=""/>
      <w:lvlJc w:val="left"/>
    </w:lvl>
    <w:lvl w:ilvl="6" w:tplc="5058AF1A">
      <w:numFmt w:val="decimal"/>
      <w:lvlText w:val=""/>
      <w:lvlJc w:val="left"/>
    </w:lvl>
    <w:lvl w:ilvl="7" w:tplc="1868BAC8">
      <w:numFmt w:val="decimal"/>
      <w:lvlText w:val=""/>
      <w:lvlJc w:val="left"/>
    </w:lvl>
    <w:lvl w:ilvl="8" w:tplc="0EBA41E8">
      <w:numFmt w:val="decimal"/>
      <w:lvlText w:val=""/>
      <w:lvlJc w:val="left"/>
    </w:lvl>
  </w:abstractNum>
  <w:num w:numId="1" w16cid:durableId="2087215839">
    <w:abstractNumId w:val="1"/>
    <w:lvlOverride w:ilvl="0">
      <w:startOverride w:val="1"/>
    </w:lvlOverride>
  </w:num>
  <w:num w:numId="2" w16cid:durableId="7575567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2D6"/>
    <w:rsid w:val="001E58DD"/>
    <w:rsid w:val="002D7942"/>
    <w:rsid w:val="00733223"/>
    <w:rsid w:val="008B52D6"/>
    <w:rsid w:val="009743CB"/>
    <w:rsid w:val="00994248"/>
    <w:rsid w:val="009A0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B958B2"/>
  <w15:docId w15:val="{CE33E2C0-D5DB-0A40-AE37-1CE71C1BD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5C3317"/>
      <w:sz w:val="32"/>
      <w:szCs w:val="32"/>
    </w:rPr>
  </w:style>
  <w:style w:type="paragraph" w:styleId="Heading2">
    <w:name w:val="heading 2"/>
    <w:uiPriority w:val="9"/>
    <w:semiHidden/>
    <w:unhideWhenUsed/>
    <w:qFormat/>
    <w:pPr>
      <w:spacing w:before="200" w:after="100"/>
      <w:outlineLvl w:val="1"/>
    </w:pPr>
    <w:rPr>
      <w:b/>
      <w:bCs/>
      <w:color w:val="5C331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913</Words>
  <Characters>5208</Characters>
  <Application>Microsoft Office Word</Application>
  <DocSecurity>0</DocSecurity>
  <Lines>43</Lines>
  <Paragraphs>12</Paragraphs>
  <ScaleCrop>false</ScaleCrop>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Chad Morrison</cp:lastModifiedBy>
  <cp:revision>5</cp:revision>
  <dcterms:created xsi:type="dcterms:W3CDTF">2026-05-04T04:37:00Z</dcterms:created>
  <dcterms:modified xsi:type="dcterms:W3CDTF">2026-05-04T04:53:00Z</dcterms:modified>
</cp:coreProperties>
</file>