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CE0B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3CE67B0">
      <w:pPr>
        <w:jc w:val="center"/>
        <w:rPr>
          <w:rFonts w:hint="eastAsia" w:ascii="黑体" w:hAnsi="黑体" w:eastAsia="黑体" w:cs="黑体"/>
          <w:b w:val="0"/>
          <w:bCs w:val="0"/>
          <w:sz w:val="44"/>
          <w:szCs w:val="44"/>
        </w:rPr>
      </w:pPr>
      <w:r>
        <w:rPr>
          <w:rFonts w:hint="eastAsia" w:ascii="黑体" w:hAnsi="黑体" w:eastAsia="黑体" w:cs="黑体"/>
          <w:b w:val="0"/>
          <w:bCs w:val="0"/>
          <w:sz w:val="44"/>
          <w:szCs w:val="44"/>
        </w:rPr>
        <w:t>软件质量保障中的时序模型鲁棒性测试 —— 基于 LSTM 与对抗攻击的实验分析</w:t>
      </w:r>
    </w:p>
    <w:p w14:paraId="51DBC9D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FA9BFA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谢尚烨¹，任炜奕¹，李帅帅¹，刘永睿¹，仇凯义¹  </w:t>
      </w:r>
    </w:p>
    <w:p w14:paraId="5979B5D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¹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（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西安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电子科技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大学 计算机科学与技术学院，陕西 西安 710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126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）</w:t>
      </w:r>
    </w:p>
    <w:p w14:paraId="6E1109B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8C9330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摘要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：为了验证深度学习时序分类模型在异常输入和恶意扰动下的稳定性，本文以真实 UCI HAR 人体行为识别数据集为对象，设计并实现了一个基于 PyTorch LSTM 的鲁棒性测试实验。实验直接读取原始传感器时序文件，将每条样本组织为 128 个时间步、9 个传感器通道的输入序列，并训练 6 类行为识别模型。在此基础上，复现了 FGSM 和 PGD 两类典型白盒对抗攻击方法，并提出一种面向时序数据的 Attention-FGSM 改进攻击，即根据输入梯度显著性选择关键时间步施加扰动。同时，设置局部时序平滑作为轻量级防御对照。实验结果表明，模型在正常测试样本上的准确率为 80.11%，在 FGSM 和 PGD 攻击下分别下降到 60.67% 和 59.78%；Attention-FGSM 在只扰动部分关键时间步时仍使准确率降至 61.78%。结果说明，时序模型在软件质量保障测试中不能仅评价正常准确率，还应增加鲁棒准确率、攻击成功率和预测变化率等指标。</w:t>
      </w:r>
    </w:p>
    <w:p w14:paraId="76BF3C5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关键词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：软件质量保障；鲁棒性测试；对抗样本；UCI HAR；LSTM；PyTorch  </w:t>
      </w:r>
    </w:p>
    <w:p w14:paraId="0A6638E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中图法分类号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：TP311</w:t>
      </w:r>
    </w:p>
    <w:p w14:paraId="7E0C715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1810694">
      <w:pPr>
        <w:jc w:val="center"/>
        <w:rPr>
          <w:rFonts w:hint="eastAsia" w:ascii="黑体" w:hAnsi="黑体" w:eastAsia="黑体" w:cs="黑体"/>
          <w:b w:val="0"/>
          <w:bCs w:val="0"/>
          <w:sz w:val="44"/>
          <w:szCs w:val="44"/>
        </w:rPr>
      </w:pPr>
      <w:r>
        <w:rPr>
          <w:rFonts w:hint="eastAsia" w:ascii="黑体" w:hAnsi="黑体" w:eastAsia="黑体" w:cs="黑体"/>
          <w:b w:val="0"/>
          <w:bCs w:val="0"/>
          <w:sz w:val="44"/>
          <w:szCs w:val="44"/>
        </w:rPr>
        <w:t>Adversarial Attack and Robustness Analysis of Temporal LSTM Models for Software Quality Assurance</w:t>
      </w:r>
    </w:p>
    <w:p w14:paraId="732D898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7A8BFA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XIE Shangye¹, REN Weiyi¹, LI Shuaishuai¹, LIU Yongrui¹, QIU Kaiyi¹  </w:t>
      </w:r>
    </w:p>
    <w:p w14:paraId="012392D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（¹School of Computer Science and Technology, Xi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dian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University, Xi’an 710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126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, China）</w:t>
      </w:r>
    </w:p>
    <w:p w14:paraId="7173316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22DAC1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Abstract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: To evaluate the robustness of temporal deep learning models under abnormal and adversarial inputs, we implement a PyTorch LSTM classifier on the real UCI HAR dataset. The experiment directly reads raw Inertial Signals and organizes each sample into a 128‑step, 9‑channel multivariate time series. We reproduce FGSM and PGD attacks, and propose an Attention‑FGSM variant that only perturbs salient time steps. Temporal smoothing is used as a lightweight defense baseline. The clean accuracy reaches 80.11%, while FGSM and PGD reduce it to 60.67% and 59.78%, respectively. The results indicate that robustness metrics should be included in software quality assurance for AI systems.</w:t>
      </w:r>
    </w:p>
    <w:p w14:paraId="5CF27CC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Key words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: software quality assurance; robustness testing; adversarial example; UCI HAR; LSTM; PyTorch</w:t>
      </w:r>
    </w:p>
    <w:p w14:paraId="7310FF1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9C018F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 xml:space="preserve">1 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引言</w:t>
      </w:r>
    </w:p>
    <w:p w14:paraId="6A366C4B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深度学习模型已被广泛应用于人体行为识别、移动端传感器分析、工业状态监测和医疗信号处理等场景。与传统软件不同，AI 软件的输出不仅由代码逻辑决定，还受到训练数据、模型参数和输入分布的多重影响。因此，软件质量保障不能仅检查程序是否正常运行，还需检验模型在噪声、异常输入和恶意扰动下是否保持稳定。</w:t>
      </w:r>
    </w:p>
    <w:p w14:paraId="075B0AB7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本文选择人体行为识别时序任务作为实验场景，原因有三：第一，UCI HAR 是公开数据集，便于复现；第二，Inertial Signals 保留了原始时间序列，适合 LSTM 模型；第三，传感器数据在真实环境中易受抖动、噪声或局部异常影响，利于讨论鲁棒性测试问题。</w:t>
      </w:r>
    </w:p>
    <w:p w14:paraId="7FE6C109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本文的主要工作如下：  </w:t>
      </w:r>
    </w:p>
    <w:p w14:paraId="53CF2771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1）搭建完整的 UCI HAR 数据读取、标准化、LSTM 训练和评估流程；  </w:t>
      </w:r>
    </w:p>
    <w:p w14:paraId="20B96F32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2）在真实模型上实现 FGSM、PGD 两类对抗攻击；  </w:t>
      </w:r>
    </w:p>
    <w:p w14:paraId="4FB11A53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3）设计 Attention‑FGSM，仅扰动梯度显著的关键时间步；  </w:t>
      </w:r>
    </w:p>
    <w:p w14:paraId="0F0B7DC0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4）设置时序平滑防御对照，并从软件质量保障角度分析实验结果。</w:t>
      </w:r>
    </w:p>
    <w:p w14:paraId="75ADB46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C4A8BB1">
      <w:pPr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 xml:space="preserve">2 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相关技术</w:t>
      </w:r>
    </w:p>
    <w:p w14:paraId="3416782E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2.1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UCI HAR 数据集</w:t>
      </w:r>
    </w:p>
    <w:p w14:paraId="454014C5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UCI HAR 数据集由智能手机传感器采集人体六类行为（walking、walking upstairs、walking downstairs、sitting、standing、laying）。本文使用 `Inertial Signals` 目录下的原始时序信号，每个样本包含 128 个时间步和 9 个通道（分别对应身体加速度、陀螺仪和总加速度的三轴数据）。</w:t>
      </w:r>
    </w:p>
    <w:p w14:paraId="7D59ECC4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2.2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LSTM 时序分类模型</w:t>
      </w:r>
    </w:p>
    <w:p w14:paraId="343836CA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长短期记忆网络（LSTM）能够有效捕捉序列中的时间依赖关系。本文模型输入维度为 9，隐藏层维度为 64，输出维度为 6。训练采用交叉熵损失函数和 Adam 优化器。为保证课程环境可复现，正式实验使用 2400 条训练样本和 900 条测试样本，共训练 6 个 epoch。</w:t>
      </w:r>
    </w:p>
    <w:p w14:paraId="54CC7A97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2.3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对抗攻击方法</w:t>
      </w:r>
    </w:p>
    <w:p w14:paraId="613C0FA1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快速梯度符号法（FGSM）[1] 通过计算损失函数对输入的梯度，在梯度符号方向施加一次扰动。投影梯度下降（PGD）[2] 在扰动半径内多次迭代更新输入，通常攻击效果更强。本文提出的 Attention‑FGSM 则利用时序梯度显著性，仅选择高敏感时间步扰动，以观察模型对局部时间片的依赖程度。</w:t>
      </w:r>
    </w:p>
    <w:p w14:paraId="5253A69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E03834D">
      <w:pPr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3   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实验设计与实现</w:t>
      </w:r>
    </w:p>
    <w:p w14:paraId="370ACAF9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3.1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实验环境</w:t>
      </w:r>
    </w:p>
    <w:p w14:paraId="4EFA0F19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操作系统：Windows  </w:t>
      </w:r>
    </w:p>
    <w:p w14:paraId="778DA7A1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Python：3.9  </w:t>
      </w:r>
    </w:p>
    <w:p w14:paraId="4410706A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PyTorch：2.0.1+cpu  </w:t>
      </w:r>
    </w:p>
    <w:p w14:paraId="112AA4D2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NumPy：1.26.4  </w:t>
      </w:r>
    </w:p>
    <w:p w14:paraId="0D873CED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运行设备：CPU  </w:t>
      </w:r>
    </w:p>
    <w:p w14:paraId="6F893CF9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数据路径：E:\软件质量保障\data\UCI HAR Dataset\UCI HAR Dataset  </w:t>
      </w:r>
    </w:p>
    <w:p w14:paraId="4F03E6FC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实验脚本：项目完成交付/code/har_lstm_pytorch_real_experiment.py</w:t>
      </w:r>
    </w:p>
    <w:p w14:paraId="7143FE21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3.2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数据处理流程</w:t>
      </w:r>
    </w:p>
    <w:p w14:paraId="618EF744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脚本首先读取训练集和测试集的 9 个传感器通道文件，按最后一维堆叠为 [样本数, 128, 9]的张量。随后根据训练集的均值和标准差对训练集、测试集进行统一标准化，以避免不同通道数值尺度差异影响模型训练。</w:t>
      </w:r>
    </w:p>
    <w:p w14:paraId="75AE5033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3.3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模型训练</w:t>
      </w:r>
    </w:p>
    <w:p w14:paraId="69C45077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训练命令如下：</w:t>
      </w:r>
    </w:p>
    <w:p w14:paraId="66F34D2C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powershell</w:t>
      </w:r>
    </w:p>
    <w:p w14:paraId="3B306647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C:\Users\Administrator\Documents\Codex\2026-06-18\654111813-qq\.venv_real\Scripts\python.exe </w:t>
      </w:r>
    </w:p>
    <w:p w14:paraId="07B7976F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E:\软件质量保障\项目完成交付\code\har_lstm_pytorch_real_experiment.py --epochs 6 --train-limit 2400 --test-limit 900 --batch-size 128</w:t>
      </w:r>
    </w:p>
    <w:p w14:paraId="4ED6DAF0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训练日志摘要：</w:t>
      </w:r>
    </w:p>
    <w:p w14:paraId="032462DB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text</w:t>
      </w:r>
    </w:p>
    <w:p w14:paraId="4F38FB0D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epoch=01 loss=1.4850 train_acc=41.04%</w:t>
      </w:r>
    </w:p>
    <w:p w14:paraId="1D777F74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epoch=02 loss=1.0553 train_acc=58.67%</w:t>
      </w:r>
    </w:p>
    <w:p w14:paraId="689E53C6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epoch=03 loss=0.8366 train_acc=68.96%</w:t>
      </w:r>
    </w:p>
    <w:p w14:paraId="27255EEF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epoch=04 loss=0.6477 train_acc=76.54%</w:t>
      </w:r>
    </w:p>
    <w:p w14:paraId="0245A344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epoch=05 loss=0.5295 train_acc=82.79%</w:t>
      </w:r>
    </w:p>
    <w:p w14:paraId="0B8AE822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epoch=06 loss=0.4249 train_acc=86.38%</w:t>
      </w:r>
    </w:p>
    <w:p w14:paraId="695F3C46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训练损失持续下降，训练准确率逐步提升，表明模型完成了有效训练。</w:t>
      </w:r>
    </w:p>
    <w:p w14:paraId="5B1EB77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3.4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测试指标</w:t>
      </w:r>
    </w:p>
    <w:p w14:paraId="217ACAE4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本文采用三类指标：  </w:t>
      </w:r>
    </w:p>
    <w:p w14:paraId="7581060B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1）准确率：模型在测试样本上的分类正确比例；  </w:t>
      </w:r>
    </w:p>
    <w:p w14:paraId="38E99A63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2）攻击成功率：攻击后导致预测错误的样本比例；  </w:t>
      </w:r>
    </w:p>
    <w:p w14:paraId="55A9FA7B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3）预测变化率：攻击前后预测类别发生变化的样本比例。</w:t>
      </w:r>
    </w:p>
    <w:p w14:paraId="2CC1E1F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97C2B5C">
      <w:pPr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 xml:space="preserve">4 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实验结果与分析</w:t>
      </w:r>
    </w:p>
    <w:p w14:paraId="7E21B02E">
      <w:pPr>
        <w:ind w:firstLine="480" w:firstLineChars="200"/>
        <w:jc w:val="center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表1 不同攻击及防御条件下的实验结果</w:t>
      </w:r>
    </w:p>
    <w:tbl>
      <w:tblPr>
        <w:tblStyle w:val="3"/>
        <w:tblW w:w="8363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955"/>
        <w:gridCol w:w="1372"/>
        <w:gridCol w:w="1227"/>
        <w:gridCol w:w="1082"/>
        <w:gridCol w:w="964"/>
        <w:gridCol w:w="1575"/>
      </w:tblGrid>
      <w:tr w14:paraId="2E6E2EF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8" w:type="dxa"/>
            <w:tcBorders>
              <w:bottom w:val="single" w:color="auto" w:sz="4" w:space="0"/>
            </w:tcBorders>
            <w:noWrap w:val="0"/>
            <w:vAlign w:val="center"/>
          </w:tcPr>
          <w:p w14:paraId="3B1FB824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实验场景</w:t>
            </w:r>
          </w:p>
        </w:tc>
        <w:tc>
          <w:tcPr>
            <w:tcW w:w="955" w:type="dxa"/>
            <w:tcBorders>
              <w:bottom w:val="single" w:color="auto" w:sz="4" w:space="0"/>
            </w:tcBorders>
            <w:noWrap w:val="0"/>
            <w:vAlign w:val="center"/>
          </w:tcPr>
          <w:p w14:paraId="124338A1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扰动幅度 ε</w:t>
            </w:r>
          </w:p>
        </w:tc>
        <w:tc>
          <w:tcPr>
            <w:tcW w:w="1372" w:type="dxa"/>
            <w:tcBorders>
              <w:bottom w:val="single" w:color="auto" w:sz="4" w:space="0"/>
            </w:tcBorders>
            <w:noWrap w:val="0"/>
            <w:vAlign w:val="center"/>
          </w:tcPr>
          <w:p w14:paraId="274B66F4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防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御方式</w:t>
            </w:r>
          </w:p>
        </w:tc>
        <w:tc>
          <w:tcPr>
            <w:tcW w:w="1227" w:type="dxa"/>
            <w:tcBorders>
              <w:bottom w:val="single" w:color="auto" w:sz="4" w:space="0"/>
            </w:tcBorders>
            <w:noWrap w:val="0"/>
            <w:vAlign w:val="center"/>
          </w:tcPr>
          <w:p w14:paraId="2B4E7B34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准确率/%</w:t>
            </w:r>
          </w:p>
        </w:tc>
        <w:tc>
          <w:tcPr>
            <w:tcW w:w="1082" w:type="dxa"/>
            <w:tcBorders>
              <w:bottom w:val="single" w:color="auto" w:sz="4" w:space="0"/>
            </w:tcBorders>
            <w:noWrap w:val="0"/>
            <w:vAlign w:val="center"/>
          </w:tcPr>
          <w:p w14:paraId="27AB94FB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攻击成功率/%</w:t>
            </w:r>
          </w:p>
        </w:tc>
        <w:tc>
          <w:tcPr>
            <w:tcW w:w="964" w:type="dxa"/>
            <w:tcBorders>
              <w:bottom w:val="single" w:color="auto" w:sz="4" w:space="0"/>
            </w:tcBorders>
            <w:noWrap w:val="0"/>
            <w:vAlign w:val="center"/>
          </w:tcPr>
          <w:p w14:paraId="18E196A3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预测变化率/%</w:t>
            </w:r>
          </w:p>
        </w:tc>
        <w:tc>
          <w:tcPr>
            <w:tcW w:w="1575" w:type="dxa"/>
            <w:tcBorders>
              <w:bottom w:val="single" w:color="auto" w:sz="4" w:space="0"/>
            </w:tcBorders>
            <w:noWrap w:val="0"/>
            <w:vAlign w:val="center"/>
          </w:tcPr>
          <w:p w14:paraId="25B68C5F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说明</w:t>
            </w:r>
          </w:p>
        </w:tc>
      </w:tr>
      <w:tr w14:paraId="38CFC48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8" w:type="dxa"/>
            <w:tcBorders>
              <w:top w:val="single" w:color="auto" w:sz="4" w:space="0"/>
            </w:tcBorders>
            <w:noWrap w:val="0"/>
            <w:vAlign w:val="center"/>
          </w:tcPr>
          <w:p w14:paraId="39C0B0B2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Clean</w:t>
            </w:r>
          </w:p>
        </w:tc>
        <w:tc>
          <w:tcPr>
            <w:tcW w:w="955" w:type="dxa"/>
            <w:tcBorders>
              <w:top w:val="single" w:color="auto" w:sz="4" w:space="0"/>
            </w:tcBorders>
            <w:noWrap w:val="0"/>
            <w:vAlign w:val="center"/>
          </w:tcPr>
          <w:p w14:paraId="6F4A977E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0.0000</w:t>
            </w:r>
          </w:p>
        </w:tc>
        <w:tc>
          <w:tcPr>
            <w:tcW w:w="1372" w:type="dxa"/>
            <w:tcBorders>
              <w:top w:val="single" w:color="auto" w:sz="4" w:space="0"/>
            </w:tcBorders>
            <w:noWrap w:val="0"/>
            <w:vAlign w:val="center"/>
          </w:tcPr>
          <w:p w14:paraId="383214FF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none</w:t>
            </w:r>
          </w:p>
        </w:tc>
        <w:tc>
          <w:tcPr>
            <w:tcW w:w="1227" w:type="dxa"/>
            <w:tcBorders>
              <w:top w:val="single" w:color="auto" w:sz="4" w:space="0"/>
            </w:tcBorders>
            <w:noWrap w:val="0"/>
            <w:vAlign w:val="center"/>
          </w:tcPr>
          <w:p w14:paraId="7CB921CE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80.11</w:t>
            </w:r>
          </w:p>
        </w:tc>
        <w:tc>
          <w:tcPr>
            <w:tcW w:w="1082" w:type="dxa"/>
            <w:tcBorders>
              <w:top w:val="single" w:color="auto" w:sz="4" w:space="0"/>
            </w:tcBorders>
            <w:noWrap w:val="0"/>
            <w:vAlign w:val="center"/>
          </w:tcPr>
          <w:p w14:paraId="7738EA54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0.00</w:t>
            </w:r>
          </w:p>
        </w:tc>
        <w:tc>
          <w:tcPr>
            <w:tcW w:w="964" w:type="dxa"/>
            <w:tcBorders>
              <w:top w:val="single" w:color="auto" w:sz="4" w:space="0"/>
            </w:tcBorders>
            <w:noWrap w:val="0"/>
            <w:vAlign w:val="center"/>
          </w:tcPr>
          <w:p w14:paraId="32909DAF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0.00</w:t>
            </w:r>
          </w:p>
        </w:tc>
        <w:tc>
          <w:tcPr>
            <w:tcW w:w="1575" w:type="dxa"/>
            <w:tcBorders>
              <w:top w:val="single" w:color="auto" w:sz="4" w:space="0"/>
            </w:tcBorders>
            <w:noWrap w:val="0"/>
            <w:vAlign w:val="center"/>
          </w:tcPr>
          <w:p w14:paraId="4A062B81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真实 UCI HAR + LSTM</w:t>
            </w:r>
          </w:p>
        </w:tc>
      </w:tr>
      <w:tr w14:paraId="32E0DDA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8" w:type="dxa"/>
            <w:noWrap w:val="0"/>
            <w:vAlign w:val="center"/>
          </w:tcPr>
          <w:p w14:paraId="5BC97347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FGSM</w:t>
            </w:r>
          </w:p>
        </w:tc>
        <w:tc>
          <w:tcPr>
            <w:tcW w:w="955" w:type="dxa"/>
            <w:noWrap w:val="0"/>
            <w:vAlign w:val="center"/>
          </w:tcPr>
          <w:p w14:paraId="479C69D3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1200</w:t>
            </w:r>
          </w:p>
        </w:tc>
        <w:tc>
          <w:tcPr>
            <w:tcW w:w="1372" w:type="dxa"/>
            <w:noWrap w:val="0"/>
            <w:vAlign w:val="center"/>
          </w:tcPr>
          <w:p w14:paraId="192122EF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none</w:t>
            </w:r>
          </w:p>
        </w:tc>
        <w:tc>
          <w:tcPr>
            <w:tcW w:w="1227" w:type="dxa"/>
            <w:noWrap w:val="0"/>
            <w:vAlign w:val="center"/>
          </w:tcPr>
          <w:p w14:paraId="2EA35A44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60.67</w:t>
            </w:r>
          </w:p>
        </w:tc>
        <w:tc>
          <w:tcPr>
            <w:tcW w:w="1082" w:type="dxa"/>
            <w:noWrap w:val="0"/>
            <w:vAlign w:val="center"/>
          </w:tcPr>
          <w:p w14:paraId="2F67DA21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39.33</w:t>
            </w:r>
          </w:p>
        </w:tc>
        <w:tc>
          <w:tcPr>
            <w:tcW w:w="964" w:type="dxa"/>
            <w:noWrap w:val="0"/>
            <w:vAlign w:val="center"/>
          </w:tcPr>
          <w:p w14:paraId="429700E2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21.00</w:t>
            </w:r>
          </w:p>
        </w:tc>
        <w:tc>
          <w:tcPr>
            <w:tcW w:w="1575" w:type="dxa"/>
            <w:noWrap w:val="0"/>
            <w:vAlign w:val="center"/>
          </w:tcPr>
          <w:p w14:paraId="49338398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单步梯度符号攻击</w:t>
            </w:r>
          </w:p>
        </w:tc>
      </w:tr>
      <w:tr w14:paraId="485C31A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8" w:type="dxa"/>
            <w:noWrap w:val="0"/>
            <w:vAlign w:val="center"/>
          </w:tcPr>
          <w:p w14:paraId="0AA43DD0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PGD</w:t>
            </w:r>
          </w:p>
        </w:tc>
        <w:tc>
          <w:tcPr>
            <w:tcW w:w="955" w:type="dxa"/>
            <w:noWrap w:val="0"/>
            <w:vAlign w:val="center"/>
          </w:tcPr>
          <w:p w14:paraId="087B99F3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1200</w:t>
            </w:r>
          </w:p>
        </w:tc>
        <w:tc>
          <w:tcPr>
            <w:tcW w:w="1372" w:type="dxa"/>
            <w:noWrap w:val="0"/>
            <w:vAlign w:val="center"/>
          </w:tcPr>
          <w:p w14:paraId="2A87DC0E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none</w:t>
            </w:r>
          </w:p>
        </w:tc>
        <w:tc>
          <w:tcPr>
            <w:tcW w:w="1227" w:type="dxa"/>
            <w:noWrap w:val="0"/>
            <w:vAlign w:val="center"/>
          </w:tcPr>
          <w:p w14:paraId="0990A944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59.78</w:t>
            </w:r>
          </w:p>
        </w:tc>
        <w:tc>
          <w:tcPr>
            <w:tcW w:w="1082" w:type="dxa"/>
            <w:noWrap w:val="0"/>
            <w:vAlign w:val="center"/>
          </w:tcPr>
          <w:p w14:paraId="19C82392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40.22</w:t>
            </w:r>
          </w:p>
        </w:tc>
        <w:tc>
          <w:tcPr>
            <w:tcW w:w="964" w:type="dxa"/>
            <w:noWrap w:val="0"/>
            <w:vAlign w:val="center"/>
          </w:tcPr>
          <w:p w14:paraId="2BE78E87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22.00</w:t>
            </w:r>
          </w:p>
        </w:tc>
        <w:tc>
          <w:tcPr>
            <w:tcW w:w="1575" w:type="dxa"/>
            <w:noWrap w:val="0"/>
            <w:vAlign w:val="center"/>
          </w:tcPr>
          <w:p w14:paraId="316C60C3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多步迭代攻击</w:t>
            </w:r>
          </w:p>
        </w:tc>
      </w:tr>
      <w:tr w14:paraId="57C2586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8" w:type="dxa"/>
            <w:noWrap w:val="0"/>
            <w:vAlign w:val="center"/>
          </w:tcPr>
          <w:p w14:paraId="5246331D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Attention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noBreakHyphen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FGSM</w:t>
            </w:r>
          </w:p>
        </w:tc>
        <w:tc>
          <w:tcPr>
            <w:tcW w:w="955" w:type="dxa"/>
            <w:noWrap w:val="0"/>
            <w:vAlign w:val="center"/>
          </w:tcPr>
          <w:p w14:paraId="2AD82D39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0.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1200</w:t>
            </w:r>
          </w:p>
        </w:tc>
        <w:tc>
          <w:tcPr>
            <w:tcW w:w="1372" w:type="dxa"/>
            <w:noWrap w:val="0"/>
            <w:vAlign w:val="center"/>
          </w:tcPr>
          <w:p w14:paraId="684DF3B2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none</w:t>
            </w:r>
          </w:p>
        </w:tc>
        <w:tc>
          <w:tcPr>
            <w:tcW w:w="1227" w:type="dxa"/>
            <w:noWrap w:val="0"/>
            <w:vAlign w:val="center"/>
          </w:tcPr>
          <w:p w14:paraId="278D5E1B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61.78</w:t>
            </w:r>
          </w:p>
        </w:tc>
        <w:tc>
          <w:tcPr>
            <w:tcW w:w="1082" w:type="dxa"/>
            <w:noWrap w:val="0"/>
            <w:vAlign w:val="center"/>
          </w:tcPr>
          <w:p w14:paraId="4CFC254B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38.22</w:t>
            </w:r>
          </w:p>
        </w:tc>
        <w:tc>
          <w:tcPr>
            <w:tcW w:w="964" w:type="dxa"/>
            <w:noWrap w:val="0"/>
            <w:vAlign w:val="center"/>
          </w:tcPr>
          <w:p w14:paraId="2D6550C5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19.78</w:t>
            </w:r>
          </w:p>
        </w:tc>
        <w:tc>
          <w:tcPr>
            <w:tcW w:w="1575" w:type="dxa"/>
            <w:noWrap w:val="0"/>
            <w:vAlign w:val="center"/>
          </w:tcPr>
          <w:p w14:paraId="54657611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只扰动高敏感时间步</w:t>
            </w:r>
          </w:p>
        </w:tc>
      </w:tr>
      <w:tr w14:paraId="19D6838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8" w:type="dxa"/>
            <w:noWrap w:val="0"/>
            <w:vAlign w:val="center"/>
          </w:tcPr>
          <w:p w14:paraId="23193913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FGSM + Smooth Defense</w:t>
            </w:r>
          </w:p>
        </w:tc>
        <w:tc>
          <w:tcPr>
            <w:tcW w:w="955" w:type="dxa"/>
            <w:noWrap w:val="0"/>
            <w:vAlign w:val="center"/>
          </w:tcPr>
          <w:p w14:paraId="3CF94EE1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0.1200</w:t>
            </w:r>
          </w:p>
        </w:tc>
        <w:tc>
          <w:tcPr>
            <w:tcW w:w="1372" w:type="dxa"/>
            <w:noWrap w:val="0"/>
            <w:vAlign w:val="center"/>
          </w:tcPr>
          <w:p w14:paraId="46571F74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temporal_smoothing</w:t>
            </w:r>
          </w:p>
        </w:tc>
        <w:tc>
          <w:tcPr>
            <w:tcW w:w="1227" w:type="dxa"/>
            <w:noWrap w:val="0"/>
            <w:vAlign w:val="center"/>
          </w:tcPr>
          <w:p w14:paraId="44D5DAB2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59.11</w:t>
            </w:r>
          </w:p>
        </w:tc>
        <w:tc>
          <w:tcPr>
            <w:tcW w:w="1082" w:type="dxa"/>
            <w:noWrap w:val="0"/>
            <w:vAlign w:val="center"/>
          </w:tcPr>
          <w:p w14:paraId="7FC8561A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40.89</w:t>
            </w:r>
          </w:p>
        </w:tc>
        <w:tc>
          <w:tcPr>
            <w:tcW w:w="964" w:type="dxa"/>
            <w:noWrap w:val="0"/>
            <w:vAlign w:val="center"/>
          </w:tcPr>
          <w:p w14:paraId="793B1FA3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22.56</w:t>
            </w:r>
          </w:p>
        </w:tc>
        <w:tc>
          <w:tcPr>
            <w:tcW w:w="1575" w:type="dxa"/>
            <w:noWrap w:val="0"/>
            <w:vAlign w:val="center"/>
          </w:tcPr>
          <w:p w14:paraId="2B6506DC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时序平滑防御对照</w:t>
            </w:r>
          </w:p>
        </w:tc>
      </w:tr>
      <w:tr w14:paraId="48689A2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8" w:type="dxa"/>
            <w:noWrap w:val="0"/>
            <w:vAlign w:val="center"/>
          </w:tcPr>
          <w:p w14:paraId="37EE1A67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PGD + Smooth Defense</w:t>
            </w:r>
          </w:p>
        </w:tc>
        <w:tc>
          <w:tcPr>
            <w:tcW w:w="955" w:type="dxa"/>
            <w:noWrap w:val="0"/>
            <w:vAlign w:val="center"/>
          </w:tcPr>
          <w:p w14:paraId="503B5873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0.1200</w:t>
            </w:r>
          </w:p>
        </w:tc>
        <w:tc>
          <w:tcPr>
            <w:tcW w:w="1372" w:type="dxa"/>
            <w:noWrap w:val="0"/>
            <w:vAlign w:val="center"/>
          </w:tcPr>
          <w:p w14:paraId="3522DCFF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temporal_smoothing</w:t>
            </w:r>
          </w:p>
        </w:tc>
        <w:tc>
          <w:tcPr>
            <w:tcW w:w="1227" w:type="dxa"/>
            <w:noWrap w:val="0"/>
            <w:vAlign w:val="center"/>
          </w:tcPr>
          <w:p w14:paraId="458FAA10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57.89</w:t>
            </w:r>
          </w:p>
        </w:tc>
        <w:tc>
          <w:tcPr>
            <w:tcW w:w="1082" w:type="dxa"/>
            <w:noWrap w:val="0"/>
            <w:vAlign w:val="center"/>
          </w:tcPr>
          <w:p w14:paraId="66B5D095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42.11</w:t>
            </w:r>
          </w:p>
        </w:tc>
        <w:tc>
          <w:tcPr>
            <w:tcW w:w="964" w:type="dxa"/>
            <w:noWrap w:val="0"/>
            <w:vAlign w:val="center"/>
          </w:tcPr>
          <w:p w14:paraId="1D7EE29A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23.89</w:t>
            </w:r>
          </w:p>
        </w:tc>
        <w:tc>
          <w:tcPr>
            <w:tcW w:w="1575" w:type="dxa"/>
            <w:noWrap w:val="0"/>
            <w:vAlign w:val="center"/>
          </w:tcPr>
          <w:p w14:paraId="0E33D383">
            <w:pPr>
              <w:pStyle w:val="2"/>
              <w:overflowPunct/>
              <w:spacing w:line="0" w:lineRule="atLeast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强攻击下防御对照</w:t>
            </w:r>
          </w:p>
        </w:tc>
      </w:tr>
    </w:tbl>
    <w:p w14:paraId="79CBF4F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DFA9AA8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Clean 场景下准确率为 80.11%。FGSM 攻击后降至 60.67%，PGD 降至 59.78%，说明模型对梯度方向上的小幅扰动敏感。PGD 攻击成功率（40.22%）略高于 FGSM（39.33%），符合迭代攻击通常更强的预期。</w:t>
      </w:r>
    </w:p>
    <w:p w14:paraId="0110A2B0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Attention‑FGSM 准确率为 61.78%，相比 Clean 下降 18.33 个百分点。该方法并未扰动全部时间步，但仍造成显著影响，表明 LSTM 对某些关键时间片段依赖较强。时序平滑防御在本次设置下未稳定提升准确率（FGSM+Smooth: 59.11%；PGD+Smooth: 57.89%），说明简单输入预处理不足以替代对抗训练等系统性防御方法。</w:t>
      </w:r>
    </w:p>
    <w:p w14:paraId="4D6BE42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ACFC3CA">
      <w:pPr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 xml:space="preserve">5 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软件质量保障视角讨论</w:t>
      </w:r>
    </w:p>
    <w:p w14:paraId="642373BC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从软件质量保障角度，本实验说明 AI 模型测试必须覆盖正常输入和扰动输入。若仅报告 Clean 准确率，容易高估模型质量；引入 FGSM、PGD 等对抗样本后，可有效暴露模型在异常输入下的稳定性缺陷。</w:t>
      </w:r>
    </w:p>
    <w:p w14:paraId="4731A42D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此外，传统软件测试常使用边界值、异常值和压力测试。对于深度学习模型，对抗样本可视为一种特殊的边界测试用例——它不是随机噪声，而是依据模型梯度构造的高风险输入，因此更适合暴露模型脆弱点。</w:t>
      </w:r>
    </w:p>
    <w:p w14:paraId="6A67B65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1027D86">
      <w:pPr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 xml:space="preserve">6 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结论</w:t>
      </w:r>
    </w:p>
    <w:p w14:paraId="2CB63708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本文完成了真实 UCI HAR 数据读取、PyTorch LSTM 训练、FGSM/PGD 攻击复现、Attention‑FGSM 改进攻击以及时序平滑防御对照实验。结果表明，时序模型在正常测试集上表现良好，但在对抗扰动下准确率明显下降。后续工作可从三个方向改进：使用完整训练集和更多轮数提升基线模型；引入对抗训练增强鲁棒性；增加多随机种子和可视化分析，使结论更稳定。</w:t>
      </w:r>
    </w:p>
    <w:p w14:paraId="4819C8F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3DAE21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参考文献</w:t>
      </w:r>
    </w:p>
    <w:p w14:paraId="0C212D64">
      <w:pPr>
        <w:ind w:left="480" w:hanging="480" w:hanging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[1] Goodfellow I J, Shlens J, Szegedy C. Explaining and harnessing adversarial examples. In: Proceedings of the 3rd International Conference on Learning Representations (ICLR), 2015.  </w:t>
      </w:r>
    </w:p>
    <w:p w14:paraId="38C018C8">
      <w:pPr>
        <w:ind w:left="480" w:hanging="480" w:hanging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[2] Madry A, Makelov A, Schmidt L, et al. Towards deep learning models resistant to adversarial attacks. In: Proceedings of the 6th International Conference on Learning Representations (ICLR), 2018.  </w:t>
      </w:r>
    </w:p>
    <w:p w14:paraId="573661AF">
      <w:pPr>
        <w:ind w:left="480" w:hanging="480" w:hanging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[3] Kurakin A, Goodfellow I, Bengio S. Adversarial examples in the physical world. In: ICLR Workshop, 2017.  </w:t>
      </w:r>
    </w:p>
    <w:p w14:paraId="66E63F09">
      <w:pPr>
        <w:ind w:left="480" w:hanging="480" w:hanging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[4] Anguita D, Ghio A, Oneto L, et al. A public domain dataset for human activity recognition using smartphones. In: Proceedings of the 21st European Symposium on Artificial Neural Networks (ESANN), 2013.  </w:t>
      </w:r>
    </w:p>
    <w:p w14:paraId="17BCBE4C">
      <w:pPr>
        <w:ind w:left="480" w:hanging="480" w:hanging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[5]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Harry24k.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adversarial-attacks-pytorch [EB/OL]. https://github.com/Harry24k/adversarial-attacks-pytorch, 2020.</w:t>
      </w:r>
    </w:p>
    <w:p w14:paraId="31E58DB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834E83"/>
    <w:rsid w:val="189D20F0"/>
    <w:rsid w:val="219D4D7D"/>
    <w:rsid w:val="3383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99"/>
    <w:pPr>
      <w:tabs>
        <w:tab w:val="left" w:pos="357"/>
      </w:tabs>
      <w:ind w:firstLine="20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2443</Words>
  <Characters>4885</Characters>
  <Lines>0</Lines>
  <Paragraphs>0</Paragraphs>
  <TotalTime>10</TotalTime>
  <ScaleCrop>false</ScaleCrop>
  <LinksUpToDate>false</LinksUpToDate>
  <CharactersWithSpaces>5389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2026-06-28T07:21:00Z</dcterms:created>
  <dc:creator>广义相对论￣</dc:creator>
  <cp:lastModifiedBy>广义相对论￣</cp:lastModifiedBy>
  <dcterms:modified xsi:type="dcterms:W3CDTF">2026-06-28T08:45:31Z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7975037BB2D14184A87C276A623207D4_11</vt:lpwstr>
  </property>
  <property fmtid="{D5CDD505-2E9C-101B-9397-08002B2CF9AE}" pid="4" name="KSOTemplateDocerSaveRecord">
    <vt:lpwstr>eyJoZGlkIjoiNWY5MzJkYzk0YmZmOThlMzA4ZTJjOWRkMDdkMmUyZDYiLCJ1c2VySWQiOiIxMjQ2NjI4NTM1In0=</vt:lpwstr>
  </property>
</Properties>
</file>