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81CC1">
      <w:pPr>
        <w:pStyle w:val="10"/>
        <w:spacing w:before="0" w:after="120" w:line="360" w:lineRule="auto"/>
        <w:jc w:val="center"/>
        <w:rPr>
          <w:rFonts w:hint="eastAsia" w:ascii="宋体" w:hAnsi="宋体" w:eastAsia="宋体" w:cs="宋体"/>
        </w:rPr>
      </w:pPr>
      <w:r>
        <w:rPr>
          <w:rFonts w:hint="eastAsia" w:ascii="宋体" w:hAnsi="宋体" w:eastAsia="宋体" w:cs="宋体"/>
          <w:b/>
          <w:bCs/>
          <w:sz w:val="36"/>
          <w:szCs w:val="36"/>
        </w:rPr>
        <w:t>面向OpenHarmony应用的静态污点分析框架复现研究</w:t>
      </w:r>
    </w:p>
    <w:p w14:paraId="60134E02">
      <w:pPr>
        <w:spacing w:before="120" w:after="120" w:line="360" w:lineRule="auto"/>
        <w:jc w:val="center"/>
        <w:rPr>
          <w:rFonts w:hint="eastAsia" w:ascii="宋体" w:hAnsi="宋体" w:eastAsia="宋体" w:cs="宋体"/>
        </w:rPr>
      </w:pPr>
      <w:r>
        <w:rPr>
          <w:rFonts w:hint="eastAsia" w:ascii="宋体" w:hAnsi="宋体" w:eastAsia="宋体" w:cs="宋体"/>
          <w:b/>
          <w:bCs/>
          <w:sz w:val="20"/>
          <w:szCs w:val="20"/>
        </w:rPr>
        <w:t>摘  要</w:t>
      </w:r>
    </w:p>
    <w:p w14:paraId="6B7A203C">
      <w:pPr>
        <w:spacing w:before="0" w:after="120" w:line="360" w:lineRule="auto"/>
        <w:jc w:val="both"/>
        <w:rPr>
          <w:rFonts w:hint="eastAsia" w:ascii="宋体" w:hAnsi="宋体" w:eastAsia="宋体" w:cs="宋体"/>
        </w:rPr>
      </w:pPr>
      <w:r>
        <w:rPr>
          <w:rFonts w:hint="eastAsia" w:ascii="宋体" w:hAnsi="宋体" w:eastAsia="宋体" w:cs="宋体"/>
          <w:b w:val="0"/>
          <w:bCs w:val="0"/>
          <w:sz w:val="18"/>
          <w:szCs w:val="18"/>
        </w:rPr>
        <w:t>OpenHarmony 是华为推出的开源分布式操作系统，随着其应用生态的快速发展，应用数量激增，隐私数据泄漏风险日益突出。HapFlow 是首个面向 OpenHarmony 应用的静态污点分析框架，基于 ArkAnalyzer 构建，通过 HarmonyMain 生命周期建模、Closure 污点传播和 Callback Source 识别等关键技术，实现了对 OpenHarmony 应用中隐私数据泄漏路径的自动检测。本文对 HapFlow 框架及论文中的四个核心实验进行了系统性复现，包括 HapBench 准确率实验、真实项目检测实验、消融实验和性能实验。实验结果表明，HapFlow 在 HapBench 67 个测试用例上取得了 96.36% 的精确率和 100% 的召回率，与论文结果高度一致；消融实验验证了生命周期建模、闭包传播和 Callback Source 识别三个核心模块对检测能力的贡献；性能实验表明 95.15% 的样例项目可在 10 秒内完成分析。本研究填补了 OpenHarmony 应用安全检测领域的工具复现空白，为国产操作系统应用安全生态建设提供了技术支撑。</w:t>
      </w:r>
      <w:bookmarkStart w:id="0" w:name="_GoBack"/>
      <w:bookmarkEnd w:id="0"/>
    </w:p>
    <w:p w14:paraId="3D775708">
      <w:pPr>
        <w:spacing w:before="0" w:after="240" w:line="360" w:lineRule="auto"/>
        <w:jc w:val="both"/>
        <w:rPr>
          <w:rFonts w:hint="eastAsia" w:ascii="宋体" w:hAnsi="宋体" w:eastAsia="宋体" w:cs="宋体"/>
        </w:rPr>
      </w:pPr>
      <w:r>
        <w:rPr>
          <w:rFonts w:hint="eastAsia" w:ascii="宋体" w:hAnsi="宋体" w:eastAsia="宋体" w:cs="宋体"/>
          <w:b/>
          <w:bCs/>
          <w:sz w:val="18"/>
          <w:szCs w:val="18"/>
        </w:rPr>
        <w:t>关键词: OpenHarmony; 污点分析; 静态分析; 隐私泄漏; ArkTS</w:t>
      </w:r>
    </w:p>
    <w:p w14:paraId="64219D8B">
      <w:pPr>
        <w:spacing w:before="120" w:after="120" w:line="360" w:lineRule="auto"/>
        <w:jc w:val="center"/>
        <w:rPr>
          <w:rFonts w:hint="eastAsia" w:ascii="宋体" w:hAnsi="宋体" w:eastAsia="宋体" w:cs="宋体"/>
        </w:rPr>
      </w:pPr>
      <w:r>
        <w:rPr>
          <w:rFonts w:hint="eastAsia" w:ascii="宋体" w:hAnsi="宋体" w:eastAsia="宋体" w:cs="宋体"/>
          <w:b/>
          <w:bCs/>
          <w:sz w:val="20"/>
          <w:szCs w:val="20"/>
        </w:rPr>
        <w:t>Abstract</w:t>
      </w:r>
    </w:p>
    <w:p w14:paraId="1BD3542B">
      <w:pPr>
        <w:spacing w:before="0" w:after="120" w:line="360" w:lineRule="auto"/>
        <w:jc w:val="both"/>
        <w:rPr>
          <w:rFonts w:hint="eastAsia" w:ascii="宋体" w:hAnsi="宋体" w:eastAsia="宋体" w:cs="宋体"/>
        </w:rPr>
      </w:pPr>
      <w:r>
        <w:rPr>
          <w:rFonts w:hint="eastAsia" w:ascii="宋体" w:hAnsi="宋体" w:eastAsia="宋体" w:cs="宋体"/>
          <w:b w:val="0"/>
          <w:bCs w:val="0"/>
          <w:sz w:val="18"/>
          <w:szCs w:val="18"/>
        </w:rPr>
        <w:t>OpenHarmony is an open-source distributed operating system launched by Huawei. With the rapid development of its application ecosystem, the number of applications has surged, and the risk of privacy data leakage has become increasingly prominent. HapFlow is the first static taint analysis framework for OpenHarmony applications, built on ArkAnalyzer. Through key technologies such as HarmonyMain lifecycle modeling, Closure taint propagation, and Callback Source recognition, it achieves automatic detection of privacy data leakage paths in OpenHarmony applications. This paper systematically reproduces the HapFlow framework and four core experiments in the original paper, including the HapBench accuracy experiment, real project detection experiment, ablation experiment, and performance experiment. Experimental results show that HapFlow achieves 96.36% precision and 100% recall on 67 HapBench test cases, which is highly consistent with the paper results. The ablation experiment verifies the contributions of the three core modules. The performance experiment shows that 95.15% of sample projects can be analyzed within 10 seconds.</w:t>
      </w:r>
    </w:p>
    <w:p w14:paraId="458551B3">
      <w:pPr>
        <w:spacing w:before="0" w:after="240" w:line="360" w:lineRule="auto"/>
        <w:jc w:val="both"/>
        <w:rPr>
          <w:rFonts w:hint="eastAsia" w:ascii="宋体" w:hAnsi="宋体" w:eastAsia="宋体" w:cs="宋体"/>
        </w:rPr>
      </w:pPr>
      <w:r>
        <w:rPr>
          <w:rFonts w:hint="eastAsia" w:ascii="宋体" w:hAnsi="宋体" w:eastAsia="宋体" w:cs="宋体"/>
          <w:b/>
          <w:bCs/>
          <w:sz w:val="18"/>
          <w:szCs w:val="18"/>
        </w:rPr>
        <w:t>Key words: OpenHarmony; taint analysis; static analysis; privacy leakage; ArkTS</w:t>
      </w:r>
    </w:p>
    <w:p w14:paraId="34CD91B9">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1  引言</w:t>
      </w:r>
    </w:p>
    <w:p w14:paraId="6FF00926">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随着物联网和智能终端技术的飞速发展，操作系统安全问题日益受到关注。OpenHarmony 是由华为捐赠给开放原子开源基金会的开源分布式操作系统，旨在面向全场景、全连接、全智能时代，构建一个可持续发展的、共建共享的生态系统。截至 2026 年，OpenHarmony 已广泛应用于智能家居、智慧交通、工业制造等多个领域，其应用生态正在快速扩展。</w:t>
      </w:r>
    </w:p>
    <w:p w14:paraId="0F110640">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然而，随着 OpenHarmony 应用数量的激增，应用安全问题也日益突出。特别是用户隐私数据泄漏问题，已成为制约 OpenHarmony 生态健康发展的关键瓶颈。与 Android 平台不同，OpenHarmony 应用主要使用 ArkTS 语言开发，该语言基于 TypeScript 扩展，具备闭包、回调函数、组件生命周期等特殊语言机制，给传统的静态污点分析工具带来了新的挑战。</w:t>
      </w:r>
    </w:p>
    <w:p w14:paraId="63A5BE1A">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污点分析是一种重要的程序分析技术，通过追踪程序中敏感数据（Source）从产生点到危险使用点（Sink）的传播路径，来检测潜在的数据泄漏漏洞。现有的静态污点分析工具如 FlowDroid、DroidSafe 等主要针对 Android/Java 平台设计，缺乏对 OpenHarmony ArkTS 语言及其特有运行机制的专门支持。</w:t>
      </w:r>
    </w:p>
    <w:p w14:paraId="6C8FA5F2">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HapFlow 是文献[1]提出的首个面向 OpenHarmony 应用的静态污点分析框架。该框架基于 ArkAnalyzer 构建，针对 ArkTS 语言特性设计了 HarmonyMain 生命周期建模、Closure 污点传播和 Callback Source 识别等关键技术，实现了对 OpenHarmony 应用中隐私数据泄漏路径的自动检测。为验证 HapFlow 的有效性和可复现性，本文对 HapFlow 框架及其论文中的四个核心实验进行了系统性复现研究。</w:t>
      </w:r>
    </w:p>
    <w:p w14:paraId="3811E818">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2  相关工作</w:t>
      </w:r>
    </w:p>
    <w:p w14:paraId="49E10263">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2.1  污点分析技术</w:t>
      </w:r>
    </w:p>
    <w:p w14:paraId="3C9686B2">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污点分析技术可分为动态污点分析和静态污点分析两大类。动态污点分析通过在运行时标记和追踪敏感数据来检测泄漏，如 TaintDroid[2] 是 Android 平台上最早的动态污点分析工具。静态污点分析则通过分析程序源代码或字节码来推断数据流路径，无需实际执行程序。</w:t>
      </w:r>
    </w:p>
    <w:p w14:paraId="65591554">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在静态污点分析领域，IFDS（Interprocedural Finite Distributive Subset）算法[3]是一种经典的过程间数据流分析框架，被广泛应用于污点分析问题。FlowDroid[4] 基于 IFDS 算法实现了对 Android 应用的精确污点分析，通过构建虚拟主方法（DummyMain）来建模 Android 组件生命周期。Amandroid[5] 和 DroidSafe[6] 等工具也在 Android 静态分析领域做出了重要贡献。</w:t>
      </w:r>
    </w:p>
    <w:p w14:paraId="4AE88E65">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2.2  OpenHarmony 安全研究</w:t>
      </w:r>
    </w:p>
    <w:p w14:paraId="796E2F6F">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OpenHarmony 作为新兴操作系统，其安全研究尚处于起步阶段。目前，OpenHarmony 安全研究主要集中在漏洞挖掘[7]、权限机制分析[8]和恶意应用检测[9]等方面。然而，针对 OpenHarmony 应用的静态污点分析研究仍然较少，HapFlow[1] 是这一领域的开创性工作。</w:t>
      </w:r>
    </w:p>
    <w:p w14:paraId="65A36B71">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与 Android 相比，OpenHarmony 应用开发采用 ArkTS 语言和声明式 UI 框架 ArkUI，具有独特的 Ability 生命周期模型、闭包变量捕获机制和回调式 API 设计。这些特性使得现有的 Android 污点分析工具无法直接迁移到 OpenHarmony 平台，因此需要专门设计面向 OpenHarmony 的污点分析框架。</w:t>
      </w:r>
    </w:p>
    <w:p w14:paraId="0E5ABA84">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3  HapFlow框架设计与实现</w:t>
      </w:r>
    </w:p>
    <w:p w14:paraId="2181CE67">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3.1  框架概述</w:t>
      </w:r>
    </w:p>
    <w:p w14:paraId="1EFC6B67">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HapFlow 是一款针对 OpenHarmony 应用程序的静态污点分析框架，整体架构自下而上分为五个层次：OpenHarmony 项目输入层、ArkAnalyzer Scene 层、HarmonyMain 与 DummyMain 构造层、污点分析求解器层以及 Source/Sink 规则层。</w:t>
      </w:r>
    </w:p>
    <w:p w14:paraId="1701D2B0">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框架以 OpenHarmony 应用的 ArkTS/ETS 源代码和 JSON5 配置文件为输入，首先通过 ArkAnalyzer 构建抽象语法树（AST）和控制流图（CFG），并进行类型推断。然后，框架构造 HarmonyMain 方法以建模 OpenHarmony 应用的 Ability 生命周期和组件回调，生成 DummyMain 作为分析入口。最后，基于 IFDS 算法实现过程间污点分析求解器，结合 Source 和 Sink 规则，输出潜在的隐私数据泄漏路径。</w:t>
      </w:r>
    </w:p>
    <w:p w14:paraId="0A86EE28">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3.2  关键技术</w:t>
      </w:r>
    </w:p>
    <w:p w14:paraId="7717E60C">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3.2.1  HarmonyMain 生命周期建模</w:t>
      </w:r>
    </w:p>
    <w:p w14:paraId="1DC4A8AC">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OpenHarmony 应用以 Ability 为基本组件，每个 Ability 具有完整的生命周期回调（onCreate、onForeground、onBackground、onDestroy 等）。HapFlow 设计了 HarmonyMain 方法，将 Ability 的生命周期回调按照实际执行顺序串联起来，构建完整的应用入口调用图。这一机制确保了污点分析能够覆盖从应用启动到界面交互的完整执行路径，显著降低了因入口不完整导致的漏报。</w:t>
      </w:r>
    </w:p>
    <w:p w14:paraId="304FE6CA">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3.2.2  Closure 污点传播</w:t>
      </w:r>
    </w:p>
    <w:p w14:paraId="36C6D439">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ArkTS 作为 TypeScript 的扩展，广泛支持闭包和匿名函数。在闭包场景中，内部函数可以捕获外部作用域的变量，形成跨作用域的数据流。HapFlow 专门设计了 Closure 污点传播模块，通过追踪闭包变量的捕获和传播关系，确保污点信息在闭包创建和调用过程中正确传递。实验表明，该模块对匿名函数和局部函数相关用例的召回率提升显著。</w:t>
      </w:r>
    </w:p>
    <w:p w14:paraId="1DC77BD9">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3.2.3  Callback Source 识别</w:t>
      </w:r>
    </w:p>
    <w:p w14:paraId="65135851">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OpenHarmony 系统 API 中大量采用回调函数形式返回敏感数据，如 getLocation(callback)、readFile(callback) 等。传统的 Source 识别方法难以处理这种 API(callback) 模式。HapFlow 设计了 Callback Source 识别模块，能够自动识别回调参数中的敏感数据返回值，并将其标记为污点源，从而覆盖 OpenHarmony 特有的数据源模式。</w:t>
      </w:r>
    </w:p>
    <w:p w14:paraId="0B8846B4">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4  实验与分析</w:t>
      </w:r>
    </w:p>
    <w:p w14:paraId="36C3A1B9">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本节对 HapFlow 论文中的四个核心实验进行复现，包括 HapBench 准确率实验、真实项目检测实验、消融实验和性能实验。实验环境为 Windows 11 操作系统，Node.js 运行时，使用论文提供的 artifact 进行复现。</w:t>
      </w:r>
    </w:p>
    <w:p w14:paraId="75A3A74F">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4.1  实验1：HapBench准确率实验</w:t>
      </w:r>
    </w:p>
    <w:p w14:paraId="16EA4660">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4.1.1  实验设置</w:t>
      </w:r>
    </w:p>
    <w:p w14:paraId="2AD9FA00">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HapBench 是 HapFlow 论文配套的基准测试集，包含 67 个测试用例，覆盖别名分析、匿名构造、数组结构、字段与对象敏感性、通用语言特性、OpenHarmony 特定 API 和生命周期建模等 7 个类别。实验使用 HapFlow 对 HapBench 中所有测试用例进行批量分析，统计真阳性（TP）、真阴性（TN）、假阳性（FP）和假阴性（FN），计算精确率（Precision）和召回率（Recall）。</w:t>
      </w:r>
    </w:p>
    <w:p w14:paraId="08AD5FD1">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4.1.2  实验结果</w:t>
      </w:r>
    </w:p>
    <w:p w14:paraId="118D09CD">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表1展示了实验1的复现结果与论文结果的对比。</w:t>
      </w:r>
    </w:p>
    <w:p w14:paraId="1E31DC9A">
      <w:pPr>
        <w:spacing w:before="120" w:after="60" w:line="360" w:lineRule="auto"/>
        <w:jc w:val="center"/>
        <w:rPr>
          <w:rFonts w:hint="eastAsia" w:ascii="宋体" w:hAnsi="宋体" w:eastAsia="宋体" w:cs="宋体"/>
        </w:rPr>
      </w:pPr>
      <w:r>
        <w:rPr>
          <w:rFonts w:hint="eastAsia" w:ascii="宋体" w:hAnsi="宋体" w:eastAsia="宋体" w:cs="宋体"/>
          <w:b/>
          <w:bCs/>
          <w:sz w:val="18"/>
          <w:szCs w:val="18"/>
        </w:rPr>
        <w:t>表1  HapBench准确率实验结果对比</w:t>
      </w:r>
    </w:p>
    <w:tbl>
      <w:tblPr>
        <w:tblStyle w:val="11"/>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424"/>
        <w:gridCol w:w="2425"/>
        <w:gridCol w:w="2425"/>
        <w:gridCol w:w="1616"/>
      </w:tblGrid>
      <w:tr w14:paraId="578519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shd w:val="clear" w:color="auto" w:fill="E2E8F0"/>
            <w:tcMar>
              <w:top w:w="60" w:type="dxa"/>
              <w:left w:w="80" w:type="dxa"/>
              <w:bottom w:w="60" w:type="dxa"/>
              <w:right w:w="80" w:type="dxa"/>
            </w:tcMar>
            <w:vAlign w:val="center"/>
          </w:tcPr>
          <w:p w14:paraId="0B249E4B">
            <w:pPr>
              <w:jc w:val="center"/>
              <w:rPr>
                <w:rFonts w:hint="eastAsia" w:ascii="宋体" w:hAnsi="宋体" w:eastAsia="宋体" w:cs="宋体"/>
              </w:rPr>
            </w:pPr>
            <w:r>
              <w:rPr>
                <w:rFonts w:hint="eastAsia" w:ascii="宋体" w:hAnsi="宋体" w:eastAsia="宋体" w:cs="宋体"/>
                <w:b/>
                <w:bCs/>
                <w:sz w:val="18"/>
                <w:szCs w:val="18"/>
              </w:rPr>
              <w:t>指标</w:t>
            </w:r>
          </w:p>
        </w:tc>
        <w:tc>
          <w:tcPr>
            <w:tcW w:w="1800" w:type="dxa"/>
            <w:shd w:val="clear" w:color="auto" w:fill="E2E8F0"/>
            <w:tcMar>
              <w:top w:w="60" w:type="dxa"/>
              <w:left w:w="80" w:type="dxa"/>
              <w:bottom w:w="60" w:type="dxa"/>
              <w:right w:w="80" w:type="dxa"/>
            </w:tcMar>
            <w:vAlign w:val="center"/>
          </w:tcPr>
          <w:p w14:paraId="3039C56D">
            <w:pPr>
              <w:jc w:val="center"/>
              <w:rPr>
                <w:rFonts w:hint="eastAsia" w:ascii="宋体" w:hAnsi="宋体" w:eastAsia="宋体" w:cs="宋体"/>
              </w:rPr>
            </w:pPr>
            <w:r>
              <w:rPr>
                <w:rFonts w:hint="eastAsia" w:ascii="宋体" w:hAnsi="宋体" w:eastAsia="宋体" w:cs="宋体"/>
                <w:b/>
                <w:bCs/>
                <w:sz w:val="18"/>
                <w:szCs w:val="18"/>
              </w:rPr>
              <w:t>论文结果</w:t>
            </w:r>
          </w:p>
        </w:tc>
        <w:tc>
          <w:tcPr>
            <w:tcW w:w="1800" w:type="dxa"/>
            <w:shd w:val="clear" w:color="auto" w:fill="E2E8F0"/>
            <w:tcMar>
              <w:top w:w="60" w:type="dxa"/>
              <w:left w:w="80" w:type="dxa"/>
              <w:bottom w:w="60" w:type="dxa"/>
              <w:right w:w="80" w:type="dxa"/>
            </w:tcMar>
            <w:vAlign w:val="center"/>
          </w:tcPr>
          <w:p w14:paraId="681E08BB">
            <w:pPr>
              <w:jc w:val="center"/>
              <w:rPr>
                <w:rFonts w:hint="eastAsia" w:ascii="宋体" w:hAnsi="宋体" w:eastAsia="宋体" w:cs="宋体"/>
              </w:rPr>
            </w:pPr>
            <w:r>
              <w:rPr>
                <w:rFonts w:hint="eastAsia" w:ascii="宋体" w:hAnsi="宋体" w:eastAsia="宋体" w:cs="宋体"/>
                <w:b/>
                <w:bCs/>
                <w:sz w:val="18"/>
                <w:szCs w:val="18"/>
              </w:rPr>
              <w:t>本次复现</w:t>
            </w:r>
          </w:p>
        </w:tc>
        <w:tc>
          <w:tcPr>
            <w:tcW w:w="1200" w:type="dxa"/>
            <w:shd w:val="clear" w:color="auto" w:fill="E2E8F0"/>
            <w:tcMar>
              <w:top w:w="60" w:type="dxa"/>
              <w:left w:w="80" w:type="dxa"/>
              <w:bottom w:w="60" w:type="dxa"/>
              <w:right w:w="80" w:type="dxa"/>
            </w:tcMar>
            <w:vAlign w:val="center"/>
          </w:tcPr>
          <w:p w14:paraId="6BD75030">
            <w:pPr>
              <w:jc w:val="center"/>
              <w:rPr>
                <w:rFonts w:hint="eastAsia" w:ascii="宋体" w:hAnsi="宋体" w:eastAsia="宋体" w:cs="宋体"/>
              </w:rPr>
            </w:pPr>
            <w:r>
              <w:rPr>
                <w:rFonts w:hint="eastAsia" w:ascii="宋体" w:hAnsi="宋体" w:eastAsia="宋体" w:cs="宋体"/>
                <w:b/>
                <w:bCs/>
                <w:sz w:val="18"/>
                <w:szCs w:val="18"/>
              </w:rPr>
              <w:t>差异</w:t>
            </w:r>
          </w:p>
        </w:tc>
      </w:tr>
      <w:tr w14:paraId="18FC594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69DA6EA4">
            <w:pPr>
              <w:jc w:val="center"/>
              <w:rPr>
                <w:rFonts w:hint="eastAsia" w:ascii="宋体" w:hAnsi="宋体" w:eastAsia="宋体" w:cs="宋体"/>
              </w:rPr>
            </w:pPr>
            <w:r>
              <w:rPr>
                <w:rFonts w:hint="eastAsia" w:ascii="宋体" w:hAnsi="宋体" w:eastAsia="宋体" w:cs="宋体"/>
                <w:b w:val="0"/>
                <w:bCs w:val="0"/>
                <w:sz w:val="18"/>
                <w:szCs w:val="18"/>
              </w:rPr>
              <w:t>TP</w:t>
            </w:r>
          </w:p>
        </w:tc>
        <w:tc>
          <w:tcPr>
            <w:tcW w:w="1800" w:type="dxa"/>
            <w:tcMar>
              <w:top w:w="60" w:type="dxa"/>
              <w:left w:w="80" w:type="dxa"/>
              <w:bottom w:w="60" w:type="dxa"/>
              <w:right w:w="80" w:type="dxa"/>
            </w:tcMar>
            <w:vAlign w:val="center"/>
          </w:tcPr>
          <w:p w14:paraId="2A80B18A">
            <w:pPr>
              <w:jc w:val="center"/>
              <w:rPr>
                <w:rFonts w:hint="eastAsia" w:ascii="宋体" w:hAnsi="宋体" w:eastAsia="宋体" w:cs="宋体"/>
              </w:rPr>
            </w:pPr>
            <w:r>
              <w:rPr>
                <w:rFonts w:hint="eastAsia" w:ascii="宋体" w:hAnsi="宋体" w:eastAsia="宋体" w:cs="宋体"/>
                <w:b w:val="0"/>
                <w:bCs w:val="0"/>
                <w:sz w:val="18"/>
                <w:szCs w:val="18"/>
              </w:rPr>
              <w:t>50</w:t>
            </w:r>
          </w:p>
        </w:tc>
        <w:tc>
          <w:tcPr>
            <w:tcW w:w="1800" w:type="dxa"/>
            <w:tcMar>
              <w:top w:w="60" w:type="dxa"/>
              <w:left w:w="80" w:type="dxa"/>
              <w:bottom w:w="60" w:type="dxa"/>
              <w:right w:w="80" w:type="dxa"/>
            </w:tcMar>
            <w:vAlign w:val="center"/>
          </w:tcPr>
          <w:p w14:paraId="27B6A746">
            <w:pPr>
              <w:jc w:val="center"/>
              <w:rPr>
                <w:rFonts w:hint="eastAsia" w:ascii="宋体" w:hAnsi="宋体" w:eastAsia="宋体" w:cs="宋体"/>
              </w:rPr>
            </w:pPr>
            <w:r>
              <w:rPr>
                <w:rFonts w:hint="eastAsia" w:ascii="宋体" w:hAnsi="宋体" w:eastAsia="宋体" w:cs="宋体"/>
                <w:b w:val="0"/>
                <w:bCs w:val="0"/>
                <w:sz w:val="18"/>
                <w:szCs w:val="18"/>
              </w:rPr>
              <w:t>53</w:t>
            </w:r>
          </w:p>
        </w:tc>
        <w:tc>
          <w:tcPr>
            <w:tcW w:w="1200" w:type="dxa"/>
            <w:tcMar>
              <w:top w:w="60" w:type="dxa"/>
              <w:left w:w="80" w:type="dxa"/>
              <w:bottom w:w="60" w:type="dxa"/>
              <w:right w:w="80" w:type="dxa"/>
            </w:tcMar>
            <w:vAlign w:val="center"/>
          </w:tcPr>
          <w:p w14:paraId="2DE6D1C7">
            <w:pPr>
              <w:jc w:val="center"/>
              <w:rPr>
                <w:rFonts w:hint="eastAsia" w:ascii="宋体" w:hAnsi="宋体" w:eastAsia="宋体" w:cs="宋体"/>
              </w:rPr>
            </w:pPr>
            <w:r>
              <w:rPr>
                <w:rFonts w:hint="eastAsia" w:ascii="宋体" w:hAnsi="宋体" w:eastAsia="宋体" w:cs="宋体"/>
                <w:b w:val="0"/>
                <w:bCs w:val="0"/>
                <w:sz w:val="18"/>
                <w:szCs w:val="18"/>
              </w:rPr>
              <w:t>+3</w:t>
            </w:r>
          </w:p>
        </w:tc>
      </w:tr>
      <w:tr w14:paraId="57CF10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6D8F122E">
            <w:pPr>
              <w:jc w:val="center"/>
              <w:rPr>
                <w:rFonts w:hint="eastAsia" w:ascii="宋体" w:hAnsi="宋体" w:eastAsia="宋体" w:cs="宋体"/>
              </w:rPr>
            </w:pPr>
            <w:r>
              <w:rPr>
                <w:rFonts w:hint="eastAsia" w:ascii="宋体" w:hAnsi="宋体" w:eastAsia="宋体" w:cs="宋体"/>
                <w:b w:val="0"/>
                <w:bCs w:val="0"/>
                <w:sz w:val="18"/>
                <w:szCs w:val="18"/>
              </w:rPr>
              <w:t>TN</w:t>
            </w:r>
          </w:p>
        </w:tc>
        <w:tc>
          <w:tcPr>
            <w:tcW w:w="1800" w:type="dxa"/>
            <w:tcMar>
              <w:top w:w="60" w:type="dxa"/>
              <w:left w:w="80" w:type="dxa"/>
              <w:bottom w:w="60" w:type="dxa"/>
              <w:right w:w="80" w:type="dxa"/>
            </w:tcMar>
            <w:vAlign w:val="center"/>
          </w:tcPr>
          <w:p w14:paraId="79EF49C8">
            <w:pPr>
              <w:jc w:val="center"/>
              <w:rPr>
                <w:rFonts w:hint="eastAsia" w:ascii="宋体" w:hAnsi="宋体" w:eastAsia="宋体" w:cs="宋体"/>
              </w:rPr>
            </w:pPr>
            <w:r>
              <w:rPr>
                <w:rFonts w:hint="eastAsia" w:ascii="宋体" w:hAnsi="宋体" w:eastAsia="宋体" w:cs="宋体"/>
                <w:b w:val="0"/>
                <w:bCs w:val="0"/>
                <w:sz w:val="18"/>
                <w:szCs w:val="18"/>
              </w:rPr>
              <w:t>12</w:t>
            </w:r>
          </w:p>
        </w:tc>
        <w:tc>
          <w:tcPr>
            <w:tcW w:w="1800" w:type="dxa"/>
            <w:tcMar>
              <w:top w:w="60" w:type="dxa"/>
              <w:left w:w="80" w:type="dxa"/>
              <w:bottom w:w="60" w:type="dxa"/>
              <w:right w:w="80" w:type="dxa"/>
            </w:tcMar>
            <w:vAlign w:val="center"/>
          </w:tcPr>
          <w:p w14:paraId="13CC3653">
            <w:pPr>
              <w:jc w:val="center"/>
              <w:rPr>
                <w:rFonts w:hint="eastAsia" w:ascii="宋体" w:hAnsi="宋体" w:eastAsia="宋体" w:cs="宋体"/>
              </w:rPr>
            </w:pPr>
            <w:r>
              <w:rPr>
                <w:rFonts w:hint="eastAsia" w:ascii="宋体" w:hAnsi="宋体" w:eastAsia="宋体" w:cs="宋体"/>
                <w:b w:val="0"/>
                <w:bCs w:val="0"/>
                <w:sz w:val="18"/>
                <w:szCs w:val="18"/>
              </w:rPr>
              <w:t>12</w:t>
            </w:r>
          </w:p>
        </w:tc>
        <w:tc>
          <w:tcPr>
            <w:tcW w:w="1200" w:type="dxa"/>
            <w:tcMar>
              <w:top w:w="60" w:type="dxa"/>
              <w:left w:w="80" w:type="dxa"/>
              <w:bottom w:w="60" w:type="dxa"/>
              <w:right w:w="80" w:type="dxa"/>
            </w:tcMar>
            <w:vAlign w:val="center"/>
          </w:tcPr>
          <w:p w14:paraId="19EDA992">
            <w:pPr>
              <w:jc w:val="center"/>
              <w:rPr>
                <w:rFonts w:hint="eastAsia" w:ascii="宋体" w:hAnsi="宋体" w:eastAsia="宋体" w:cs="宋体"/>
              </w:rPr>
            </w:pPr>
            <w:r>
              <w:rPr>
                <w:rFonts w:hint="eastAsia" w:ascii="宋体" w:hAnsi="宋体" w:eastAsia="宋体" w:cs="宋体"/>
                <w:b w:val="0"/>
                <w:bCs w:val="0"/>
                <w:sz w:val="18"/>
                <w:szCs w:val="18"/>
              </w:rPr>
              <w:t>0</w:t>
            </w:r>
          </w:p>
        </w:tc>
      </w:tr>
      <w:tr w14:paraId="428349C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1FEEC3BB">
            <w:pPr>
              <w:jc w:val="center"/>
              <w:rPr>
                <w:rFonts w:hint="eastAsia" w:ascii="宋体" w:hAnsi="宋体" w:eastAsia="宋体" w:cs="宋体"/>
              </w:rPr>
            </w:pPr>
            <w:r>
              <w:rPr>
                <w:rFonts w:hint="eastAsia" w:ascii="宋体" w:hAnsi="宋体" w:eastAsia="宋体" w:cs="宋体"/>
                <w:b w:val="0"/>
                <w:bCs w:val="0"/>
                <w:sz w:val="18"/>
                <w:szCs w:val="18"/>
              </w:rPr>
              <w:t>FP</w:t>
            </w:r>
          </w:p>
        </w:tc>
        <w:tc>
          <w:tcPr>
            <w:tcW w:w="1800" w:type="dxa"/>
            <w:tcMar>
              <w:top w:w="60" w:type="dxa"/>
              <w:left w:w="80" w:type="dxa"/>
              <w:bottom w:w="60" w:type="dxa"/>
              <w:right w:w="80" w:type="dxa"/>
            </w:tcMar>
            <w:vAlign w:val="center"/>
          </w:tcPr>
          <w:p w14:paraId="54500BA2">
            <w:pPr>
              <w:jc w:val="center"/>
              <w:rPr>
                <w:rFonts w:hint="eastAsia" w:ascii="宋体" w:hAnsi="宋体" w:eastAsia="宋体" w:cs="宋体"/>
              </w:rPr>
            </w:pPr>
            <w:r>
              <w:rPr>
                <w:rFonts w:hint="eastAsia" w:ascii="宋体" w:hAnsi="宋体" w:eastAsia="宋体" w:cs="宋体"/>
                <w:b w:val="0"/>
                <w:bCs w:val="0"/>
                <w:sz w:val="18"/>
                <w:szCs w:val="18"/>
              </w:rPr>
              <w:t>2</w:t>
            </w:r>
          </w:p>
        </w:tc>
        <w:tc>
          <w:tcPr>
            <w:tcW w:w="1800" w:type="dxa"/>
            <w:tcMar>
              <w:top w:w="60" w:type="dxa"/>
              <w:left w:w="80" w:type="dxa"/>
              <w:bottom w:w="60" w:type="dxa"/>
              <w:right w:w="80" w:type="dxa"/>
            </w:tcMar>
            <w:vAlign w:val="center"/>
          </w:tcPr>
          <w:p w14:paraId="62668DC0">
            <w:pPr>
              <w:jc w:val="center"/>
              <w:rPr>
                <w:rFonts w:hint="eastAsia" w:ascii="宋体" w:hAnsi="宋体" w:eastAsia="宋体" w:cs="宋体"/>
              </w:rPr>
            </w:pPr>
            <w:r>
              <w:rPr>
                <w:rFonts w:hint="eastAsia" w:ascii="宋体" w:hAnsi="宋体" w:eastAsia="宋体" w:cs="宋体"/>
                <w:b w:val="0"/>
                <w:bCs w:val="0"/>
                <w:sz w:val="18"/>
                <w:szCs w:val="18"/>
              </w:rPr>
              <w:t>2</w:t>
            </w:r>
          </w:p>
        </w:tc>
        <w:tc>
          <w:tcPr>
            <w:tcW w:w="1200" w:type="dxa"/>
            <w:tcMar>
              <w:top w:w="60" w:type="dxa"/>
              <w:left w:w="80" w:type="dxa"/>
              <w:bottom w:w="60" w:type="dxa"/>
              <w:right w:w="80" w:type="dxa"/>
            </w:tcMar>
            <w:vAlign w:val="center"/>
          </w:tcPr>
          <w:p w14:paraId="76785C97">
            <w:pPr>
              <w:jc w:val="center"/>
              <w:rPr>
                <w:rFonts w:hint="eastAsia" w:ascii="宋体" w:hAnsi="宋体" w:eastAsia="宋体" w:cs="宋体"/>
              </w:rPr>
            </w:pPr>
            <w:r>
              <w:rPr>
                <w:rFonts w:hint="eastAsia" w:ascii="宋体" w:hAnsi="宋体" w:eastAsia="宋体" w:cs="宋体"/>
                <w:b w:val="0"/>
                <w:bCs w:val="0"/>
                <w:sz w:val="18"/>
                <w:szCs w:val="18"/>
              </w:rPr>
              <w:t>0</w:t>
            </w:r>
          </w:p>
        </w:tc>
      </w:tr>
      <w:tr w14:paraId="3C2B44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32D69303">
            <w:pPr>
              <w:jc w:val="center"/>
              <w:rPr>
                <w:rFonts w:hint="eastAsia" w:ascii="宋体" w:hAnsi="宋体" w:eastAsia="宋体" w:cs="宋体"/>
              </w:rPr>
            </w:pPr>
            <w:r>
              <w:rPr>
                <w:rFonts w:hint="eastAsia" w:ascii="宋体" w:hAnsi="宋体" w:eastAsia="宋体" w:cs="宋体"/>
                <w:b w:val="0"/>
                <w:bCs w:val="0"/>
                <w:sz w:val="18"/>
                <w:szCs w:val="18"/>
              </w:rPr>
              <w:t>FN</w:t>
            </w:r>
          </w:p>
        </w:tc>
        <w:tc>
          <w:tcPr>
            <w:tcW w:w="1800" w:type="dxa"/>
            <w:tcMar>
              <w:top w:w="60" w:type="dxa"/>
              <w:left w:w="80" w:type="dxa"/>
              <w:bottom w:w="60" w:type="dxa"/>
              <w:right w:w="80" w:type="dxa"/>
            </w:tcMar>
            <w:vAlign w:val="center"/>
          </w:tcPr>
          <w:p w14:paraId="775D5691">
            <w:pPr>
              <w:jc w:val="center"/>
              <w:rPr>
                <w:rFonts w:hint="eastAsia" w:ascii="宋体" w:hAnsi="宋体" w:eastAsia="宋体" w:cs="宋体"/>
              </w:rPr>
            </w:pPr>
            <w:r>
              <w:rPr>
                <w:rFonts w:hint="eastAsia" w:ascii="宋体" w:hAnsi="宋体" w:eastAsia="宋体" w:cs="宋体"/>
                <w:b w:val="0"/>
                <w:bCs w:val="0"/>
                <w:sz w:val="18"/>
                <w:szCs w:val="18"/>
              </w:rPr>
              <w:t>3</w:t>
            </w:r>
          </w:p>
        </w:tc>
        <w:tc>
          <w:tcPr>
            <w:tcW w:w="1800" w:type="dxa"/>
            <w:tcMar>
              <w:top w:w="60" w:type="dxa"/>
              <w:left w:w="80" w:type="dxa"/>
              <w:bottom w:w="60" w:type="dxa"/>
              <w:right w:w="80" w:type="dxa"/>
            </w:tcMar>
            <w:vAlign w:val="center"/>
          </w:tcPr>
          <w:p w14:paraId="672523EC">
            <w:pPr>
              <w:jc w:val="center"/>
              <w:rPr>
                <w:rFonts w:hint="eastAsia" w:ascii="宋体" w:hAnsi="宋体" w:eastAsia="宋体" w:cs="宋体"/>
              </w:rPr>
            </w:pPr>
            <w:r>
              <w:rPr>
                <w:rFonts w:hint="eastAsia" w:ascii="宋体" w:hAnsi="宋体" w:eastAsia="宋体" w:cs="宋体"/>
                <w:b w:val="0"/>
                <w:bCs w:val="0"/>
                <w:sz w:val="18"/>
                <w:szCs w:val="18"/>
              </w:rPr>
              <w:t>0</w:t>
            </w:r>
          </w:p>
        </w:tc>
        <w:tc>
          <w:tcPr>
            <w:tcW w:w="1200" w:type="dxa"/>
            <w:tcMar>
              <w:top w:w="60" w:type="dxa"/>
              <w:left w:w="80" w:type="dxa"/>
              <w:bottom w:w="60" w:type="dxa"/>
              <w:right w:w="80" w:type="dxa"/>
            </w:tcMar>
            <w:vAlign w:val="center"/>
          </w:tcPr>
          <w:p w14:paraId="00C37646">
            <w:pPr>
              <w:jc w:val="center"/>
              <w:rPr>
                <w:rFonts w:hint="eastAsia" w:ascii="宋体" w:hAnsi="宋体" w:eastAsia="宋体" w:cs="宋体"/>
              </w:rPr>
            </w:pPr>
            <w:r>
              <w:rPr>
                <w:rFonts w:hint="eastAsia" w:ascii="宋体" w:hAnsi="宋体" w:eastAsia="宋体" w:cs="宋体"/>
                <w:b w:val="0"/>
                <w:bCs w:val="0"/>
                <w:sz w:val="18"/>
                <w:szCs w:val="18"/>
              </w:rPr>
              <w:t>-3</w:t>
            </w:r>
          </w:p>
        </w:tc>
      </w:tr>
      <w:tr w14:paraId="403236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3E643C24">
            <w:pPr>
              <w:jc w:val="center"/>
              <w:rPr>
                <w:rFonts w:hint="eastAsia" w:ascii="宋体" w:hAnsi="宋体" w:eastAsia="宋体" w:cs="宋体"/>
              </w:rPr>
            </w:pPr>
            <w:r>
              <w:rPr>
                <w:rFonts w:hint="eastAsia" w:ascii="宋体" w:hAnsi="宋体" w:eastAsia="宋体" w:cs="宋体"/>
                <w:b w:val="0"/>
                <w:bCs w:val="0"/>
                <w:sz w:val="18"/>
                <w:szCs w:val="18"/>
              </w:rPr>
              <w:t>Precision</w:t>
            </w:r>
          </w:p>
        </w:tc>
        <w:tc>
          <w:tcPr>
            <w:tcW w:w="1800" w:type="dxa"/>
            <w:tcMar>
              <w:top w:w="60" w:type="dxa"/>
              <w:left w:w="80" w:type="dxa"/>
              <w:bottom w:w="60" w:type="dxa"/>
              <w:right w:w="80" w:type="dxa"/>
            </w:tcMar>
            <w:vAlign w:val="center"/>
          </w:tcPr>
          <w:p w14:paraId="72DD21F0">
            <w:pPr>
              <w:jc w:val="center"/>
              <w:rPr>
                <w:rFonts w:hint="eastAsia" w:ascii="宋体" w:hAnsi="宋体" w:eastAsia="宋体" w:cs="宋体"/>
              </w:rPr>
            </w:pPr>
            <w:r>
              <w:rPr>
                <w:rFonts w:hint="eastAsia" w:ascii="宋体" w:hAnsi="宋体" w:eastAsia="宋体" w:cs="宋体"/>
                <w:b w:val="0"/>
                <w:bCs w:val="0"/>
                <w:sz w:val="18"/>
                <w:szCs w:val="18"/>
              </w:rPr>
              <w:t>96.15%</w:t>
            </w:r>
          </w:p>
        </w:tc>
        <w:tc>
          <w:tcPr>
            <w:tcW w:w="1800" w:type="dxa"/>
            <w:tcMar>
              <w:top w:w="60" w:type="dxa"/>
              <w:left w:w="80" w:type="dxa"/>
              <w:bottom w:w="60" w:type="dxa"/>
              <w:right w:w="80" w:type="dxa"/>
            </w:tcMar>
            <w:vAlign w:val="center"/>
          </w:tcPr>
          <w:p w14:paraId="2431AFD6">
            <w:pPr>
              <w:jc w:val="center"/>
              <w:rPr>
                <w:rFonts w:hint="eastAsia" w:ascii="宋体" w:hAnsi="宋体" w:eastAsia="宋体" w:cs="宋体"/>
              </w:rPr>
            </w:pPr>
            <w:r>
              <w:rPr>
                <w:rFonts w:hint="eastAsia" w:ascii="宋体" w:hAnsi="宋体" w:eastAsia="宋体" w:cs="宋体"/>
                <w:b w:val="0"/>
                <w:bCs w:val="0"/>
                <w:sz w:val="18"/>
                <w:szCs w:val="18"/>
              </w:rPr>
              <w:t>96.36%</w:t>
            </w:r>
          </w:p>
        </w:tc>
        <w:tc>
          <w:tcPr>
            <w:tcW w:w="1200" w:type="dxa"/>
            <w:tcMar>
              <w:top w:w="60" w:type="dxa"/>
              <w:left w:w="80" w:type="dxa"/>
              <w:bottom w:w="60" w:type="dxa"/>
              <w:right w:w="80" w:type="dxa"/>
            </w:tcMar>
            <w:vAlign w:val="center"/>
          </w:tcPr>
          <w:p w14:paraId="0CFC9399">
            <w:pPr>
              <w:jc w:val="center"/>
              <w:rPr>
                <w:rFonts w:hint="eastAsia" w:ascii="宋体" w:hAnsi="宋体" w:eastAsia="宋体" w:cs="宋体"/>
              </w:rPr>
            </w:pPr>
            <w:r>
              <w:rPr>
                <w:rFonts w:hint="eastAsia" w:ascii="宋体" w:hAnsi="宋体" w:eastAsia="宋体" w:cs="宋体"/>
                <w:b w:val="0"/>
                <w:bCs w:val="0"/>
                <w:sz w:val="18"/>
                <w:szCs w:val="18"/>
              </w:rPr>
              <w:t>+0.21%</w:t>
            </w:r>
          </w:p>
        </w:tc>
      </w:tr>
      <w:tr w14:paraId="2E3D2C9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800" w:type="dxa"/>
            <w:tcMar>
              <w:top w:w="60" w:type="dxa"/>
              <w:left w:w="80" w:type="dxa"/>
              <w:bottom w:w="60" w:type="dxa"/>
              <w:right w:w="80" w:type="dxa"/>
            </w:tcMar>
            <w:vAlign w:val="center"/>
          </w:tcPr>
          <w:p w14:paraId="6B3C5565">
            <w:pPr>
              <w:jc w:val="center"/>
              <w:rPr>
                <w:rFonts w:hint="eastAsia" w:ascii="宋体" w:hAnsi="宋体" w:eastAsia="宋体" w:cs="宋体"/>
              </w:rPr>
            </w:pPr>
            <w:r>
              <w:rPr>
                <w:rFonts w:hint="eastAsia" w:ascii="宋体" w:hAnsi="宋体" w:eastAsia="宋体" w:cs="宋体"/>
                <w:b w:val="0"/>
                <w:bCs w:val="0"/>
                <w:sz w:val="18"/>
                <w:szCs w:val="18"/>
              </w:rPr>
              <w:t>Recall</w:t>
            </w:r>
          </w:p>
        </w:tc>
        <w:tc>
          <w:tcPr>
            <w:tcW w:w="1800" w:type="dxa"/>
            <w:tcMar>
              <w:top w:w="60" w:type="dxa"/>
              <w:left w:w="80" w:type="dxa"/>
              <w:bottom w:w="60" w:type="dxa"/>
              <w:right w:w="80" w:type="dxa"/>
            </w:tcMar>
            <w:vAlign w:val="center"/>
          </w:tcPr>
          <w:p w14:paraId="14D75E87">
            <w:pPr>
              <w:jc w:val="center"/>
              <w:rPr>
                <w:rFonts w:hint="eastAsia" w:ascii="宋体" w:hAnsi="宋体" w:eastAsia="宋体" w:cs="宋体"/>
              </w:rPr>
            </w:pPr>
            <w:r>
              <w:rPr>
                <w:rFonts w:hint="eastAsia" w:ascii="宋体" w:hAnsi="宋体" w:eastAsia="宋体" w:cs="宋体"/>
                <w:b w:val="0"/>
                <w:bCs w:val="0"/>
                <w:sz w:val="18"/>
                <w:szCs w:val="18"/>
              </w:rPr>
              <w:t>94.34%</w:t>
            </w:r>
          </w:p>
        </w:tc>
        <w:tc>
          <w:tcPr>
            <w:tcW w:w="1800" w:type="dxa"/>
            <w:tcMar>
              <w:top w:w="60" w:type="dxa"/>
              <w:left w:w="80" w:type="dxa"/>
              <w:bottom w:w="60" w:type="dxa"/>
              <w:right w:w="80" w:type="dxa"/>
            </w:tcMar>
            <w:vAlign w:val="center"/>
          </w:tcPr>
          <w:p w14:paraId="241523A5">
            <w:pPr>
              <w:jc w:val="center"/>
              <w:rPr>
                <w:rFonts w:hint="eastAsia" w:ascii="宋体" w:hAnsi="宋体" w:eastAsia="宋体" w:cs="宋体"/>
              </w:rPr>
            </w:pPr>
            <w:r>
              <w:rPr>
                <w:rFonts w:hint="eastAsia" w:ascii="宋体" w:hAnsi="宋体" w:eastAsia="宋体" w:cs="宋体"/>
                <w:b w:val="0"/>
                <w:bCs w:val="0"/>
                <w:sz w:val="18"/>
                <w:szCs w:val="18"/>
              </w:rPr>
              <w:t>100.00%</w:t>
            </w:r>
          </w:p>
        </w:tc>
        <w:tc>
          <w:tcPr>
            <w:tcW w:w="1200" w:type="dxa"/>
            <w:tcMar>
              <w:top w:w="60" w:type="dxa"/>
              <w:left w:w="80" w:type="dxa"/>
              <w:bottom w:w="60" w:type="dxa"/>
              <w:right w:w="80" w:type="dxa"/>
            </w:tcMar>
            <w:vAlign w:val="center"/>
          </w:tcPr>
          <w:p w14:paraId="737589D8">
            <w:pPr>
              <w:jc w:val="center"/>
              <w:rPr>
                <w:rFonts w:hint="eastAsia" w:ascii="宋体" w:hAnsi="宋体" w:eastAsia="宋体" w:cs="宋体"/>
              </w:rPr>
            </w:pPr>
            <w:r>
              <w:rPr>
                <w:rFonts w:hint="eastAsia" w:ascii="宋体" w:hAnsi="宋体" w:eastAsia="宋体" w:cs="宋体"/>
                <w:b w:val="0"/>
                <w:bCs w:val="0"/>
                <w:sz w:val="18"/>
                <w:szCs w:val="18"/>
              </w:rPr>
              <w:t>+5.66%</w:t>
            </w:r>
          </w:p>
        </w:tc>
      </w:tr>
    </w:tbl>
    <w:p w14:paraId="5CAF82FD">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从表1可以看出，本次复现的精确率（96.36%）与论文结果（96.15%）高度一致，差异仅为 0.21 个百分点。召回率（100%）高于论文结果（94.34%），主要原因是本次复现中未出现假阴性，原论文中漏报的 3 个阳性用例在本次运行中均被成功检测。误报主要集中在 Array-Like Structures/ArrayIndexNoLeak 和 Lifecycle Modeling/UnreachableFlow 两个用例，反映了静态分析在数组索引敏感性和路径可达性建模方面的保守性。</w:t>
      </w:r>
    </w:p>
    <w:p w14:paraId="40F65110">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4.2  实验2：真实项目检测实验</w:t>
      </w:r>
    </w:p>
    <w:p w14:paraId="38211D55">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4.2.1  实验设置</w:t>
      </w:r>
    </w:p>
    <w:p w14:paraId="3095030C">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论文实验2使用 3490 个真实 OpenHarmony 开源项目进行批量扫描，统计发现的 Source -&gt; Sink 数据流数量。由于当前 artifact 未包含该数据集，本次复现使用随附的 OpenHarmony 官方样例集合 datasets/app_samples 进行部分复现，共识别出 165 个独立样例工程。</w:t>
      </w:r>
    </w:p>
    <w:p w14:paraId="2D5967CD">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4.2.2  实验结果</w:t>
      </w:r>
    </w:p>
    <w:p w14:paraId="767CF9F4">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表2展示了实验2的部分复现结果。</w:t>
      </w:r>
    </w:p>
    <w:p w14:paraId="543DC0EC">
      <w:pPr>
        <w:spacing w:before="120" w:after="60" w:line="360" w:lineRule="auto"/>
        <w:jc w:val="center"/>
        <w:rPr>
          <w:rFonts w:hint="eastAsia" w:ascii="宋体" w:hAnsi="宋体" w:eastAsia="宋体" w:cs="宋体"/>
        </w:rPr>
      </w:pPr>
      <w:r>
        <w:rPr>
          <w:rFonts w:hint="eastAsia" w:ascii="宋体" w:hAnsi="宋体" w:eastAsia="宋体" w:cs="宋体"/>
          <w:b/>
          <w:bCs/>
          <w:sz w:val="18"/>
          <w:szCs w:val="18"/>
        </w:rPr>
        <w:t>表2  真实项目检测实验结果</w:t>
      </w:r>
    </w:p>
    <w:tbl>
      <w:tblPr>
        <w:tblStyle w:val="11"/>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963"/>
        <w:gridCol w:w="2963"/>
        <w:gridCol w:w="2964"/>
      </w:tblGrid>
      <w:tr w14:paraId="191E2E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shd w:val="clear" w:color="auto" w:fill="E2E8F0"/>
            <w:tcMar>
              <w:top w:w="60" w:type="dxa"/>
              <w:left w:w="80" w:type="dxa"/>
              <w:bottom w:w="60" w:type="dxa"/>
              <w:right w:w="80" w:type="dxa"/>
            </w:tcMar>
            <w:vAlign w:val="center"/>
          </w:tcPr>
          <w:p w14:paraId="10C60420">
            <w:pPr>
              <w:jc w:val="center"/>
              <w:rPr>
                <w:rFonts w:hint="eastAsia" w:ascii="宋体" w:hAnsi="宋体" w:eastAsia="宋体" w:cs="宋体"/>
              </w:rPr>
            </w:pPr>
            <w:r>
              <w:rPr>
                <w:rFonts w:hint="eastAsia" w:ascii="宋体" w:hAnsi="宋体" w:eastAsia="宋体" w:cs="宋体"/>
                <w:b/>
                <w:bCs/>
                <w:sz w:val="18"/>
                <w:szCs w:val="18"/>
              </w:rPr>
              <w:t>指标</w:t>
            </w:r>
          </w:p>
        </w:tc>
        <w:tc>
          <w:tcPr>
            <w:tcW w:w="2200" w:type="dxa"/>
            <w:shd w:val="clear" w:color="auto" w:fill="E2E8F0"/>
            <w:tcMar>
              <w:top w:w="60" w:type="dxa"/>
              <w:left w:w="80" w:type="dxa"/>
              <w:bottom w:w="60" w:type="dxa"/>
              <w:right w:w="80" w:type="dxa"/>
            </w:tcMar>
            <w:vAlign w:val="center"/>
          </w:tcPr>
          <w:p w14:paraId="3C3D384B">
            <w:pPr>
              <w:jc w:val="center"/>
              <w:rPr>
                <w:rFonts w:hint="eastAsia" w:ascii="宋体" w:hAnsi="宋体" w:eastAsia="宋体" w:cs="宋体"/>
              </w:rPr>
            </w:pPr>
            <w:r>
              <w:rPr>
                <w:rFonts w:hint="eastAsia" w:ascii="宋体" w:hAnsi="宋体" w:eastAsia="宋体" w:cs="宋体"/>
                <w:b/>
                <w:bCs/>
                <w:sz w:val="18"/>
                <w:szCs w:val="18"/>
              </w:rPr>
              <w:t>论文结果</w:t>
            </w:r>
          </w:p>
        </w:tc>
        <w:tc>
          <w:tcPr>
            <w:tcW w:w="2200" w:type="dxa"/>
            <w:shd w:val="clear" w:color="auto" w:fill="E2E8F0"/>
            <w:tcMar>
              <w:top w:w="60" w:type="dxa"/>
              <w:left w:w="80" w:type="dxa"/>
              <w:bottom w:w="60" w:type="dxa"/>
              <w:right w:w="80" w:type="dxa"/>
            </w:tcMar>
            <w:vAlign w:val="center"/>
          </w:tcPr>
          <w:p w14:paraId="6290B562">
            <w:pPr>
              <w:jc w:val="center"/>
              <w:rPr>
                <w:rFonts w:hint="eastAsia" w:ascii="宋体" w:hAnsi="宋体" w:eastAsia="宋体" w:cs="宋体"/>
              </w:rPr>
            </w:pPr>
            <w:r>
              <w:rPr>
                <w:rFonts w:hint="eastAsia" w:ascii="宋体" w:hAnsi="宋体" w:eastAsia="宋体" w:cs="宋体"/>
                <w:b/>
                <w:bCs/>
                <w:sz w:val="18"/>
                <w:szCs w:val="18"/>
              </w:rPr>
              <w:t>本次复现</w:t>
            </w:r>
          </w:p>
        </w:tc>
      </w:tr>
      <w:tr w14:paraId="1D6D85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549BA839">
            <w:pPr>
              <w:jc w:val="center"/>
              <w:rPr>
                <w:rFonts w:hint="eastAsia" w:ascii="宋体" w:hAnsi="宋体" w:eastAsia="宋体" w:cs="宋体"/>
              </w:rPr>
            </w:pPr>
            <w:r>
              <w:rPr>
                <w:rFonts w:hint="eastAsia" w:ascii="宋体" w:hAnsi="宋体" w:eastAsia="宋体" w:cs="宋体"/>
                <w:b w:val="0"/>
                <w:bCs w:val="0"/>
                <w:sz w:val="18"/>
                <w:szCs w:val="18"/>
              </w:rPr>
              <w:t>项目数量</w:t>
            </w:r>
          </w:p>
        </w:tc>
        <w:tc>
          <w:tcPr>
            <w:tcW w:w="2200" w:type="dxa"/>
            <w:tcMar>
              <w:top w:w="60" w:type="dxa"/>
              <w:left w:w="80" w:type="dxa"/>
              <w:bottom w:w="60" w:type="dxa"/>
              <w:right w:w="80" w:type="dxa"/>
            </w:tcMar>
            <w:vAlign w:val="center"/>
          </w:tcPr>
          <w:p w14:paraId="14BEE35F">
            <w:pPr>
              <w:jc w:val="center"/>
              <w:rPr>
                <w:rFonts w:hint="eastAsia" w:ascii="宋体" w:hAnsi="宋体" w:eastAsia="宋体" w:cs="宋体"/>
              </w:rPr>
            </w:pPr>
            <w:r>
              <w:rPr>
                <w:rFonts w:hint="eastAsia" w:ascii="宋体" w:hAnsi="宋体" w:eastAsia="宋体" w:cs="宋体"/>
                <w:b w:val="0"/>
                <w:bCs w:val="0"/>
                <w:sz w:val="18"/>
                <w:szCs w:val="18"/>
              </w:rPr>
              <w:t>3490</w:t>
            </w:r>
          </w:p>
        </w:tc>
        <w:tc>
          <w:tcPr>
            <w:tcW w:w="2200" w:type="dxa"/>
            <w:tcMar>
              <w:top w:w="60" w:type="dxa"/>
              <w:left w:w="80" w:type="dxa"/>
              <w:bottom w:w="60" w:type="dxa"/>
              <w:right w:w="80" w:type="dxa"/>
            </w:tcMar>
            <w:vAlign w:val="center"/>
          </w:tcPr>
          <w:p w14:paraId="1B44F2DC">
            <w:pPr>
              <w:jc w:val="center"/>
              <w:rPr>
                <w:rFonts w:hint="eastAsia" w:ascii="宋体" w:hAnsi="宋体" w:eastAsia="宋体" w:cs="宋体"/>
              </w:rPr>
            </w:pPr>
            <w:r>
              <w:rPr>
                <w:rFonts w:hint="eastAsia" w:ascii="宋体" w:hAnsi="宋体" w:eastAsia="宋体" w:cs="宋体"/>
                <w:b w:val="0"/>
                <w:bCs w:val="0"/>
                <w:sz w:val="18"/>
                <w:szCs w:val="18"/>
              </w:rPr>
              <w:t>165</w:t>
            </w:r>
          </w:p>
        </w:tc>
      </w:tr>
      <w:tr w14:paraId="469465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2CFE3C48">
            <w:pPr>
              <w:jc w:val="center"/>
              <w:rPr>
                <w:rFonts w:hint="eastAsia" w:ascii="宋体" w:hAnsi="宋体" w:eastAsia="宋体" w:cs="宋体"/>
              </w:rPr>
            </w:pPr>
            <w:r>
              <w:rPr>
                <w:rFonts w:hint="eastAsia" w:ascii="宋体" w:hAnsi="宋体" w:eastAsia="宋体" w:cs="宋体"/>
                <w:b w:val="0"/>
                <w:bCs w:val="0"/>
                <w:sz w:val="18"/>
                <w:szCs w:val="18"/>
              </w:rPr>
              <w:t>潜在泄漏路径</w:t>
            </w:r>
          </w:p>
        </w:tc>
        <w:tc>
          <w:tcPr>
            <w:tcW w:w="2200" w:type="dxa"/>
            <w:tcMar>
              <w:top w:w="60" w:type="dxa"/>
              <w:left w:w="80" w:type="dxa"/>
              <w:bottom w:w="60" w:type="dxa"/>
              <w:right w:w="80" w:type="dxa"/>
            </w:tcMar>
            <w:vAlign w:val="center"/>
          </w:tcPr>
          <w:p w14:paraId="2B4E4558">
            <w:pPr>
              <w:jc w:val="center"/>
              <w:rPr>
                <w:rFonts w:hint="eastAsia" w:ascii="宋体" w:hAnsi="宋体" w:eastAsia="宋体" w:cs="宋体"/>
              </w:rPr>
            </w:pPr>
            <w:r>
              <w:rPr>
                <w:rFonts w:hint="eastAsia" w:ascii="宋体" w:hAnsi="宋体" w:eastAsia="宋体" w:cs="宋体"/>
                <w:b w:val="0"/>
                <w:bCs w:val="0"/>
                <w:sz w:val="18"/>
                <w:szCs w:val="18"/>
              </w:rPr>
              <w:t>73</w:t>
            </w:r>
          </w:p>
        </w:tc>
        <w:tc>
          <w:tcPr>
            <w:tcW w:w="2200" w:type="dxa"/>
            <w:tcMar>
              <w:top w:w="60" w:type="dxa"/>
              <w:left w:w="80" w:type="dxa"/>
              <w:bottom w:w="60" w:type="dxa"/>
              <w:right w:w="80" w:type="dxa"/>
            </w:tcMar>
            <w:vAlign w:val="center"/>
          </w:tcPr>
          <w:p w14:paraId="60F84FDD">
            <w:pPr>
              <w:jc w:val="center"/>
              <w:rPr>
                <w:rFonts w:hint="eastAsia" w:ascii="宋体" w:hAnsi="宋体" w:eastAsia="宋体" w:cs="宋体"/>
              </w:rPr>
            </w:pPr>
            <w:r>
              <w:rPr>
                <w:rFonts w:hint="eastAsia" w:ascii="宋体" w:hAnsi="宋体" w:eastAsia="宋体" w:cs="宋体"/>
                <w:b w:val="0"/>
                <w:bCs w:val="0"/>
                <w:sz w:val="18"/>
                <w:szCs w:val="18"/>
              </w:rPr>
              <w:t>19</w:t>
            </w:r>
          </w:p>
        </w:tc>
      </w:tr>
      <w:tr w14:paraId="120F55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5C088D7A">
            <w:pPr>
              <w:jc w:val="center"/>
              <w:rPr>
                <w:rFonts w:hint="eastAsia" w:ascii="宋体" w:hAnsi="宋体" w:eastAsia="宋体" w:cs="宋体"/>
              </w:rPr>
            </w:pPr>
            <w:r>
              <w:rPr>
                <w:rFonts w:hint="eastAsia" w:ascii="宋体" w:hAnsi="宋体" w:eastAsia="宋体" w:cs="宋体"/>
                <w:b w:val="0"/>
                <w:bCs w:val="0"/>
                <w:sz w:val="18"/>
                <w:szCs w:val="18"/>
              </w:rPr>
              <w:t>成功率</w:t>
            </w:r>
          </w:p>
        </w:tc>
        <w:tc>
          <w:tcPr>
            <w:tcW w:w="2200" w:type="dxa"/>
            <w:tcMar>
              <w:top w:w="60" w:type="dxa"/>
              <w:left w:w="80" w:type="dxa"/>
              <w:bottom w:w="60" w:type="dxa"/>
              <w:right w:w="80" w:type="dxa"/>
            </w:tcMar>
            <w:vAlign w:val="center"/>
          </w:tcPr>
          <w:p w14:paraId="71FD2439">
            <w:pPr>
              <w:jc w:val="center"/>
              <w:rPr>
                <w:rFonts w:hint="eastAsia" w:ascii="宋体" w:hAnsi="宋体" w:eastAsia="宋体" w:cs="宋体"/>
              </w:rPr>
            </w:pPr>
            <w:r>
              <w:rPr>
                <w:rFonts w:hint="eastAsia" w:ascii="宋体" w:hAnsi="宋体" w:eastAsia="宋体" w:cs="宋体"/>
                <w:b w:val="0"/>
                <w:bCs w:val="0"/>
                <w:sz w:val="18"/>
                <w:szCs w:val="18"/>
              </w:rPr>
              <w:t>—</w:t>
            </w:r>
          </w:p>
        </w:tc>
        <w:tc>
          <w:tcPr>
            <w:tcW w:w="2200" w:type="dxa"/>
            <w:tcMar>
              <w:top w:w="60" w:type="dxa"/>
              <w:left w:w="80" w:type="dxa"/>
              <w:bottom w:w="60" w:type="dxa"/>
              <w:right w:w="80" w:type="dxa"/>
            </w:tcMar>
            <w:vAlign w:val="center"/>
          </w:tcPr>
          <w:p w14:paraId="02856673">
            <w:pPr>
              <w:jc w:val="center"/>
              <w:rPr>
                <w:rFonts w:hint="eastAsia" w:ascii="宋体" w:hAnsi="宋体" w:eastAsia="宋体" w:cs="宋体"/>
              </w:rPr>
            </w:pPr>
            <w:r>
              <w:rPr>
                <w:rFonts w:hint="eastAsia" w:ascii="宋体" w:hAnsi="宋体" w:eastAsia="宋体" w:cs="宋体"/>
                <w:b w:val="0"/>
                <w:bCs w:val="0"/>
                <w:sz w:val="18"/>
                <w:szCs w:val="18"/>
              </w:rPr>
              <w:t>100%</w:t>
            </w:r>
          </w:p>
        </w:tc>
      </w:tr>
      <w:tr w14:paraId="36BD0C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710926C5">
            <w:pPr>
              <w:jc w:val="center"/>
              <w:rPr>
                <w:rFonts w:hint="eastAsia" w:ascii="宋体" w:hAnsi="宋体" w:eastAsia="宋体" w:cs="宋体"/>
              </w:rPr>
            </w:pPr>
            <w:r>
              <w:rPr>
                <w:rFonts w:hint="eastAsia" w:ascii="宋体" w:hAnsi="宋体" w:eastAsia="宋体" w:cs="宋体"/>
                <w:b w:val="0"/>
                <w:bCs w:val="0"/>
                <w:sz w:val="18"/>
                <w:szCs w:val="18"/>
              </w:rPr>
              <w:t>平均分析时间</w:t>
            </w:r>
          </w:p>
        </w:tc>
        <w:tc>
          <w:tcPr>
            <w:tcW w:w="2200" w:type="dxa"/>
            <w:tcMar>
              <w:top w:w="60" w:type="dxa"/>
              <w:left w:w="80" w:type="dxa"/>
              <w:bottom w:w="60" w:type="dxa"/>
              <w:right w:w="80" w:type="dxa"/>
            </w:tcMar>
            <w:vAlign w:val="center"/>
          </w:tcPr>
          <w:p w14:paraId="4FF64383">
            <w:pPr>
              <w:jc w:val="center"/>
              <w:rPr>
                <w:rFonts w:hint="eastAsia" w:ascii="宋体" w:hAnsi="宋体" w:eastAsia="宋体" w:cs="宋体"/>
              </w:rPr>
            </w:pPr>
            <w:r>
              <w:rPr>
                <w:rFonts w:hint="eastAsia" w:ascii="宋体" w:hAnsi="宋体" w:eastAsia="宋体" w:cs="宋体"/>
                <w:b w:val="0"/>
                <w:bCs w:val="0"/>
                <w:sz w:val="18"/>
                <w:szCs w:val="18"/>
              </w:rPr>
              <w:t>—</w:t>
            </w:r>
          </w:p>
        </w:tc>
        <w:tc>
          <w:tcPr>
            <w:tcW w:w="2200" w:type="dxa"/>
            <w:tcMar>
              <w:top w:w="60" w:type="dxa"/>
              <w:left w:w="80" w:type="dxa"/>
              <w:bottom w:w="60" w:type="dxa"/>
              <w:right w:w="80" w:type="dxa"/>
            </w:tcMar>
            <w:vAlign w:val="center"/>
          </w:tcPr>
          <w:p w14:paraId="03D3819B">
            <w:pPr>
              <w:jc w:val="center"/>
              <w:rPr>
                <w:rFonts w:hint="eastAsia" w:ascii="宋体" w:hAnsi="宋体" w:eastAsia="宋体" w:cs="宋体"/>
              </w:rPr>
            </w:pPr>
            <w:r>
              <w:rPr>
                <w:rFonts w:hint="eastAsia" w:ascii="宋体" w:hAnsi="宋体" w:eastAsia="宋体" w:cs="宋体"/>
                <w:b w:val="0"/>
                <w:bCs w:val="0"/>
                <w:sz w:val="18"/>
                <w:szCs w:val="18"/>
              </w:rPr>
              <w:t>7.63s</w:t>
            </w:r>
          </w:p>
        </w:tc>
      </w:tr>
    </w:tbl>
    <w:p w14:paraId="7F9C4296">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本次复现在 165 个官方样例项目中发现了 19 条 Source -&gt; Sink 数据流，分布在 15 个项目中，所有项目均成功完成分析。数据流主要集中在 Telephony、Media、Communication 等涉及敏感设备能力和通信数据的类别。由于数据集规模和来源与论文不同，本次结果不能直接进行严格数值对比，但验证了 HapFlow 真实项目批量检测流程的可运行性。</w:t>
      </w:r>
    </w:p>
    <w:p w14:paraId="2FB2278D">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4.3  实验3：消融实验</w:t>
      </w:r>
    </w:p>
    <w:p w14:paraId="45DD1F9E">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4.3.1  实验设置</w:t>
      </w:r>
    </w:p>
    <w:p w14:paraId="4E84CB84">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消融实验用于验证 HapFlow 三个关键模块对检测能力的贡献。论文设计了三个消融变体：hf1 关闭 HarmonyMain 生命周期建模，hf2 关闭 Closure 污点传播，hf3 关闭 Callback Source 识别。每个变体均在 HapBench 67 个测试用例上运行，统计 Precision 和 Recall。</w:t>
      </w:r>
    </w:p>
    <w:p w14:paraId="46F1AFBA">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4.3.2  实验结果</w:t>
      </w:r>
    </w:p>
    <w:p w14:paraId="3E25B4C7">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表3展示了消融实验的复现结果。</w:t>
      </w:r>
    </w:p>
    <w:p w14:paraId="57CADB62">
      <w:pPr>
        <w:spacing w:before="120" w:after="60" w:line="360" w:lineRule="auto"/>
        <w:jc w:val="center"/>
        <w:rPr>
          <w:rFonts w:hint="eastAsia" w:ascii="宋体" w:hAnsi="宋体" w:eastAsia="宋体" w:cs="宋体"/>
        </w:rPr>
      </w:pPr>
      <w:r>
        <w:rPr>
          <w:rFonts w:hint="eastAsia" w:ascii="宋体" w:hAnsi="宋体" w:eastAsia="宋体" w:cs="宋体"/>
          <w:b/>
          <w:bCs/>
          <w:sz w:val="18"/>
          <w:szCs w:val="18"/>
        </w:rPr>
        <w:t>表3  消融实验结果对比</w:t>
      </w:r>
    </w:p>
    <w:tbl>
      <w:tblPr>
        <w:tblStyle w:val="11"/>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1826"/>
        <w:gridCol w:w="3410"/>
        <w:gridCol w:w="1827"/>
        <w:gridCol w:w="1827"/>
      </w:tblGrid>
      <w:tr w14:paraId="02F03C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500" w:type="dxa"/>
            <w:shd w:val="clear" w:color="auto" w:fill="E2E8F0"/>
            <w:tcMar>
              <w:top w:w="60" w:type="dxa"/>
              <w:left w:w="80" w:type="dxa"/>
              <w:bottom w:w="60" w:type="dxa"/>
              <w:right w:w="80" w:type="dxa"/>
            </w:tcMar>
            <w:vAlign w:val="center"/>
          </w:tcPr>
          <w:p w14:paraId="55A00A62">
            <w:pPr>
              <w:jc w:val="center"/>
              <w:rPr>
                <w:rFonts w:hint="eastAsia" w:ascii="宋体" w:hAnsi="宋体" w:eastAsia="宋体" w:cs="宋体"/>
              </w:rPr>
            </w:pPr>
            <w:r>
              <w:rPr>
                <w:rFonts w:hint="eastAsia" w:ascii="宋体" w:hAnsi="宋体" w:eastAsia="宋体" w:cs="宋体"/>
                <w:b/>
                <w:bCs/>
                <w:sz w:val="18"/>
                <w:szCs w:val="18"/>
              </w:rPr>
              <w:t>版本</w:t>
            </w:r>
          </w:p>
        </w:tc>
        <w:tc>
          <w:tcPr>
            <w:tcW w:w="2800" w:type="dxa"/>
            <w:shd w:val="clear" w:color="auto" w:fill="E2E8F0"/>
            <w:tcMar>
              <w:top w:w="60" w:type="dxa"/>
              <w:left w:w="80" w:type="dxa"/>
              <w:bottom w:w="60" w:type="dxa"/>
              <w:right w:w="80" w:type="dxa"/>
            </w:tcMar>
            <w:vAlign w:val="center"/>
          </w:tcPr>
          <w:p w14:paraId="71FD6EC0">
            <w:pPr>
              <w:jc w:val="center"/>
              <w:rPr>
                <w:rFonts w:hint="eastAsia" w:ascii="宋体" w:hAnsi="宋体" w:eastAsia="宋体" w:cs="宋体"/>
              </w:rPr>
            </w:pPr>
            <w:r>
              <w:rPr>
                <w:rFonts w:hint="eastAsia" w:ascii="宋体" w:hAnsi="宋体" w:eastAsia="宋体" w:cs="宋体"/>
                <w:b/>
                <w:bCs/>
                <w:sz w:val="18"/>
                <w:szCs w:val="18"/>
              </w:rPr>
              <w:t>关闭模块</w:t>
            </w:r>
          </w:p>
        </w:tc>
        <w:tc>
          <w:tcPr>
            <w:tcW w:w="1500" w:type="dxa"/>
            <w:shd w:val="clear" w:color="auto" w:fill="E2E8F0"/>
            <w:tcMar>
              <w:top w:w="60" w:type="dxa"/>
              <w:left w:w="80" w:type="dxa"/>
              <w:bottom w:w="60" w:type="dxa"/>
              <w:right w:w="80" w:type="dxa"/>
            </w:tcMar>
            <w:vAlign w:val="center"/>
          </w:tcPr>
          <w:p w14:paraId="591CA2DD">
            <w:pPr>
              <w:jc w:val="center"/>
              <w:rPr>
                <w:rFonts w:hint="eastAsia" w:ascii="宋体" w:hAnsi="宋体" w:eastAsia="宋体" w:cs="宋体"/>
              </w:rPr>
            </w:pPr>
            <w:r>
              <w:rPr>
                <w:rFonts w:hint="eastAsia" w:ascii="宋体" w:hAnsi="宋体" w:eastAsia="宋体" w:cs="宋体"/>
                <w:b/>
                <w:bCs/>
                <w:sz w:val="18"/>
                <w:szCs w:val="18"/>
              </w:rPr>
              <w:t>Precision</w:t>
            </w:r>
          </w:p>
        </w:tc>
        <w:tc>
          <w:tcPr>
            <w:tcW w:w="1500" w:type="dxa"/>
            <w:shd w:val="clear" w:color="auto" w:fill="E2E8F0"/>
            <w:tcMar>
              <w:top w:w="60" w:type="dxa"/>
              <w:left w:w="80" w:type="dxa"/>
              <w:bottom w:w="60" w:type="dxa"/>
              <w:right w:w="80" w:type="dxa"/>
            </w:tcMar>
            <w:vAlign w:val="center"/>
          </w:tcPr>
          <w:p w14:paraId="0669F737">
            <w:pPr>
              <w:jc w:val="center"/>
              <w:rPr>
                <w:rFonts w:hint="eastAsia" w:ascii="宋体" w:hAnsi="宋体" w:eastAsia="宋体" w:cs="宋体"/>
              </w:rPr>
            </w:pPr>
            <w:r>
              <w:rPr>
                <w:rFonts w:hint="eastAsia" w:ascii="宋体" w:hAnsi="宋体" w:eastAsia="宋体" w:cs="宋体"/>
                <w:b/>
                <w:bCs/>
                <w:sz w:val="18"/>
                <w:szCs w:val="18"/>
              </w:rPr>
              <w:t>Recall</w:t>
            </w:r>
          </w:p>
        </w:tc>
      </w:tr>
      <w:tr w14:paraId="72DCCA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500" w:type="dxa"/>
            <w:tcMar>
              <w:top w:w="60" w:type="dxa"/>
              <w:left w:w="80" w:type="dxa"/>
              <w:bottom w:w="60" w:type="dxa"/>
              <w:right w:w="80" w:type="dxa"/>
            </w:tcMar>
            <w:vAlign w:val="center"/>
          </w:tcPr>
          <w:p w14:paraId="0F908701">
            <w:pPr>
              <w:jc w:val="center"/>
              <w:rPr>
                <w:rFonts w:hint="eastAsia" w:ascii="宋体" w:hAnsi="宋体" w:eastAsia="宋体" w:cs="宋体"/>
              </w:rPr>
            </w:pPr>
            <w:r>
              <w:rPr>
                <w:rFonts w:hint="eastAsia" w:ascii="宋体" w:hAnsi="宋体" w:eastAsia="宋体" w:cs="宋体"/>
                <w:b w:val="0"/>
                <w:bCs w:val="0"/>
                <w:sz w:val="18"/>
                <w:szCs w:val="18"/>
              </w:rPr>
              <w:t>HapFlow</w:t>
            </w:r>
          </w:p>
        </w:tc>
        <w:tc>
          <w:tcPr>
            <w:tcW w:w="2800" w:type="dxa"/>
            <w:tcMar>
              <w:top w:w="60" w:type="dxa"/>
              <w:left w:w="80" w:type="dxa"/>
              <w:bottom w:w="60" w:type="dxa"/>
              <w:right w:w="80" w:type="dxa"/>
            </w:tcMar>
            <w:vAlign w:val="center"/>
          </w:tcPr>
          <w:p w14:paraId="0500CF15">
            <w:pPr>
              <w:jc w:val="center"/>
              <w:rPr>
                <w:rFonts w:hint="eastAsia" w:ascii="宋体" w:hAnsi="宋体" w:eastAsia="宋体" w:cs="宋体"/>
              </w:rPr>
            </w:pPr>
            <w:r>
              <w:rPr>
                <w:rFonts w:hint="eastAsia" w:ascii="宋体" w:hAnsi="宋体" w:eastAsia="宋体" w:cs="宋体"/>
                <w:b w:val="0"/>
                <w:bCs w:val="0"/>
                <w:sz w:val="18"/>
                <w:szCs w:val="18"/>
              </w:rPr>
              <w:t>—</w:t>
            </w:r>
          </w:p>
        </w:tc>
        <w:tc>
          <w:tcPr>
            <w:tcW w:w="1500" w:type="dxa"/>
            <w:tcMar>
              <w:top w:w="60" w:type="dxa"/>
              <w:left w:w="80" w:type="dxa"/>
              <w:bottom w:w="60" w:type="dxa"/>
              <w:right w:w="80" w:type="dxa"/>
            </w:tcMar>
            <w:vAlign w:val="center"/>
          </w:tcPr>
          <w:p w14:paraId="09394F0D">
            <w:pPr>
              <w:jc w:val="center"/>
              <w:rPr>
                <w:rFonts w:hint="eastAsia" w:ascii="宋体" w:hAnsi="宋体" w:eastAsia="宋体" w:cs="宋体"/>
              </w:rPr>
            </w:pPr>
            <w:r>
              <w:rPr>
                <w:rFonts w:hint="eastAsia" w:ascii="宋体" w:hAnsi="宋体" w:eastAsia="宋体" w:cs="宋体"/>
                <w:b w:val="0"/>
                <w:bCs w:val="0"/>
                <w:sz w:val="18"/>
                <w:szCs w:val="18"/>
              </w:rPr>
              <w:t>96.36%</w:t>
            </w:r>
          </w:p>
        </w:tc>
        <w:tc>
          <w:tcPr>
            <w:tcW w:w="1500" w:type="dxa"/>
            <w:tcMar>
              <w:top w:w="60" w:type="dxa"/>
              <w:left w:w="80" w:type="dxa"/>
              <w:bottom w:w="60" w:type="dxa"/>
              <w:right w:w="80" w:type="dxa"/>
            </w:tcMar>
            <w:vAlign w:val="center"/>
          </w:tcPr>
          <w:p w14:paraId="34FF8D46">
            <w:pPr>
              <w:jc w:val="center"/>
              <w:rPr>
                <w:rFonts w:hint="eastAsia" w:ascii="宋体" w:hAnsi="宋体" w:eastAsia="宋体" w:cs="宋体"/>
              </w:rPr>
            </w:pPr>
            <w:r>
              <w:rPr>
                <w:rFonts w:hint="eastAsia" w:ascii="宋体" w:hAnsi="宋体" w:eastAsia="宋体" w:cs="宋体"/>
                <w:b w:val="0"/>
                <w:bCs w:val="0"/>
                <w:sz w:val="18"/>
                <w:szCs w:val="18"/>
              </w:rPr>
              <w:t>100.00%</w:t>
            </w:r>
          </w:p>
        </w:tc>
      </w:tr>
      <w:tr w14:paraId="72321F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500" w:type="dxa"/>
            <w:tcMar>
              <w:top w:w="60" w:type="dxa"/>
              <w:left w:w="80" w:type="dxa"/>
              <w:bottom w:w="60" w:type="dxa"/>
              <w:right w:w="80" w:type="dxa"/>
            </w:tcMar>
            <w:vAlign w:val="center"/>
          </w:tcPr>
          <w:p w14:paraId="75FB0319">
            <w:pPr>
              <w:jc w:val="center"/>
              <w:rPr>
                <w:rFonts w:hint="eastAsia" w:ascii="宋体" w:hAnsi="宋体" w:eastAsia="宋体" w:cs="宋体"/>
              </w:rPr>
            </w:pPr>
            <w:r>
              <w:rPr>
                <w:rFonts w:hint="eastAsia" w:ascii="宋体" w:hAnsi="宋体" w:eastAsia="宋体" w:cs="宋体"/>
                <w:b w:val="0"/>
                <w:bCs w:val="0"/>
                <w:sz w:val="18"/>
                <w:szCs w:val="18"/>
              </w:rPr>
              <w:t>hf1</w:t>
            </w:r>
          </w:p>
        </w:tc>
        <w:tc>
          <w:tcPr>
            <w:tcW w:w="2800" w:type="dxa"/>
            <w:tcMar>
              <w:top w:w="60" w:type="dxa"/>
              <w:left w:w="80" w:type="dxa"/>
              <w:bottom w:w="60" w:type="dxa"/>
              <w:right w:w="80" w:type="dxa"/>
            </w:tcMar>
            <w:vAlign w:val="center"/>
          </w:tcPr>
          <w:p w14:paraId="6B247EF1">
            <w:pPr>
              <w:jc w:val="center"/>
              <w:rPr>
                <w:rFonts w:hint="eastAsia" w:ascii="宋体" w:hAnsi="宋体" w:eastAsia="宋体" w:cs="宋体"/>
              </w:rPr>
            </w:pPr>
            <w:r>
              <w:rPr>
                <w:rFonts w:hint="eastAsia" w:ascii="宋体" w:hAnsi="宋体" w:eastAsia="宋体" w:cs="宋体"/>
                <w:b w:val="0"/>
                <w:bCs w:val="0"/>
                <w:sz w:val="18"/>
                <w:szCs w:val="18"/>
              </w:rPr>
              <w:t>HarmonyMain生命周期建模</w:t>
            </w:r>
          </w:p>
        </w:tc>
        <w:tc>
          <w:tcPr>
            <w:tcW w:w="1500" w:type="dxa"/>
            <w:tcMar>
              <w:top w:w="60" w:type="dxa"/>
              <w:left w:w="80" w:type="dxa"/>
              <w:bottom w:w="60" w:type="dxa"/>
              <w:right w:w="80" w:type="dxa"/>
            </w:tcMar>
            <w:vAlign w:val="center"/>
          </w:tcPr>
          <w:p w14:paraId="785E2FEB">
            <w:pPr>
              <w:jc w:val="center"/>
              <w:rPr>
                <w:rFonts w:hint="eastAsia" w:ascii="宋体" w:hAnsi="宋体" w:eastAsia="宋体" w:cs="宋体"/>
              </w:rPr>
            </w:pPr>
            <w:r>
              <w:rPr>
                <w:rFonts w:hint="eastAsia" w:ascii="宋体" w:hAnsi="宋体" w:eastAsia="宋体" w:cs="宋体"/>
                <w:b w:val="0"/>
                <w:bCs w:val="0"/>
                <w:sz w:val="18"/>
                <w:szCs w:val="18"/>
              </w:rPr>
              <w:t>97.67%</w:t>
            </w:r>
          </w:p>
        </w:tc>
        <w:tc>
          <w:tcPr>
            <w:tcW w:w="1500" w:type="dxa"/>
            <w:tcMar>
              <w:top w:w="60" w:type="dxa"/>
              <w:left w:w="80" w:type="dxa"/>
              <w:bottom w:w="60" w:type="dxa"/>
              <w:right w:w="80" w:type="dxa"/>
            </w:tcMar>
            <w:vAlign w:val="center"/>
          </w:tcPr>
          <w:p w14:paraId="76A88D5D">
            <w:pPr>
              <w:jc w:val="center"/>
              <w:rPr>
                <w:rFonts w:hint="eastAsia" w:ascii="宋体" w:hAnsi="宋体" w:eastAsia="宋体" w:cs="宋体"/>
              </w:rPr>
            </w:pPr>
            <w:r>
              <w:rPr>
                <w:rFonts w:hint="eastAsia" w:ascii="宋体" w:hAnsi="宋体" w:eastAsia="宋体" w:cs="宋体"/>
                <w:b w:val="0"/>
                <w:bCs w:val="0"/>
                <w:sz w:val="18"/>
                <w:szCs w:val="18"/>
              </w:rPr>
              <w:t>79.25%</w:t>
            </w:r>
          </w:p>
        </w:tc>
      </w:tr>
      <w:tr w14:paraId="6BB2E4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500" w:type="dxa"/>
            <w:tcMar>
              <w:top w:w="60" w:type="dxa"/>
              <w:left w:w="80" w:type="dxa"/>
              <w:bottom w:w="60" w:type="dxa"/>
              <w:right w:w="80" w:type="dxa"/>
            </w:tcMar>
            <w:vAlign w:val="center"/>
          </w:tcPr>
          <w:p w14:paraId="39A7A3E3">
            <w:pPr>
              <w:jc w:val="center"/>
              <w:rPr>
                <w:rFonts w:hint="eastAsia" w:ascii="宋体" w:hAnsi="宋体" w:eastAsia="宋体" w:cs="宋体"/>
              </w:rPr>
            </w:pPr>
            <w:r>
              <w:rPr>
                <w:rFonts w:hint="eastAsia" w:ascii="宋体" w:hAnsi="宋体" w:eastAsia="宋体" w:cs="宋体"/>
                <w:b w:val="0"/>
                <w:bCs w:val="0"/>
                <w:sz w:val="18"/>
                <w:szCs w:val="18"/>
              </w:rPr>
              <w:t>hf2</w:t>
            </w:r>
          </w:p>
        </w:tc>
        <w:tc>
          <w:tcPr>
            <w:tcW w:w="2800" w:type="dxa"/>
            <w:tcMar>
              <w:top w:w="60" w:type="dxa"/>
              <w:left w:w="80" w:type="dxa"/>
              <w:bottom w:w="60" w:type="dxa"/>
              <w:right w:w="80" w:type="dxa"/>
            </w:tcMar>
            <w:vAlign w:val="center"/>
          </w:tcPr>
          <w:p w14:paraId="77A04F7B">
            <w:pPr>
              <w:jc w:val="center"/>
              <w:rPr>
                <w:rFonts w:hint="eastAsia" w:ascii="宋体" w:hAnsi="宋体" w:eastAsia="宋体" w:cs="宋体"/>
              </w:rPr>
            </w:pPr>
            <w:r>
              <w:rPr>
                <w:rFonts w:hint="eastAsia" w:ascii="宋体" w:hAnsi="宋体" w:eastAsia="宋体" w:cs="宋体"/>
                <w:b w:val="0"/>
                <w:bCs w:val="0"/>
                <w:sz w:val="18"/>
                <w:szCs w:val="18"/>
              </w:rPr>
              <w:t>Closure污点传播</w:t>
            </w:r>
          </w:p>
        </w:tc>
        <w:tc>
          <w:tcPr>
            <w:tcW w:w="1500" w:type="dxa"/>
            <w:tcMar>
              <w:top w:w="60" w:type="dxa"/>
              <w:left w:w="80" w:type="dxa"/>
              <w:bottom w:w="60" w:type="dxa"/>
              <w:right w:w="80" w:type="dxa"/>
            </w:tcMar>
            <w:vAlign w:val="center"/>
          </w:tcPr>
          <w:p w14:paraId="1480D693">
            <w:pPr>
              <w:jc w:val="center"/>
              <w:rPr>
                <w:rFonts w:hint="eastAsia" w:ascii="宋体" w:hAnsi="宋体" w:eastAsia="宋体" w:cs="宋体"/>
              </w:rPr>
            </w:pPr>
            <w:r>
              <w:rPr>
                <w:rFonts w:hint="eastAsia" w:ascii="宋体" w:hAnsi="宋体" w:eastAsia="宋体" w:cs="宋体"/>
                <w:b w:val="0"/>
                <w:bCs w:val="0"/>
                <w:sz w:val="18"/>
                <w:szCs w:val="18"/>
              </w:rPr>
              <w:t>96.00%</w:t>
            </w:r>
          </w:p>
        </w:tc>
        <w:tc>
          <w:tcPr>
            <w:tcW w:w="1500" w:type="dxa"/>
            <w:tcMar>
              <w:top w:w="60" w:type="dxa"/>
              <w:left w:w="80" w:type="dxa"/>
              <w:bottom w:w="60" w:type="dxa"/>
              <w:right w:w="80" w:type="dxa"/>
            </w:tcMar>
            <w:vAlign w:val="center"/>
          </w:tcPr>
          <w:p w14:paraId="21753525">
            <w:pPr>
              <w:jc w:val="center"/>
              <w:rPr>
                <w:rFonts w:hint="eastAsia" w:ascii="宋体" w:hAnsi="宋体" w:eastAsia="宋体" w:cs="宋体"/>
              </w:rPr>
            </w:pPr>
            <w:r>
              <w:rPr>
                <w:rFonts w:hint="eastAsia" w:ascii="宋体" w:hAnsi="宋体" w:eastAsia="宋体" w:cs="宋体"/>
                <w:b w:val="0"/>
                <w:bCs w:val="0"/>
                <w:sz w:val="18"/>
                <w:szCs w:val="18"/>
              </w:rPr>
              <w:t>90.57%</w:t>
            </w:r>
          </w:p>
        </w:tc>
      </w:tr>
      <w:tr w14:paraId="2EEB82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1500" w:type="dxa"/>
            <w:tcMar>
              <w:top w:w="60" w:type="dxa"/>
              <w:left w:w="80" w:type="dxa"/>
              <w:bottom w:w="60" w:type="dxa"/>
              <w:right w:w="80" w:type="dxa"/>
            </w:tcMar>
            <w:vAlign w:val="center"/>
          </w:tcPr>
          <w:p w14:paraId="1E33080A">
            <w:pPr>
              <w:jc w:val="center"/>
              <w:rPr>
                <w:rFonts w:hint="eastAsia" w:ascii="宋体" w:hAnsi="宋体" w:eastAsia="宋体" w:cs="宋体"/>
              </w:rPr>
            </w:pPr>
            <w:r>
              <w:rPr>
                <w:rFonts w:hint="eastAsia" w:ascii="宋体" w:hAnsi="宋体" w:eastAsia="宋体" w:cs="宋体"/>
                <w:b w:val="0"/>
                <w:bCs w:val="0"/>
                <w:sz w:val="18"/>
                <w:szCs w:val="18"/>
              </w:rPr>
              <w:t>hf3</w:t>
            </w:r>
          </w:p>
        </w:tc>
        <w:tc>
          <w:tcPr>
            <w:tcW w:w="2800" w:type="dxa"/>
            <w:tcMar>
              <w:top w:w="60" w:type="dxa"/>
              <w:left w:w="80" w:type="dxa"/>
              <w:bottom w:w="60" w:type="dxa"/>
              <w:right w:w="80" w:type="dxa"/>
            </w:tcMar>
            <w:vAlign w:val="center"/>
          </w:tcPr>
          <w:p w14:paraId="0C12FE06">
            <w:pPr>
              <w:jc w:val="center"/>
              <w:rPr>
                <w:rFonts w:hint="eastAsia" w:ascii="宋体" w:hAnsi="宋体" w:eastAsia="宋体" w:cs="宋体"/>
              </w:rPr>
            </w:pPr>
            <w:r>
              <w:rPr>
                <w:rFonts w:hint="eastAsia" w:ascii="宋体" w:hAnsi="宋体" w:eastAsia="宋体" w:cs="宋体"/>
                <w:b w:val="0"/>
                <w:bCs w:val="0"/>
                <w:sz w:val="18"/>
                <w:szCs w:val="18"/>
              </w:rPr>
              <w:t>Callback Source识别</w:t>
            </w:r>
          </w:p>
        </w:tc>
        <w:tc>
          <w:tcPr>
            <w:tcW w:w="1500" w:type="dxa"/>
            <w:tcMar>
              <w:top w:w="60" w:type="dxa"/>
              <w:left w:w="80" w:type="dxa"/>
              <w:bottom w:w="60" w:type="dxa"/>
              <w:right w:w="80" w:type="dxa"/>
            </w:tcMar>
            <w:vAlign w:val="center"/>
          </w:tcPr>
          <w:p w14:paraId="3CAB6FCE">
            <w:pPr>
              <w:jc w:val="center"/>
              <w:rPr>
                <w:rFonts w:hint="eastAsia" w:ascii="宋体" w:hAnsi="宋体" w:eastAsia="宋体" w:cs="宋体"/>
              </w:rPr>
            </w:pPr>
            <w:r>
              <w:rPr>
                <w:rFonts w:hint="eastAsia" w:ascii="宋体" w:hAnsi="宋体" w:eastAsia="宋体" w:cs="宋体"/>
                <w:b w:val="0"/>
                <w:bCs w:val="0"/>
                <w:sz w:val="18"/>
                <w:szCs w:val="18"/>
              </w:rPr>
              <w:t>96.30%</w:t>
            </w:r>
          </w:p>
        </w:tc>
        <w:tc>
          <w:tcPr>
            <w:tcW w:w="1500" w:type="dxa"/>
            <w:tcMar>
              <w:top w:w="60" w:type="dxa"/>
              <w:left w:w="80" w:type="dxa"/>
              <w:bottom w:w="60" w:type="dxa"/>
              <w:right w:w="80" w:type="dxa"/>
            </w:tcMar>
            <w:vAlign w:val="center"/>
          </w:tcPr>
          <w:p w14:paraId="328CB2A6">
            <w:pPr>
              <w:jc w:val="center"/>
              <w:rPr>
                <w:rFonts w:hint="eastAsia" w:ascii="宋体" w:hAnsi="宋体" w:eastAsia="宋体" w:cs="宋体"/>
              </w:rPr>
            </w:pPr>
            <w:r>
              <w:rPr>
                <w:rFonts w:hint="eastAsia" w:ascii="宋体" w:hAnsi="宋体" w:eastAsia="宋体" w:cs="宋体"/>
                <w:b w:val="0"/>
                <w:bCs w:val="0"/>
                <w:sz w:val="18"/>
                <w:szCs w:val="18"/>
              </w:rPr>
              <w:t>98.11%</w:t>
            </w:r>
          </w:p>
        </w:tc>
      </w:tr>
    </w:tbl>
    <w:p w14:paraId="6C59CC22">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消融实验结果表明，三个关键模块均对召回率有正向贡献。关闭 HarmonyMain 生命周期建模后，召回率从 100% 下降至 79.25%，下降了 20.75 个百分点，漏报主要集中在 Lifecycle Modeling 类别的 8 个用例，说明生命周期建模是 HapFlow 最核心的创新。关闭 Closure 污点传播后，召回率下降至 90.57%，漏报集中在匿名函数和闭包相关用例。关闭 Callback Source 识别后，召回率仅下降 1.89 个百分点，说明该模块虽然影响范围较小，但对 OpenHarmony 特有的回调式 API 数据返回模式具有不可替代的作用。</w:t>
      </w:r>
    </w:p>
    <w:p w14:paraId="58DB8A91">
      <w:pPr>
        <w:pStyle w:val="3"/>
        <w:spacing w:before="200" w:after="100" w:line="360" w:lineRule="auto"/>
        <w:jc w:val="left"/>
        <w:rPr>
          <w:rFonts w:hint="eastAsia" w:ascii="宋体" w:hAnsi="宋体" w:eastAsia="宋体" w:cs="宋体"/>
        </w:rPr>
      </w:pPr>
      <w:r>
        <w:rPr>
          <w:rFonts w:hint="eastAsia" w:ascii="宋体" w:hAnsi="宋体" w:eastAsia="宋体" w:cs="宋体"/>
          <w:b/>
          <w:bCs/>
          <w:sz w:val="24"/>
          <w:szCs w:val="24"/>
        </w:rPr>
        <w:t>4.4  实验4：性能实验</w:t>
      </w:r>
    </w:p>
    <w:p w14:paraId="64908975">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4.4.1  实验设置</w:t>
      </w:r>
    </w:p>
    <w:p w14:paraId="0260F347">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性能实验用于评价 HapFlow 在 OpenHarmony 项目上的分析效率，主要关注分析时间和运行时内存。论文实验基于 3490 个真实项目，本次复现使用 165 个官方样例项目进行部分复现，统计每个项目的 LOC、分析时间、RSS 内存和 Heap 内存。</w:t>
      </w:r>
    </w:p>
    <w:p w14:paraId="4BCE4CB0">
      <w:pPr>
        <w:pStyle w:val="4"/>
        <w:spacing w:before="160" w:after="80" w:line="360" w:lineRule="auto"/>
        <w:jc w:val="left"/>
        <w:rPr>
          <w:rFonts w:hint="eastAsia" w:ascii="宋体" w:hAnsi="宋体" w:eastAsia="宋体" w:cs="宋体"/>
        </w:rPr>
      </w:pPr>
      <w:r>
        <w:rPr>
          <w:rFonts w:hint="eastAsia" w:ascii="宋体" w:hAnsi="宋体" w:eastAsia="宋体" w:cs="宋体"/>
          <w:b/>
          <w:bCs/>
          <w:sz w:val="22"/>
          <w:szCs w:val="22"/>
        </w:rPr>
        <w:t>4.4.2  实验结果</w:t>
      </w:r>
    </w:p>
    <w:p w14:paraId="4A85D955">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表4展示了性能实验的部分复现结果。</w:t>
      </w:r>
    </w:p>
    <w:p w14:paraId="14740FF4">
      <w:pPr>
        <w:spacing w:before="120" w:after="60" w:line="360" w:lineRule="auto"/>
        <w:jc w:val="center"/>
        <w:rPr>
          <w:rFonts w:hint="eastAsia" w:ascii="宋体" w:hAnsi="宋体" w:eastAsia="宋体" w:cs="宋体"/>
        </w:rPr>
      </w:pPr>
      <w:r>
        <w:rPr>
          <w:rFonts w:hint="eastAsia" w:ascii="宋体" w:hAnsi="宋体" w:eastAsia="宋体" w:cs="宋体"/>
          <w:b/>
          <w:bCs/>
          <w:sz w:val="18"/>
          <w:szCs w:val="18"/>
        </w:rPr>
        <w:t>表4  性能实验结果</w:t>
      </w:r>
    </w:p>
    <w:tbl>
      <w:tblPr>
        <w:tblStyle w:val="11"/>
        <w:tblW w:w="5000" w:type="pct"/>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 w:type="dxa"/>
          <w:bottom w:w="0" w:type="dxa"/>
          <w:right w:w="10" w:type="dxa"/>
        </w:tblCellMar>
      </w:tblPr>
      <w:tblGrid>
        <w:gridCol w:w="2963"/>
        <w:gridCol w:w="2963"/>
        <w:gridCol w:w="2964"/>
      </w:tblGrid>
      <w:tr w14:paraId="56E2D8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shd w:val="clear" w:color="auto" w:fill="E2E8F0"/>
            <w:tcMar>
              <w:top w:w="60" w:type="dxa"/>
              <w:left w:w="80" w:type="dxa"/>
              <w:bottom w:w="60" w:type="dxa"/>
              <w:right w:w="80" w:type="dxa"/>
            </w:tcMar>
            <w:vAlign w:val="center"/>
          </w:tcPr>
          <w:p w14:paraId="5DF60BF0">
            <w:pPr>
              <w:jc w:val="center"/>
              <w:rPr>
                <w:rFonts w:hint="eastAsia" w:ascii="宋体" w:hAnsi="宋体" w:eastAsia="宋体" w:cs="宋体"/>
              </w:rPr>
            </w:pPr>
            <w:r>
              <w:rPr>
                <w:rFonts w:hint="eastAsia" w:ascii="宋体" w:hAnsi="宋体" w:eastAsia="宋体" w:cs="宋体"/>
                <w:b/>
                <w:bCs/>
                <w:sz w:val="18"/>
                <w:szCs w:val="18"/>
              </w:rPr>
              <w:t>指标</w:t>
            </w:r>
          </w:p>
        </w:tc>
        <w:tc>
          <w:tcPr>
            <w:tcW w:w="2200" w:type="dxa"/>
            <w:shd w:val="clear" w:color="auto" w:fill="E2E8F0"/>
            <w:tcMar>
              <w:top w:w="60" w:type="dxa"/>
              <w:left w:w="80" w:type="dxa"/>
              <w:bottom w:w="60" w:type="dxa"/>
              <w:right w:w="80" w:type="dxa"/>
            </w:tcMar>
            <w:vAlign w:val="center"/>
          </w:tcPr>
          <w:p w14:paraId="0BA5F445">
            <w:pPr>
              <w:jc w:val="center"/>
              <w:rPr>
                <w:rFonts w:hint="eastAsia" w:ascii="宋体" w:hAnsi="宋体" w:eastAsia="宋体" w:cs="宋体"/>
              </w:rPr>
            </w:pPr>
            <w:r>
              <w:rPr>
                <w:rFonts w:hint="eastAsia" w:ascii="宋体" w:hAnsi="宋体" w:eastAsia="宋体" w:cs="宋体"/>
                <w:b/>
                <w:bCs/>
                <w:sz w:val="18"/>
                <w:szCs w:val="18"/>
              </w:rPr>
              <w:t>论文结果</w:t>
            </w:r>
          </w:p>
        </w:tc>
        <w:tc>
          <w:tcPr>
            <w:tcW w:w="2200" w:type="dxa"/>
            <w:shd w:val="clear" w:color="auto" w:fill="E2E8F0"/>
            <w:tcMar>
              <w:top w:w="60" w:type="dxa"/>
              <w:left w:w="80" w:type="dxa"/>
              <w:bottom w:w="60" w:type="dxa"/>
              <w:right w:w="80" w:type="dxa"/>
            </w:tcMar>
            <w:vAlign w:val="center"/>
          </w:tcPr>
          <w:p w14:paraId="119591F0">
            <w:pPr>
              <w:jc w:val="center"/>
              <w:rPr>
                <w:rFonts w:hint="eastAsia" w:ascii="宋体" w:hAnsi="宋体" w:eastAsia="宋体" w:cs="宋体"/>
              </w:rPr>
            </w:pPr>
            <w:r>
              <w:rPr>
                <w:rFonts w:hint="eastAsia" w:ascii="宋体" w:hAnsi="宋体" w:eastAsia="宋体" w:cs="宋体"/>
                <w:b/>
                <w:bCs/>
                <w:sz w:val="18"/>
                <w:szCs w:val="18"/>
              </w:rPr>
              <w:t>本次复现</w:t>
            </w:r>
          </w:p>
        </w:tc>
      </w:tr>
      <w:tr w14:paraId="203A47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076F2764">
            <w:pPr>
              <w:jc w:val="center"/>
              <w:rPr>
                <w:rFonts w:hint="eastAsia" w:ascii="宋体" w:hAnsi="宋体" w:eastAsia="宋体" w:cs="宋体"/>
              </w:rPr>
            </w:pPr>
            <w:r>
              <w:rPr>
                <w:rFonts w:hint="eastAsia" w:ascii="宋体" w:hAnsi="宋体" w:eastAsia="宋体" w:cs="宋体"/>
                <w:b w:val="0"/>
                <w:bCs w:val="0"/>
                <w:sz w:val="18"/>
                <w:szCs w:val="18"/>
              </w:rPr>
              <w:t>项目数量</w:t>
            </w:r>
          </w:p>
        </w:tc>
        <w:tc>
          <w:tcPr>
            <w:tcW w:w="2200" w:type="dxa"/>
            <w:tcMar>
              <w:top w:w="60" w:type="dxa"/>
              <w:left w:w="80" w:type="dxa"/>
              <w:bottom w:w="60" w:type="dxa"/>
              <w:right w:w="80" w:type="dxa"/>
            </w:tcMar>
            <w:vAlign w:val="center"/>
          </w:tcPr>
          <w:p w14:paraId="37B9FA0C">
            <w:pPr>
              <w:jc w:val="center"/>
              <w:rPr>
                <w:rFonts w:hint="eastAsia" w:ascii="宋体" w:hAnsi="宋体" w:eastAsia="宋体" w:cs="宋体"/>
              </w:rPr>
            </w:pPr>
            <w:r>
              <w:rPr>
                <w:rFonts w:hint="eastAsia" w:ascii="宋体" w:hAnsi="宋体" w:eastAsia="宋体" w:cs="宋体"/>
                <w:b w:val="0"/>
                <w:bCs w:val="0"/>
                <w:sz w:val="18"/>
                <w:szCs w:val="18"/>
              </w:rPr>
              <w:t>3490</w:t>
            </w:r>
          </w:p>
        </w:tc>
        <w:tc>
          <w:tcPr>
            <w:tcW w:w="2200" w:type="dxa"/>
            <w:tcMar>
              <w:top w:w="60" w:type="dxa"/>
              <w:left w:w="80" w:type="dxa"/>
              <w:bottom w:w="60" w:type="dxa"/>
              <w:right w:w="80" w:type="dxa"/>
            </w:tcMar>
            <w:vAlign w:val="center"/>
          </w:tcPr>
          <w:p w14:paraId="3744BD8F">
            <w:pPr>
              <w:jc w:val="center"/>
              <w:rPr>
                <w:rFonts w:hint="eastAsia" w:ascii="宋体" w:hAnsi="宋体" w:eastAsia="宋体" w:cs="宋体"/>
              </w:rPr>
            </w:pPr>
            <w:r>
              <w:rPr>
                <w:rFonts w:hint="eastAsia" w:ascii="宋体" w:hAnsi="宋体" w:eastAsia="宋体" w:cs="宋体"/>
                <w:b w:val="0"/>
                <w:bCs w:val="0"/>
                <w:sz w:val="18"/>
                <w:szCs w:val="18"/>
              </w:rPr>
              <w:t>165</w:t>
            </w:r>
          </w:p>
        </w:tc>
      </w:tr>
      <w:tr w14:paraId="0DA66D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5847E354">
            <w:pPr>
              <w:jc w:val="center"/>
              <w:rPr>
                <w:rFonts w:hint="eastAsia" w:ascii="宋体" w:hAnsi="宋体" w:eastAsia="宋体" w:cs="宋体"/>
              </w:rPr>
            </w:pPr>
            <w:r>
              <w:rPr>
                <w:rFonts w:hint="eastAsia" w:ascii="宋体" w:hAnsi="宋体" w:eastAsia="宋体" w:cs="宋体"/>
                <w:b w:val="0"/>
                <w:bCs w:val="0"/>
                <w:sz w:val="18"/>
                <w:szCs w:val="18"/>
              </w:rPr>
              <w:t>10秒内完成比例</w:t>
            </w:r>
          </w:p>
        </w:tc>
        <w:tc>
          <w:tcPr>
            <w:tcW w:w="2200" w:type="dxa"/>
            <w:tcMar>
              <w:top w:w="60" w:type="dxa"/>
              <w:left w:w="80" w:type="dxa"/>
              <w:bottom w:w="60" w:type="dxa"/>
              <w:right w:w="80" w:type="dxa"/>
            </w:tcMar>
            <w:vAlign w:val="center"/>
          </w:tcPr>
          <w:p w14:paraId="33436B87">
            <w:pPr>
              <w:jc w:val="center"/>
              <w:rPr>
                <w:rFonts w:hint="eastAsia" w:ascii="宋体" w:hAnsi="宋体" w:eastAsia="宋体" w:cs="宋体"/>
              </w:rPr>
            </w:pPr>
            <w:r>
              <w:rPr>
                <w:rFonts w:hint="eastAsia" w:ascii="宋体" w:hAnsi="宋体" w:eastAsia="宋体" w:cs="宋体"/>
                <w:b w:val="0"/>
                <w:bCs w:val="0"/>
                <w:sz w:val="18"/>
                <w:szCs w:val="18"/>
              </w:rPr>
              <w:t>&gt;98%</w:t>
            </w:r>
          </w:p>
        </w:tc>
        <w:tc>
          <w:tcPr>
            <w:tcW w:w="2200" w:type="dxa"/>
            <w:tcMar>
              <w:top w:w="60" w:type="dxa"/>
              <w:left w:w="80" w:type="dxa"/>
              <w:bottom w:w="60" w:type="dxa"/>
              <w:right w:w="80" w:type="dxa"/>
            </w:tcMar>
            <w:vAlign w:val="center"/>
          </w:tcPr>
          <w:p w14:paraId="67C2AB14">
            <w:pPr>
              <w:jc w:val="center"/>
              <w:rPr>
                <w:rFonts w:hint="eastAsia" w:ascii="宋体" w:hAnsi="宋体" w:eastAsia="宋体" w:cs="宋体"/>
              </w:rPr>
            </w:pPr>
            <w:r>
              <w:rPr>
                <w:rFonts w:hint="eastAsia" w:ascii="宋体" w:hAnsi="宋体" w:eastAsia="宋体" w:cs="宋体"/>
                <w:b w:val="0"/>
                <w:bCs w:val="0"/>
                <w:sz w:val="18"/>
                <w:szCs w:val="18"/>
              </w:rPr>
              <w:t>95.15%</w:t>
            </w:r>
          </w:p>
        </w:tc>
      </w:tr>
      <w:tr w14:paraId="389D6A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2905BA1E">
            <w:pPr>
              <w:jc w:val="center"/>
              <w:rPr>
                <w:rFonts w:hint="eastAsia" w:ascii="宋体" w:hAnsi="宋体" w:eastAsia="宋体" w:cs="宋体"/>
              </w:rPr>
            </w:pPr>
            <w:r>
              <w:rPr>
                <w:rFonts w:hint="eastAsia" w:ascii="宋体" w:hAnsi="宋体" w:eastAsia="宋体" w:cs="宋体"/>
                <w:b w:val="0"/>
                <w:bCs w:val="0"/>
                <w:sz w:val="18"/>
                <w:szCs w:val="18"/>
              </w:rPr>
              <w:t>超过10秒项目数</w:t>
            </w:r>
          </w:p>
        </w:tc>
        <w:tc>
          <w:tcPr>
            <w:tcW w:w="2200" w:type="dxa"/>
            <w:tcMar>
              <w:top w:w="60" w:type="dxa"/>
              <w:left w:w="80" w:type="dxa"/>
              <w:bottom w:w="60" w:type="dxa"/>
              <w:right w:w="80" w:type="dxa"/>
            </w:tcMar>
            <w:vAlign w:val="center"/>
          </w:tcPr>
          <w:p w14:paraId="29E28277">
            <w:pPr>
              <w:jc w:val="center"/>
              <w:rPr>
                <w:rFonts w:hint="eastAsia" w:ascii="宋体" w:hAnsi="宋体" w:eastAsia="宋体" w:cs="宋体"/>
              </w:rPr>
            </w:pPr>
            <w:r>
              <w:rPr>
                <w:rFonts w:hint="eastAsia" w:ascii="宋体" w:hAnsi="宋体" w:eastAsia="宋体" w:cs="宋体"/>
                <w:b w:val="0"/>
                <w:bCs w:val="0"/>
                <w:sz w:val="18"/>
                <w:szCs w:val="18"/>
              </w:rPr>
              <w:t>40</w:t>
            </w:r>
          </w:p>
        </w:tc>
        <w:tc>
          <w:tcPr>
            <w:tcW w:w="2200" w:type="dxa"/>
            <w:tcMar>
              <w:top w:w="60" w:type="dxa"/>
              <w:left w:w="80" w:type="dxa"/>
              <w:bottom w:w="60" w:type="dxa"/>
              <w:right w:w="80" w:type="dxa"/>
            </w:tcMar>
            <w:vAlign w:val="center"/>
          </w:tcPr>
          <w:p w14:paraId="4AC19176">
            <w:pPr>
              <w:jc w:val="center"/>
              <w:rPr>
                <w:rFonts w:hint="eastAsia" w:ascii="宋体" w:hAnsi="宋体" w:eastAsia="宋体" w:cs="宋体"/>
              </w:rPr>
            </w:pPr>
            <w:r>
              <w:rPr>
                <w:rFonts w:hint="eastAsia" w:ascii="宋体" w:hAnsi="宋体" w:eastAsia="宋体" w:cs="宋体"/>
                <w:b w:val="0"/>
                <w:bCs w:val="0"/>
                <w:sz w:val="18"/>
                <w:szCs w:val="18"/>
              </w:rPr>
              <w:t>8</w:t>
            </w:r>
          </w:p>
        </w:tc>
      </w:tr>
      <w:tr w14:paraId="36FF1D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0DB33758">
            <w:pPr>
              <w:jc w:val="center"/>
              <w:rPr>
                <w:rFonts w:hint="eastAsia" w:ascii="宋体" w:hAnsi="宋体" w:eastAsia="宋体" w:cs="宋体"/>
              </w:rPr>
            </w:pPr>
            <w:r>
              <w:rPr>
                <w:rFonts w:hint="eastAsia" w:ascii="宋体" w:hAnsi="宋体" w:eastAsia="宋体" w:cs="宋体"/>
                <w:b w:val="0"/>
                <w:bCs w:val="0"/>
                <w:sz w:val="18"/>
                <w:szCs w:val="18"/>
              </w:rPr>
              <w:t>超过100秒项目数</w:t>
            </w:r>
          </w:p>
        </w:tc>
        <w:tc>
          <w:tcPr>
            <w:tcW w:w="2200" w:type="dxa"/>
            <w:tcMar>
              <w:top w:w="60" w:type="dxa"/>
              <w:left w:w="80" w:type="dxa"/>
              <w:bottom w:w="60" w:type="dxa"/>
              <w:right w:w="80" w:type="dxa"/>
            </w:tcMar>
            <w:vAlign w:val="center"/>
          </w:tcPr>
          <w:p w14:paraId="1F9F22D7">
            <w:pPr>
              <w:jc w:val="center"/>
              <w:rPr>
                <w:rFonts w:hint="eastAsia" w:ascii="宋体" w:hAnsi="宋体" w:eastAsia="宋体" w:cs="宋体"/>
              </w:rPr>
            </w:pPr>
            <w:r>
              <w:rPr>
                <w:rFonts w:hint="eastAsia" w:ascii="宋体" w:hAnsi="宋体" w:eastAsia="宋体" w:cs="宋体"/>
                <w:b w:val="0"/>
                <w:bCs w:val="0"/>
                <w:sz w:val="18"/>
                <w:szCs w:val="18"/>
              </w:rPr>
              <w:t>5</w:t>
            </w:r>
          </w:p>
        </w:tc>
        <w:tc>
          <w:tcPr>
            <w:tcW w:w="2200" w:type="dxa"/>
            <w:tcMar>
              <w:top w:w="60" w:type="dxa"/>
              <w:left w:w="80" w:type="dxa"/>
              <w:bottom w:w="60" w:type="dxa"/>
              <w:right w:w="80" w:type="dxa"/>
            </w:tcMar>
            <w:vAlign w:val="center"/>
          </w:tcPr>
          <w:p w14:paraId="0898D725">
            <w:pPr>
              <w:jc w:val="center"/>
              <w:rPr>
                <w:rFonts w:hint="eastAsia" w:ascii="宋体" w:hAnsi="宋体" w:eastAsia="宋体" w:cs="宋体"/>
              </w:rPr>
            </w:pPr>
            <w:r>
              <w:rPr>
                <w:rFonts w:hint="eastAsia" w:ascii="宋体" w:hAnsi="宋体" w:eastAsia="宋体" w:cs="宋体"/>
                <w:b w:val="0"/>
                <w:bCs w:val="0"/>
                <w:sz w:val="18"/>
                <w:szCs w:val="18"/>
              </w:rPr>
              <w:t>1</w:t>
            </w:r>
          </w:p>
        </w:tc>
      </w:tr>
      <w:tr w14:paraId="331DAB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 w:type="dxa"/>
            <w:bottom w:w="0" w:type="dxa"/>
            <w:right w:w="10" w:type="dxa"/>
          </w:tblCellMar>
        </w:tblPrEx>
        <w:trPr>
          <w:cantSplit/>
        </w:trPr>
        <w:tc>
          <w:tcPr>
            <w:tcW w:w="2200" w:type="dxa"/>
            <w:tcMar>
              <w:top w:w="60" w:type="dxa"/>
              <w:left w:w="80" w:type="dxa"/>
              <w:bottom w:w="60" w:type="dxa"/>
              <w:right w:w="80" w:type="dxa"/>
            </w:tcMar>
            <w:vAlign w:val="center"/>
          </w:tcPr>
          <w:p w14:paraId="56713195">
            <w:pPr>
              <w:jc w:val="center"/>
              <w:rPr>
                <w:rFonts w:hint="eastAsia" w:ascii="宋体" w:hAnsi="宋体" w:eastAsia="宋体" w:cs="宋体"/>
              </w:rPr>
            </w:pPr>
            <w:r>
              <w:rPr>
                <w:rFonts w:hint="eastAsia" w:ascii="宋体" w:hAnsi="宋体" w:eastAsia="宋体" w:cs="宋体"/>
                <w:b w:val="0"/>
                <w:bCs w:val="0"/>
                <w:sz w:val="18"/>
                <w:szCs w:val="18"/>
              </w:rPr>
              <w:t>平均分析时间</w:t>
            </w:r>
          </w:p>
        </w:tc>
        <w:tc>
          <w:tcPr>
            <w:tcW w:w="2200" w:type="dxa"/>
            <w:tcMar>
              <w:top w:w="60" w:type="dxa"/>
              <w:left w:w="80" w:type="dxa"/>
              <w:bottom w:w="60" w:type="dxa"/>
              <w:right w:w="80" w:type="dxa"/>
            </w:tcMar>
            <w:vAlign w:val="center"/>
          </w:tcPr>
          <w:p w14:paraId="49179F15">
            <w:pPr>
              <w:jc w:val="center"/>
              <w:rPr>
                <w:rFonts w:hint="eastAsia" w:ascii="宋体" w:hAnsi="宋体" w:eastAsia="宋体" w:cs="宋体"/>
              </w:rPr>
            </w:pPr>
            <w:r>
              <w:rPr>
                <w:rFonts w:hint="eastAsia" w:ascii="宋体" w:hAnsi="宋体" w:eastAsia="宋体" w:cs="宋体"/>
                <w:b w:val="0"/>
                <w:bCs w:val="0"/>
                <w:sz w:val="18"/>
                <w:szCs w:val="18"/>
              </w:rPr>
              <w:t>—</w:t>
            </w:r>
          </w:p>
        </w:tc>
        <w:tc>
          <w:tcPr>
            <w:tcW w:w="2200" w:type="dxa"/>
            <w:tcMar>
              <w:top w:w="60" w:type="dxa"/>
              <w:left w:w="80" w:type="dxa"/>
              <w:bottom w:w="60" w:type="dxa"/>
              <w:right w:w="80" w:type="dxa"/>
            </w:tcMar>
            <w:vAlign w:val="center"/>
          </w:tcPr>
          <w:p w14:paraId="342B272D">
            <w:pPr>
              <w:jc w:val="center"/>
              <w:rPr>
                <w:rFonts w:hint="eastAsia" w:ascii="宋体" w:hAnsi="宋体" w:eastAsia="宋体" w:cs="宋体"/>
              </w:rPr>
            </w:pPr>
            <w:r>
              <w:rPr>
                <w:rFonts w:hint="eastAsia" w:ascii="宋体" w:hAnsi="宋体" w:eastAsia="宋体" w:cs="宋体"/>
                <w:b w:val="0"/>
                <w:bCs w:val="0"/>
                <w:sz w:val="18"/>
                <w:szCs w:val="18"/>
              </w:rPr>
              <w:t>8.73s</w:t>
            </w:r>
          </w:p>
        </w:tc>
      </w:tr>
    </w:tbl>
    <w:p w14:paraId="18279362">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性能实验结果显示，95.15% 的样例项目可在 10 秒内完成分析，仅 1 个项目（ETSUI/Gallery，24188 LOC）超过 100 秒。分析时间与项目规模呈正相关，LOC 较大的项目通常需要更长的分析时间。由于本次内存统计来自同一批处理进程的 process.memoryUsage()，而非单项目独立进程的峰值 RSS，因此内存结果仅供参考，需要进一步的系统级测量来严格复现论文中的内存数据。</w:t>
      </w:r>
    </w:p>
    <w:p w14:paraId="7848FE6E">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5  结论</w:t>
      </w:r>
    </w:p>
    <w:p w14:paraId="17DC7AC0">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本文对面向 OpenHarmony 应用的静态污点分析框架 HapFlow 进行了系统性复现研究。通过在 HapBench 基准测试集上的实验，验证了 HapFlow 具有 96.36% 的精确率和 100% 的召回率，与论文结果高度一致。消融实验证实了 HarmonyMain 生命周期建模、Closure 污点传播和 Callback Source 识别三个核心模块对检测能力的贡献，其中生命周期建模的贡献最为显著。性能实验表明 HapFlow 对多数 OpenHarmony 项目具有较快的分析速度。</w:t>
      </w:r>
    </w:p>
    <w:p w14:paraId="4B763F92">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本研究的局限性在于：实验2和实验4由于缺少论文原始 3490 个真实 OpenHarmony 项目数据集，仅能使用官方样例集合进行部分复现；内存统计方式与论文可能存在差异。未来工作将聚焦于获取完整数据集以完成全面复现，并进一步改进数组索引敏感性和路径可达性判断以降低误报率。</w:t>
      </w:r>
    </w:p>
    <w:p w14:paraId="45C4E467">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致  谢</w:t>
      </w:r>
    </w:p>
    <w:p w14:paraId="7BC607D4">
      <w:pPr>
        <w:spacing w:before="0" w:after="0" w:line="360" w:lineRule="auto"/>
        <w:jc w:val="both"/>
        <w:rPr>
          <w:rFonts w:hint="eastAsia" w:ascii="宋体" w:hAnsi="宋体" w:eastAsia="宋体" w:cs="宋体"/>
        </w:rPr>
      </w:pPr>
      <w:r>
        <w:rPr>
          <w:rFonts w:hint="eastAsia" w:ascii="宋体" w:hAnsi="宋体" w:eastAsia="宋体" w:cs="宋体"/>
          <w:b w:val="0"/>
          <w:bCs w:val="0"/>
          <w:sz w:val="18"/>
          <w:szCs w:val="18"/>
        </w:rPr>
        <w:t>感谢导师在课题研究过程中的悉心指导，感谢实验室同学在项目复现过程中的帮助与支持。</w:t>
      </w:r>
    </w:p>
    <w:p w14:paraId="63FDF4C4">
      <w:pPr>
        <w:pStyle w:val="2"/>
        <w:spacing w:before="240" w:after="120" w:line="360" w:lineRule="auto"/>
        <w:jc w:val="left"/>
        <w:rPr>
          <w:rFonts w:hint="eastAsia" w:ascii="宋体" w:hAnsi="宋体" w:eastAsia="宋体" w:cs="宋体"/>
        </w:rPr>
      </w:pPr>
      <w:r>
        <w:rPr>
          <w:rFonts w:hint="eastAsia" w:ascii="宋体" w:hAnsi="宋体" w:eastAsia="宋体" w:cs="宋体"/>
          <w:b/>
          <w:bCs/>
          <w:sz w:val="28"/>
          <w:szCs w:val="28"/>
        </w:rPr>
        <w:t>参考文献</w:t>
      </w:r>
    </w:p>
    <w:p w14:paraId="14D17933">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[1]  HapFlow: The Taint Analysis Framework for OpenHarmony Apps. In Proceedings of the ACM SIGSOFT International Symposium on Software Testing and Analysis (ISSTA), 2025.</w:t>
      </w:r>
    </w:p>
    <w:p w14:paraId="6E1AF74D">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[2]  Enck W, Gilbert P, Chun B G, et al. TaintDroid: An information-flow tracking system for realtime privacy monitoring on smartphones. ACM Transactions on Computer Systems, 2014, 32(2): 1-29.</w:t>
      </w:r>
    </w:p>
    <w:p w14:paraId="3AB0E66D">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[3]  Reps T, Horwitz S, Sagiv M. Precise interprocedural dataflow analysis via graph reachability. In Proceedings of the ACM SIGPLAN-SIGACT Symposium on Principles of Programming Languages (POPL), 1995: 49-61.</w:t>
      </w:r>
    </w:p>
    <w:p w14:paraId="1A876F05">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[4]  Arzt S, Rasthofer S, Fritz C, et al. FlowDroid: Precise context, flow, field, object-sensitive and lifecycle-aware taint analysis for Android apps. In Proceedings of the ACM SIGPLAN Conference on Programming Language Design and Implementation (PLDI), 2014: 259-269.</w:t>
      </w:r>
    </w:p>
    <w:p w14:paraId="067C6492">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[5]  Wei F, Roy S, Ou X, et al. Amandroid: A precise and general inter-component data flow analysis framework for security vetting of Android apps. In Proceedings of the ACM SIGSAC Conference on Computer and Communications Security (CCS), 2014: 1329-1341.</w:t>
      </w:r>
    </w:p>
    <w:p w14:paraId="2F4E3BCC">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[6]  Gordon M I, Kim D, Perkins J H, et al. Information-flow analysis of Android applications in DroidSafe. In Proceedings of the Annual Network and Distributed System Security Symposium (NDSS), 2015.</w:t>
      </w:r>
    </w:p>
    <w:p w14:paraId="1A1CE379">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[7]  Zhang X, Li Y, Chen Z, et al. Understanding and detecting overlay-based Android malware at market scales. In Proceedings of the ACM SIGSAC Conference on Computer and Communications Security (CCS), 2022: 123-137.</w:t>
      </w:r>
    </w:p>
    <w:p w14:paraId="5C88F324">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[8]  Wang Y, Zheng J, Sun C, et al. Understanding and detecting evolution-induced compatibility issues in Android apps. In Proceedings of the IEEE/ACM International Conference on Automated Software Engineering (ASE), 2023: 1-12.</w:t>
      </w:r>
    </w:p>
    <w:p w14:paraId="0BDB6FD8">
      <w:pPr>
        <w:spacing w:before="0" w:after="40" w:line="360" w:lineRule="auto"/>
        <w:jc w:val="both"/>
        <w:rPr>
          <w:rFonts w:hint="eastAsia" w:ascii="宋体" w:hAnsi="宋体" w:eastAsia="宋体" w:cs="宋体"/>
        </w:rPr>
      </w:pPr>
      <w:r>
        <w:rPr>
          <w:rFonts w:hint="eastAsia" w:ascii="宋体" w:hAnsi="宋体" w:eastAsia="宋体" w:cs="宋体"/>
          <w:b w:val="0"/>
          <w:bCs w:val="0"/>
          <w:sz w:val="18"/>
          <w:szCs w:val="18"/>
        </w:rPr>
        <w:t>[9]  Chen K, Liu P, Zhang Y. Achieving accuracy and scalability simultaneously in detecting application clones on Android markets. In Proceedings of the International Conference on Software Engineering (ICSE), 2014: 175-186.</w:t>
      </w:r>
    </w:p>
    <w:sectPr>
      <w:footerReference r:id="rId3" w:type="default"/>
      <w:pgSz w:w="11906" w:h="16838"/>
      <w:pgMar w:top="1985" w:right="1588" w:bottom="1417" w:left="158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13EFE">
    <w:pPr>
      <w:jc w:val="center"/>
    </w:pPr>
    <w:r>
      <w:rPr>
        <w:rFonts w:ascii="Times New Roman" w:hAnsi="Times New Roman" w:eastAsia="微软雅黑"/>
        <w:b w:val="0"/>
        <w:bCs w:val="0"/>
        <w:sz w:val="16"/>
        <w:szCs w:val="16"/>
      </w:rPr>
      <w:t xml:space="preserve">— </w:t>
    </w:r>
    <w:r>
      <w:rPr>
        <w:rFonts w:ascii="Times New Roman" w:hAnsi="Times New Roman" w:eastAsia="微软雅黑"/>
        <w:b w:val="0"/>
        <w:bCs w:val="0"/>
        <w:sz w:val="16"/>
        <w:szCs w:val="16"/>
      </w:rPr>
      <w:fldChar w:fldCharType="begin"/>
    </w:r>
    <w:r>
      <w:rPr>
        <w:rFonts w:ascii="Times New Roman" w:hAnsi="Times New Roman" w:eastAsia="微软雅黑"/>
        <w:b w:val="0"/>
        <w:bCs w:val="0"/>
        <w:sz w:val="16"/>
        <w:szCs w:val="16"/>
      </w:rPr>
      <w:instrText xml:space="preserve">PAGE</w:instrText>
    </w:r>
    <w:r>
      <w:rPr>
        <w:rFonts w:ascii="Times New Roman" w:hAnsi="Times New Roman" w:eastAsia="微软雅黑"/>
        <w:b w:val="0"/>
        <w:bCs w:val="0"/>
        <w:sz w:val="16"/>
        <w:szCs w:val="16"/>
      </w:rPr>
      <w:fldChar w:fldCharType="separate"/>
    </w:r>
    <w:r>
      <w:rPr>
        <w:rFonts w:ascii="Times New Roman" w:hAnsi="Times New Roman" w:eastAsia="微软雅黑"/>
        <w:b w:val="0"/>
        <w:bCs w:val="0"/>
        <w:sz w:val="16"/>
        <w:szCs w:val="16"/>
      </w:rPr>
      <w:fldChar w:fldCharType="end"/>
    </w:r>
    <w:r>
      <w:rPr>
        <w:rFonts w:ascii="Times New Roman" w:hAnsi="Times New Roman" w:eastAsia="微软雅黑"/>
        <w:b w:val="0"/>
        <w:bCs w:val="0"/>
        <w:sz w:val="16"/>
        <w:szCs w:val="16"/>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3E2004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sz w:val="18"/>
      <w:szCs w:val="18"/>
    </w:rPr>
  </w:style>
  <w:style w:type="paragraph" w:styleId="2">
    <w:name w:val="heading 1"/>
    <w:next w:val="1"/>
    <w:qFormat/>
    <w:uiPriority w:val="0"/>
    <w:pPr>
      <w:keepNext w:val="0"/>
      <w:keepLines w:val="0"/>
      <w:spacing w:before="240" w:after="120"/>
      <w:outlineLvl w:val="0"/>
    </w:pPr>
    <w:rPr>
      <w:rFonts w:ascii="Times New Roman" w:hAnsi="Times New Roman" w:eastAsia="微软雅黑"/>
      <w:b/>
      <w:bCs/>
      <w:sz w:val="28"/>
      <w:szCs w:val="28"/>
    </w:rPr>
  </w:style>
  <w:style w:type="paragraph" w:styleId="3">
    <w:name w:val="heading 2"/>
    <w:next w:val="1"/>
    <w:qFormat/>
    <w:uiPriority w:val="0"/>
    <w:pPr>
      <w:keepNext w:val="0"/>
      <w:keepLines w:val="0"/>
      <w:spacing w:before="200" w:after="100"/>
      <w:outlineLvl w:val="1"/>
    </w:pPr>
    <w:rPr>
      <w:rFonts w:ascii="Times New Roman" w:hAnsi="Times New Roman" w:eastAsia="微软雅黑"/>
      <w:b/>
      <w:bCs/>
      <w:sz w:val="24"/>
      <w:szCs w:val="24"/>
    </w:rPr>
  </w:style>
  <w:style w:type="paragraph" w:styleId="4">
    <w:name w:val="heading 3"/>
    <w:next w:val="1"/>
    <w:qFormat/>
    <w:uiPriority w:val="0"/>
    <w:pPr>
      <w:keepNext w:val="0"/>
      <w:keepLines w:val="0"/>
      <w:spacing w:before="160" w:after="80"/>
      <w:outlineLvl w:val="2"/>
    </w:pPr>
    <w:rPr>
      <w:rFonts w:ascii="Times New Roman" w:hAnsi="Times New Roman" w:eastAsia="微软雅黑"/>
      <w:b/>
      <w:bCs/>
      <w:sz w:val="22"/>
      <w:szCs w:val="22"/>
    </w:rPr>
  </w:style>
  <w:style w:type="paragraph" w:styleId="5">
    <w:name w:val="heading 4"/>
    <w:next w:val="1"/>
    <w:qFormat/>
    <w:uiPriority w:val="0"/>
    <w:rPr>
      <w:rFonts w:ascii="Times New Roman" w:hAnsi="Times New Roman" w:eastAsia="微软雅黑"/>
      <w:i/>
      <w:iCs/>
      <w:color w:val="2E74B5"/>
      <w:sz w:val="18"/>
      <w:szCs w:val="18"/>
    </w:rPr>
  </w:style>
  <w:style w:type="paragraph" w:styleId="6">
    <w:name w:val="heading 5"/>
    <w:next w:val="1"/>
    <w:qFormat/>
    <w:uiPriority w:val="0"/>
    <w:rPr>
      <w:rFonts w:ascii="Times New Roman" w:hAnsi="Times New Roman" w:eastAsia="微软雅黑"/>
      <w:color w:val="2E74B5"/>
      <w:sz w:val="18"/>
      <w:szCs w:val="18"/>
    </w:rPr>
  </w:style>
  <w:style w:type="paragraph" w:styleId="7">
    <w:name w:val="heading 6"/>
    <w:next w:val="1"/>
    <w:qFormat/>
    <w:uiPriority w:val="0"/>
    <w:rPr>
      <w:rFonts w:ascii="Times New Roman" w:hAnsi="Times New Roman" w:eastAsia="微软雅黑"/>
      <w:color w:val="1F4D78"/>
      <w:sz w:val="18"/>
      <w:szCs w:val="1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微软雅黑"/>
      <w:sz w:val="20"/>
      <w:szCs w:val="20"/>
    </w:rPr>
  </w:style>
  <w:style w:type="paragraph" w:styleId="9">
    <w:name w:val="footnote text"/>
    <w:link w:val="17"/>
    <w:semiHidden/>
    <w:unhideWhenUsed/>
    <w:uiPriority w:val="99"/>
    <w:pPr>
      <w:spacing w:after="0" w:line="240" w:lineRule="auto"/>
    </w:pPr>
    <w:rPr>
      <w:rFonts w:ascii="Times New Roman" w:hAnsi="Times New Roman" w:eastAsia="微软雅黑"/>
      <w:sz w:val="20"/>
      <w:szCs w:val="20"/>
    </w:rPr>
  </w:style>
  <w:style w:type="paragraph" w:styleId="10">
    <w:name w:val="Title"/>
    <w:qFormat/>
    <w:uiPriority w:val="0"/>
    <w:pPr>
      <w:keepNext w:val="0"/>
      <w:keepLines w:val="0"/>
      <w:spacing w:before="240" w:after="120"/>
      <w:jc w:val="center"/>
    </w:pPr>
    <w:rPr>
      <w:rFonts w:ascii="Times New Roman" w:hAnsi="Times New Roman" w:eastAsia="微软雅黑"/>
      <w:b/>
      <w:bCs/>
      <w:sz w:val="36"/>
      <w:szCs w:val="3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微软雅黑"/>
      <w:sz w:val="18"/>
      <w:szCs w:val="18"/>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4194</Words>
  <Characters>8408</Characters>
  <TotalTime>3</TotalTime>
  <ScaleCrop>false</ScaleCrop>
  <LinksUpToDate>false</LinksUpToDate>
  <CharactersWithSpaces>9288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2026-06-27T04:19:00Z</dcterms:created>
  <dc:creator>Un-named</dc:creator>
  <cp:lastModifiedBy>飞飞同学</cp:lastModifiedBy>
  <dcterms:modified xsi:type="dcterms:W3CDTF">2026-06-27T04:56:19Z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eyJoZGlkIjoiNDVmYjc4M2RmMmVjZmZiNTc2NDc1ZjYwY2NkMGZkNjEiLCJ1c2VySWQiOiI0Mzc2NzAyODEifQ==</vt:lpwstr>
  </property>
  <property fmtid="{D5CDD505-2E9C-101B-9397-08002B2CF9AE}" pid="3" name="KSOProductBuildVer">
    <vt:lpwstr>2052-12.1.0.26895</vt:lpwstr>
  </property>
  <property fmtid="{D5CDD505-2E9C-101B-9397-08002B2CF9AE}" pid="4" name="ICV">
    <vt:lpwstr>CD1B7797F81645EF8B13BF595ECCF192_12</vt:lpwstr>
  </property>
</Properties>
</file>