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D1F48">
      <w:pPr>
        <w:spacing w:before="200" w:after="120"/>
        <w:jc w:val="center"/>
        <w:rPr>
          <w:lang w:eastAsia="zh-CN"/>
        </w:rPr>
      </w:pPr>
      <w:r>
        <w:rPr>
          <w:rFonts w:eastAsia="黑体"/>
          <w:b/>
          <w:sz w:val="36"/>
          <w:lang w:eastAsia="zh-CN"/>
        </w:rPr>
        <w:t>基于 HapFlow 的 OpenHarmony 应用污点分析工具复现与可视化报告</w:t>
      </w:r>
    </w:p>
    <w:p w14:paraId="218710EC">
      <w:pPr>
        <w:spacing w:after="40"/>
        <w:jc w:val="center"/>
        <w:rPr>
          <w:rFonts w:ascii="宋体" w:hAnsi="宋体"/>
          <w:sz w:val="22"/>
          <w:lang w:eastAsia="zh-CN"/>
        </w:rPr>
      </w:pPr>
      <w:r>
        <w:rPr>
          <w:rFonts w:ascii="宋体" w:hAnsi="宋体"/>
          <w:sz w:val="22"/>
          <w:lang w:eastAsia="zh-CN"/>
        </w:rPr>
        <w:t>Openharmony污点分析</w:t>
      </w:r>
      <w:r>
        <w:rPr>
          <w:rFonts w:hint="eastAsia" w:ascii="宋体" w:hAnsi="宋体"/>
          <w:sz w:val="22"/>
          <w:lang w:eastAsia="zh-CN"/>
        </w:rPr>
        <w:t xml:space="preserve"> 小组2</w:t>
      </w:r>
    </w:p>
    <w:p w14:paraId="28595133">
      <w:pPr>
        <w:spacing w:after="40"/>
        <w:jc w:val="center"/>
        <w:rPr>
          <w:rFonts w:hint="eastAsia" w:ascii="宋体" w:hAnsi="宋体"/>
          <w:sz w:val="22"/>
          <w:lang w:eastAsia="zh-CN"/>
        </w:rPr>
      </w:pPr>
    </w:p>
    <w:p w14:paraId="20AF74F3">
      <w:pPr>
        <w:spacing w:after="80"/>
        <w:rPr>
          <w:lang w:eastAsia="zh-CN"/>
        </w:rPr>
      </w:pPr>
      <w:r>
        <w:rPr>
          <w:rFonts w:ascii="宋体" w:hAnsi="宋体"/>
          <w:sz w:val="20"/>
          <w:lang w:eastAsia="zh-CN"/>
        </w:rPr>
        <w:t>摘  要: 随着 OpenHarmony 生态快速发展，ArkTS 应用中的隐私数据流动和敏感信息泄露问题逐渐成为移动应用安全分析的重要对象。HapFlow 是面向 OpenHarmony 应用的静态污点分析框架，其核心思想是在 ArkAnalyzer 的程序解析能力基础上构造虚拟入口、进行指针分析并求解 source-to-sink 数据流。本项目围绕 HapFlow 论文与公开 artifact，完成了运行环境配置、工具功能解析、HapBench 67 个测试用例的批量运行复现、代表性用例的传播路径解释，并在此基础上进一步进行了两项改进：一是输出格式化与可视化增强，将原始 [object Object] 输出改造为包含 Source、Propagation、Sink 分类标签、Mermaid 流程图和 Markdown 报告的可读结果；二是异步污点传播规则增强，在不修改 IFDS 求解器内核的前提下，通过扩展 TaintAnalysis.ts 中的 FlowFunction 规则，使工具支持 Promise.resolve、Promise.then、Promise.catch 以及 async/await 等典型异步传播场景。实验结果表明，改进版在原始 HapBench 67 个用例上保持零回归，并在新增异步测试用例中检测出多类原工具可能漏报的异步泄露路径。</w:t>
      </w:r>
    </w:p>
    <w:p w14:paraId="06264654">
      <w:pPr>
        <w:spacing w:after="80"/>
      </w:pPr>
      <w:r>
        <w:rPr>
          <w:rFonts w:ascii="宋体" w:hAnsi="宋体"/>
          <w:sz w:val="20"/>
        </w:rPr>
        <w:t>关键词: OpenHarmony; ArkTS; HapFlow; 静态污点分析; ArkAnalyzer; 数据泄露检测; 工具复现; 异步污点传播; 可视化报告</w:t>
      </w:r>
    </w:p>
    <w:p w14:paraId="0564B2E6">
      <w:pPr>
        <w:spacing w:after="80"/>
      </w:pPr>
      <w:r>
        <w:rPr>
          <w:rFonts w:ascii="宋体" w:hAnsi="宋体"/>
          <w:b/>
          <w:sz w:val="20"/>
        </w:rPr>
        <w:t xml:space="preserve">中图法分类号: </w:t>
      </w:r>
      <w:r>
        <w:rPr>
          <w:rFonts w:ascii="宋体" w:hAnsi="宋体"/>
          <w:sz w:val="20"/>
        </w:rPr>
        <w:t>TP309</w:t>
      </w:r>
    </w:p>
    <w:p w14:paraId="032FE5BE">
      <w:pPr>
        <w:spacing w:after="80"/>
      </w:pPr>
      <w:r>
        <w:rPr>
          <w:rFonts w:ascii="宋体" w:hAnsi="宋体"/>
          <w:sz w:val="20"/>
        </w:rPr>
        <w:t>中文引用格式: 项目组. 基于 HapFlow 的 OpenHarmony 应用污点分析工具复现与改进报告. 软件质量保障课程结题报告, 2026.</w:t>
      </w:r>
    </w:p>
    <w:p w14:paraId="5F8D68BD">
      <w:pPr>
        <w:spacing w:after="80"/>
      </w:pPr>
      <w:r>
        <w:rPr>
          <w:rFonts w:ascii="宋体" w:hAnsi="宋体"/>
          <w:sz w:val="20"/>
        </w:rPr>
        <w:t>英文引用格式: Project Team. Reproduction and Improvement Report of HapFlow-based Taint Analysis for OpenHarmony Apps. Course Final Report, 2026.</w:t>
      </w:r>
    </w:p>
    <w:p w14:paraId="4EF7F5C6">
      <w:r>
        <w:rPr>
          <w:rFonts w:ascii="宋体" w:hAnsi="宋体"/>
          <w:sz w:val="20"/>
        </w:rPr>
        <w:br w:type="page"/>
      </w:r>
    </w:p>
    <w:p w14:paraId="63A18CFD">
      <w:pPr>
        <w:spacing w:before="200"/>
        <w:jc w:val="center"/>
      </w:pPr>
      <w:r>
        <w:rPr>
          <w:b/>
          <w:sz w:val="28"/>
        </w:rPr>
        <w:t>Reproduction and Visualization Report of HapFlow-based Taint Analysis for OpenHarmony Apps</w:t>
      </w:r>
    </w:p>
    <w:p w14:paraId="27A585D0">
      <w:pPr>
        <w:spacing w:after="40"/>
        <w:jc w:val="center"/>
        <w:rPr>
          <w:rFonts w:cs="Times New Roman"/>
        </w:rPr>
      </w:pPr>
      <w:r>
        <w:rPr>
          <w:rFonts w:cs="Times New Roman"/>
          <w:sz w:val="20"/>
        </w:rPr>
        <w:t>Project Team</w:t>
      </w:r>
    </w:p>
    <w:p w14:paraId="140B51FC">
      <w:pPr>
        <w:spacing w:after="80"/>
        <w:rPr>
          <w:rFonts w:cs="Times New Roman"/>
        </w:rPr>
      </w:pPr>
      <w:r>
        <w:rPr>
          <w:rFonts w:cs="Times New Roman"/>
          <w:sz w:val="20"/>
        </w:rPr>
        <w:t>Abstract: This report presents a course project on reproducing and improving HapFlow, a static taint analysis framework for OpenHarmony applications. Based on the completed project work, the project configures ArkAnalyzer and HapFlow, explains the parsing and taint-analysis pipeline, runs all 67 HapBench test cases in batch, and uses one representative case to explain the source-to-sink output. Beyond reproduction, the project introduces two improvements: output formatting and visualization, which converts unreadable raw objects into structured Source/Propagation/Sink reports with Mermaid and Markdown artifacts; and asynchronous taint propagation enhancement, which extends FlowFunction rules in TaintAnalysis.ts to support Promise.resolve, Promise.then, Promise.catch, and async/await propagation without modifying the IFDS solver core. The experimental results show that the improved version keeps zero regression on the original 67 HapBench cases and detects representative asynchronous leaks in the newly added test cases.</w:t>
      </w:r>
    </w:p>
    <w:p w14:paraId="1154E6B9">
      <w:pPr>
        <w:spacing w:after="80"/>
        <w:rPr>
          <w:rFonts w:cs="Times New Roman"/>
        </w:rPr>
      </w:pPr>
      <w:r>
        <w:rPr>
          <w:rFonts w:cs="Times New Roman"/>
          <w:b/>
          <w:bCs/>
          <w:sz w:val="20"/>
        </w:rPr>
        <w:t xml:space="preserve">Key words: </w:t>
      </w:r>
      <w:r>
        <w:rPr>
          <w:rFonts w:cs="Times New Roman"/>
          <w:sz w:val="20"/>
        </w:rPr>
        <w:t>OpenHarmony; ArkTS; HapFlow; taint analysis; ArkAnalyzer; data leak detection; reproduction; asynchronous taint propagation; visualization</w:t>
      </w:r>
    </w:p>
    <w:p w14:paraId="01240733">
      <w:pPr>
        <w:keepNext/>
        <w:spacing w:before="240" w:after="120"/>
        <w:rPr>
          <w:lang w:eastAsia="zh-CN"/>
        </w:rPr>
      </w:pPr>
      <w:r>
        <w:rPr>
          <w:rFonts w:ascii="宋体" w:hAnsi="宋体" w:eastAsia="黑体"/>
          <w:b/>
          <w:sz w:val="28"/>
          <w:lang w:eastAsia="zh-CN"/>
        </w:rPr>
        <w:t>1 引  言</w:t>
      </w:r>
    </w:p>
    <w:p w14:paraId="5E34E7A6">
      <w:pPr>
        <w:spacing w:after="80"/>
        <w:ind w:firstLine="420"/>
        <w:rPr>
          <w:lang w:eastAsia="zh-CN"/>
        </w:rPr>
      </w:pPr>
      <w:r>
        <w:rPr>
          <w:rFonts w:ascii="宋体" w:hAnsi="宋体"/>
          <w:sz w:val="20"/>
          <w:lang w:eastAsia="zh-CN"/>
        </w:rPr>
        <w:t>OpenHarmony 是面向多终端场景的分布式操作系统，原生应用主要使用 ArkTS 语言和 ArkUI 声明式界面框架进行开发。随着应用数量和业务复杂度提升，位置、设备标识、通信记录等敏感数据可能通过变量赋值、对象字段、回调函数、日志接口、文件接口或网络接口发生传播。为了在不运行程序的情况下发现潜在隐私泄露路径，静态污点分析成为 OpenHarmony 应用安全分析中的重要技术。</w:t>
      </w:r>
    </w:p>
    <w:p w14:paraId="2EA7A705">
      <w:pPr>
        <w:spacing w:after="80"/>
        <w:ind w:firstLine="420"/>
        <w:rPr>
          <w:lang w:eastAsia="zh-CN"/>
        </w:rPr>
      </w:pPr>
      <w:r>
        <w:rPr>
          <w:rFonts w:ascii="宋体" w:hAnsi="宋体"/>
          <w:sz w:val="20"/>
          <w:lang w:eastAsia="zh-CN"/>
        </w:rPr>
        <w:t>本项目以 HapFlow 为复现对象。HapFlow 面向 OpenHarmony 应用和 ArkTS 语言特性设计，重点解决生命周期函数隐式触发、声明式 UI 回调、闭包变量传播、匿名函数参数 source 以及 OpenHarmony 特有 API 体系带来的分析难点。与传统 Android 污点分析工具不同，HapFlow 需要先将 ArkTS 项目解析为 ArkAnalyzer 可处理的中间表示，然后在该表示上构造统一入口、配置 source/sink、执行指针分析与污点传播求解。</w:t>
      </w:r>
    </w:p>
    <w:p w14:paraId="70BF3657">
      <w:pPr>
        <w:spacing w:after="80"/>
        <w:ind w:firstLine="420"/>
        <w:rPr>
          <w:lang w:eastAsia="zh-CN"/>
        </w:rPr>
      </w:pPr>
      <w:r>
        <w:rPr>
          <w:rFonts w:ascii="宋体" w:hAnsi="宋体"/>
          <w:sz w:val="20"/>
          <w:lang w:eastAsia="zh-CN"/>
        </w:rPr>
        <w:t>课程任务的最终目标包括“解析工具功能”和“针对现有工具有改进”两个层次。其中，解析工具功能要求说明工具如何读取 OpenHarmony 项目、构造中间表示、建立分析入口并输出污点路径；工具改进则要求在复现基础上进一步提升现有工具的可用性或分析能力。本项目首先完成了 HapFlow 工具功能解析和论文实验流程复现，随后围绕输出可解释性和异步污点传播两个方向进行了增强。本文基于本项目已完成内容进行整理，将正文重点放在工具逻辑、实验过程、改进方法和结果分析上，将具体运行命令和关键代码片段统一放入附录。</w:t>
      </w:r>
    </w:p>
    <w:p w14:paraId="7294AB67">
      <w:pPr>
        <w:keepNext/>
        <w:spacing w:before="240" w:after="120"/>
      </w:pPr>
      <w:r>
        <w:rPr>
          <w:rFonts w:ascii="宋体" w:hAnsi="宋体" w:eastAsia="黑体"/>
          <w:b/>
          <w:sz w:val="28"/>
        </w:rPr>
        <w:t>2 相关工作与基础知识</w:t>
      </w:r>
    </w:p>
    <w:p w14:paraId="4C807BBD">
      <w:pPr>
        <w:keepNext/>
        <w:spacing w:before="160" w:after="80"/>
      </w:pPr>
      <w:r>
        <w:rPr>
          <w:rFonts w:ascii="宋体" w:hAnsi="宋体" w:eastAsia="黑体"/>
          <w:b/>
          <w:sz w:val="24"/>
        </w:rPr>
        <w:t>2.1 OpenHarmony、ArkTS 与应用安全分析</w:t>
      </w:r>
    </w:p>
    <w:p w14:paraId="7817DC18">
      <w:pPr>
        <w:spacing w:after="80"/>
        <w:ind w:firstLine="420"/>
        <w:rPr>
          <w:lang w:eastAsia="zh-CN"/>
        </w:rPr>
      </w:pPr>
      <w:r>
        <w:rPr>
          <w:rFonts w:ascii="宋体" w:hAnsi="宋体"/>
          <w:sz w:val="20"/>
        </w:rPr>
        <w:t>OpenHarmony 应用具有组件化结构，常见组件包括 UIAbility、ExtensionAbility 与 ArkUI struct 组件。许多生命周期函数由系统框架隐式触发，例如 onCreate、aboutToAppear、onClick 等函数可能没有显式调用语句，但会在运行时由系统调度执行。</w:t>
      </w:r>
      <w:r>
        <w:rPr>
          <w:rFonts w:ascii="宋体" w:hAnsi="宋体"/>
          <w:sz w:val="20"/>
          <w:lang w:eastAsia="zh-CN"/>
        </w:rPr>
        <w:t>这种隐式入口导致普通静态调用图难以覆盖完整执行路径。</w:t>
      </w:r>
    </w:p>
    <w:p w14:paraId="46638E23">
      <w:pPr>
        <w:spacing w:after="80"/>
        <w:ind w:firstLine="420"/>
        <w:rPr>
          <w:lang w:eastAsia="zh-CN"/>
        </w:rPr>
      </w:pPr>
      <w:r>
        <w:rPr>
          <w:rFonts w:ascii="宋体" w:hAnsi="宋体"/>
          <w:sz w:val="20"/>
          <w:lang w:eastAsia="zh-CN"/>
        </w:rPr>
        <w:t>ArkTS 继承了 TypeScript 的部分语言特征，同时结合 ArkUI 声明式界面编程范式。声明式 UI 中的事件回调经常以内联匿名函数形式绑定在组件属性上，闭包变量也可能在内外层函数之间传播。这些特性使 OpenHarmony 应用静态安全分析比传统 Java/Android 应用更复杂。</w:t>
      </w:r>
    </w:p>
    <w:p w14:paraId="7450B3A5">
      <w:pPr>
        <w:keepNext/>
        <w:spacing w:before="160" w:after="80"/>
        <w:rPr>
          <w:lang w:eastAsia="zh-CN"/>
        </w:rPr>
      </w:pPr>
      <w:r>
        <w:rPr>
          <w:rFonts w:ascii="宋体" w:hAnsi="宋体" w:eastAsia="黑体"/>
          <w:b/>
          <w:sz w:val="24"/>
          <w:lang w:eastAsia="zh-CN"/>
        </w:rPr>
        <w:t>2.2 污点分析基本概念</w:t>
      </w:r>
    </w:p>
    <w:p w14:paraId="5708C676">
      <w:pPr>
        <w:spacing w:after="80"/>
        <w:ind w:firstLine="420"/>
        <w:rPr>
          <w:lang w:eastAsia="zh-CN"/>
        </w:rPr>
      </w:pPr>
      <w:r>
        <w:rPr>
          <w:rFonts w:ascii="宋体" w:hAnsi="宋体"/>
          <w:sz w:val="20"/>
          <w:lang w:eastAsia="zh-CN"/>
        </w:rPr>
        <w:t>污点分析用于跟踪敏感数据从 source 到 sink 的传播过程。source 表示敏感数据产生点，例如位置 API、设备标识 API、剪贴板 API 等；sink 表示可能导致泄露或外发的危险操作，例如日志输出、文件写入和网络传输。当分析器发现某个 source 产生的数据经过变量、字段、函数调用或对象别名传播到 sink 时，就报告一条可疑数据泄露流。</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229"/>
        <w:gridCol w:w="3229"/>
        <w:gridCol w:w="3229"/>
      </w:tblGrid>
      <w:tr w14:paraId="40843C8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shd w:val="clear" w:color="auto" w:fill="D9EAF7"/>
            <w:vAlign w:val="center"/>
          </w:tcPr>
          <w:p w14:paraId="06B29116">
            <w:pPr>
              <w:spacing w:after="0"/>
            </w:pPr>
            <w:r>
              <w:rPr>
                <w:b/>
                <w:sz w:val="18"/>
              </w:rPr>
              <w:t>术语</w:t>
            </w:r>
          </w:p>
        </w:tc>
        <w:tc>
          <w:tcPr>
            <w:tcW w:w="3229" w:type="dxa"/>
            <w:shd w:val="clear" w:color="auto" w:fill="D9EAF7"/>
            <w:vAlign w:val="center"/>
          </w:tcPr>
          <w:p w14:paraId="0B74A1E8">
            <w:pPr>
              <w:spacing w:after="0"/>
            </w:pPr>
            <w:r>
              <w:rPr>
                <w:b/>
                <w:sz w:val="18"/>
              </w:rPr>
              <w:t>含义</w:t>
            </w:r>
          </w:p>
        </w:tc>
        <w:tc>
          <w:tcPr>
            <w:tcW w:w="3229" w:type="dxa"/>
            <w:shd w:val="clear" w:color="auto" w:fill="D9EAF7"/>
            <w:vAlign w:val="center"/>
          </w:tcPr>
          <w:p w14:paraId="1473FB81">
            <w:pPr>
              <w:spacing w:after="0"/>
            </w:pPr>
            <w:r>
              <w:rPr>
                <w:b/>
                <w:sz w:val="18"/>
              </w:rPr>
              <w:t>本项目中的例子</w:t>
            </w:r>
          </w:p>
        </w:tc>
      </w:tr>
      <w:tr w14:paraId="06438A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2C122D5B">
            <w:pPr>
              <w:spacing w:after="0"/>
            </w:pPr>
            <w:r>
              <w:rPr>
                <w:sz w:val="18"/>
              </w:rPr>
              <w:t>Source</w:t>
            </w:r>
          </w:p>
        </w:tc>
        <w:tc>
          <w:tcPr>
            <w:tcW w:w="3229" w:type="dxa"/>
            <w:vAlign w:val="center"/>
          </w:tcPr>
          <w:p w14:paraId="5062C5A3">
            <w:pPr>
              <w:spacing w:after="0"/>
            </w:pPr>
            <w:r>
              <w:rPr>
                <w:sz w:val="18"/>
              </w:rPr>
              <w:t>敏感数据产生点</w:t>
            </w:r>
          </w:p>
        </w:tc>
        <w:tc>
          <w:tcPr>
            <w:tcW w:w="3229" w:type="dxa"/>
            <w:vAlign w:val="center"/>
          </w:tcPr>
          <w:p w14:paraId="7844E64A">
            <w:pPr>
              <w:spacing w:after="0"/>
            </w:pPr>
            <w:r>
              <w:rPr>
                <w:sz w:val="18"/>
              </w:rPr>
              <w:t>geoLocationManager.getLastLocation()</w:t>
            </w:r>
          </w:p>
        </w:tc>
      </w:tr>
      <w:tr w14:paraId="672BEA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68191D17">
            <w:pPr>
              <w:spacing w:after="0"/>
            </w:pPr>
            <w:r>
              <w:rPr>
                <w:sz w:val="18"/>
              </w:rPr>
              <w:t>Propagation</w:t>
            </w:r>
          </w:p>
        </w:tc>
        <w:tc>
          <w:tcPr>
            <w:tcW w:w="3229" w:type="dxa"/>
            <w:vAlign w:val="center"/>
          </w:tcPr>
          <w:p w14:paraId="267DEA67">
            <w:pPr>
              <w:spacing w:after="0"/>
              <w:rPr>
                <w:lang w:eastAsia="zh-CN"/>
              </w:rPr>
            </w:pPr>
            <w:r>
              <w:rPr>
                <w:sz w:val="18"/>
                <w:lang w:eastAsia="zh-CN"/>
              </w:rPr>
              <w:t>污点数据在程序内部继续传递的过程</w:t>
            </w:r>
          </w:p>
        </w:tc>
        <w:tc>
          <w:tcPr>
            <w:tcW w:w="3229" w:type="dxa"/>
            <w:vAlign w:val="center"/>
          </w:tcPr>
          <w:p w14:paraId="47962C3D">
            <w:pPr>
              <w:spacing w:after="0"/>
            </w:pPr>
            <w:r>
              <w:rPr>
                <w:sz w:val="18"/>
              </w:rPr>
              <w:t>JSON.stringify()、变量 info、对象字段或别名</w:t>
            </w:r>
          </w:p>
        </w:tc>
      </w:tr>
      <w:tr w14:paraId="563FE5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1AC41EF6">
            <w:pPr>
              <w:spacing w:after="0"/>
            </w:pPr>
            <w:r>
              <w:rPr>
                <w:sz w:val="18"/>
              </w:rPr>
              <w:t>Sink</w:t>
            </w:r>
          </w:p>
        </w:tc>
        <w:tc>
          <w:tcPr>
            <w:tcW w:w="3229" w:type="dxa"/>
            <w:vAlign w:val="center"/>
          </w:tcPr>
          <w:p w14:paraId="70E48FF1">
            <w:pPr>
              <w:spacing w:after="0"/>
              <w:rPr>
                <w:lang w:eastAsia="zh-CN"/>
              </w:rPr>
            </w:pPr>
            <w:r>
              <w:rPr>
                <w:sz w:val="18"/>
                <w:lang w:eastAsia="zh-CN"/>
              </w:rPr>
              <w:t>可能造成泄露的危险输出点</w:t>
            </w:r>
          </w:p>
        </w:tc>
        <w:tc>
          <w:tcPr>
            <w:tcW w:w="3229" w:type="dxa"/>
            <w:vAlign w:val="center"/>
          </w:tcPr>
          <w:p w14:paraId="0B7302D2">
            <w:pPr>
              <w:spacing w:after="0"/>
            </w:pPr>
            <w:r>
              <w:rPr>
                <w:sz w:val="18"/>
              </w:rPr>
              <w:t>hilog.info() 日志输出接口</w:t>
            </w:r>
          </w:p>
        </w:tc>
      </w:tr>
      <w:tr w14:paraId="47B54E5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6C64219D">
            <w:pPr>
              <w:spacing w:after="0"/>
            </w:pPr>
            <w:r>
              <w:rPr>
                <w:sz w:val="18"/>
              </w:rPr>
              <w:t>Leak</w:t>
            </w:r>
          </w:p>
        </w:tc>
        <w:tc>
          <w:tcPr>
            <w:tcW w:w="3229" w:type="dxa"/>
            <w:vAlign w:val="center"/>
          </w:tcPr>
          <w:p w14:paraId="586A7B8B">
            <w:pPr>
              <w:spacing w:after="0"/>
            </w:pPr>
            <w:r>
              <w:rPr>
                <w:sz w:val="18"/>
              </w:rPr>
              <w:t>从 source 到 sink 的完整可疑路径</w:t>
            </w:r>
          </w:p>
        </w:tc>
        <w:tc>
          <w:tcPr>
            <w:tcW w:w="3229" w:type="dxa"/>
            <w:vAlign w:val="center"/>
          </w:tcPr>
          <w:p w14:paraId="081278EA">
            <w:pPr>
              <w:spacing w:after="0"/>
              <w:rPr>
                <w:lang w:eastAsia="zh-CN"/>
              </w:rPr>
            </w:pPr>
            <w:r>
              <w:rPr>
                <w:sz w:val="18"/>
                <w:lang w:eastAsia="zh-CN"/>
              </w:rPr>
              <w:t>定位信息经过字符串化后进入日志输出</w:t>
            </w:r>
          </w:p>
        </w:tc>
      </w:tr>
    </w:tbl>
    <w:p w14:paraId="118A8B2A">
      <w:pPr>
        <w:pStyle w:val="164"/>
        <w:spacing w:before="40" w:after="160"/>
        <w:jc w:val="center"/>
        <w:rPr>
          <w:lang w:eastAsia="zh-CN"/>
        </w:rPr>
      </w:pPr>
      <w:r>
        <w:rPr>
          <w:rFonts w:ascii="宋体" w:hAnsi="宋体"/>
          <w:sz w:val="20"/>
          <w:lang w:eastAsia="zh-CN"/>
        </w:rPr>
        <w:t>表 1 污点分析相关术语</w:t>
      </w:r>
    </w:p>
    <w:p w14:paraId="0B0988E7">
      <w:pPr>
        <w:keepNext/>
        <w:spacing w:before="160" w:after="80"/>
        <w:rPr>
          <w:lang w:eastAsia="zh-CN"/>
        </w:rPr>
      </w:pPr>
      <w:r>
        <w:rPr>
          <w:rFonts w:ascii="宋体" w:hAnsi="宋体" w:eastAsia="黑体"/>
          <w:b/>
          <w:sz w:val="24"/>
          <w:lang w:eastAsia="zh-CN"/>
        </w:rPr>
        <w:t>2.3 HapFlow 框架概述</w:t>
      </w:r>
    </w:p>
    <w:p w14:paraId="07D5B3B4">
      <w:pPr>
        <w:spacing w:after="80"/>
        <w:ind w:firstLine="420"/>
      </w:pPr>
      <w:r>
        <w:rPr>
          <w:rFonts w:ascii="宋体" w:hAnsi="宋体"/>
          <w:sz w:val="20"/>
        </w:rPr>
        <w:t>HapFlow 建立在 ArkAnalyzer 之上。ArkAnalyzer 负责读取 OpenHarmony 项目源码并构造 Scene、方法、控制流图 CFG 和 ArkIR 语句等基础程序表示；HapFlow 则在此基础上扩展 source/sink 配置、虚拟入口构造、指针分析和 IFDS 风格污点传播求解。</w:t>
      </w:r>
    </w:p>
    <w:p w14:paraId="2C5BB332">
      <w:pPr>
        <w:spacing w:after="80"/>
        <w:ind w:firstLine="420"/>
        <w:rPr>
          <w:lang w:eastAsia="zh-CN"/>
        </w:rPr>
      </w:pPr>
      <w:r>
        <w:rPr>
          <w:rFonts w:ascii="宋体" w:hAnsi="宋体"/>
          <w:sz w:val="20"/>
        </w:rPr>
        <w:t>从工具流程看，HapFlow 的输入包括待分析 OpenHarmony 项目路径、OpenHarmony SDK 路径、HMS SDK 路径以及 source/sink 配置文件；输出是可疑数据流，即 source、传播语句和 sink 的组合。</w:t>
      </w:r>
      <w:r>
        <w:rPr>
          <w:rFonts w:ascii="宋体" w:hAnsi="宋体"/>
          <w:sz w:val="20"/>
          <w:lang w:eastAsia="zh-CN"/>
        </w:rPr>
        <w:t>论文进一步使用 HapBench 作为 benchmark，对工具的精确率和召回率进行统计。本项目已对 HapBench 67 个测试用例进行批量运行，并在此基础上新增异步模式测试用例，用于验证改进后工具对 Promise 和 async/await 场景的检测能力。</w:t>
      </w:r>
    </w:p>
    <w:p w14:paraId="54F63E7C">
      <w:pPr>
        <w:keepNext/>
        <w:spacing w:before="240" w:after="120"/>
        <w:rPr>
          <w:lang w:eastAsia="zh-CN"/>
        </w:rPr>
      </w:pPr>
      <w:r>
        <w:rPr>
          <w:rFonts w:ascii="宋体" w:hAnsi="宋体" w:eastAsia="黑体"/>
          <w:b/>
          <w:sz w:val="28"/>
          <w:lang w:eastAsia="zh-CN"/>
        </w:rPr>
        <w:t>3 项目目标与复现设计</w:t>
      </w:r>
    </w:p>
    <w:p w14:paraId="05C7F32B">
      <w:pPr>
        <w:keepNext/>
        <w:spacing w:before="160" w:after="80"/>
        <w:rPr>
          <w:lang w:eastAsia="zh-CN"/>
        </w:rPr>
      </w:pPr>
      <w:r>
        <w:rPr>
          <w:rFonts w:ascii="宋体" w:hAnsi="宋体" w:eastAsia="黑体"/>
          <w:b/>
          <w:sz w:val="24"/>
          <w:lang w:eastAsia="zh-CN"/>
        </w:rPr>
        <w:t>3.1 项目目标</w:t>
      </w:r>
    </w:p>
    <w:p w14:paraId="62C85D1C">
      <w:pPr>
        <w:spacing w:after="80"/>
        <w:ind w:firstLine="420"/>
        <w:rPr>
          <w:lang w:eastAsia="zh-CN"/>
        </w:rPr>
      </w:pPr>
      <w:r>
        <w:rPr>
          <w:rFonts w:ascii="宋体" w:hAnsi="宋体"/>
          <w:sz w:val="20"/>
          <w:lang w:eastAsia="zh-CN"/>
        </w:rPr>
        <w:t>本项目的最终目标为“解析工具功能+针对现有工具有改进”。围绕该目标，本项目完成了三部分工作：第一，搭建 HapFlow 与 ArkAnalyzer 的本地运行环境，解释解析工具如何将 OpenHarmony 源码转换为 ArkAnalyzer 可处理的中间表示；第二，使用批处理方式运行 HapBench 67 个测试用例，并选取代表性用例说明 source、propagation path 和 sink 的输出含义；第三，在复现基础上进行工具改进，包括输出格式化与可视化增强，以及异步污点传播规则增强。</w:t>
      </w:r>
    </w:p>
    <w:p w14:paraId="3BA8E69F">
      <w:pPr>
        <w:keepNext/>
        <w:spacing w:before="160" w:after="80"/>
      </w:pPr>
      <w:r>
        <w:rPr>
          <w:rFonts w:ascii="宋体" w:hAnsi="宋体" w:eastAsia="黑体"/>
          <w:b/>
          <w:sz w:val="24"/>
        </w:rPr>
        <w:t>3.2 当前完成情况</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229"/>
        <w:gridCol w:w="3229"/>
        <w:gridCol w:w="3229"/>
      </w:tblGrid>
      <w:tr w14:paraId="42641ED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shd w:val="clear" w:color="auto" w:fill="D9EAF7"/>
            <w:vAlign w:val="center"/>
          </w:tcPr>
          <w:p w14:paraId="59A4275E">
            <w:r>
              <w:rPr>
                <w:rFonts w:ascii="宋体" w:hAnsi="宋体"/>
                <w:sz w:val="18"/>
              </w:rPr>
              <w:t>工作项</w:t>
            </w:r>
          </w:p>
        </w:tc>
        <w:tc>
          <w:tcPr>
            <w:tcW w:w="3229" w:type="dxa"/>
            <w:shd w:val="clear" w:color="auto" w:fill="D9EAF7"/>
            <w:vAlign w:val="center"/>
          </w:tcPr>
          <w:p w14:paraId="0987378A">
            <w:r>
              <w:rPr>
                <w:rFonts w:ascii="宋体" w:hAnsi="宋体"/>
                <w:sz w:val="18"/>
              </w:rPr>
              <w:t>完成情况</w:t>
            </w:r>
          </w:p>
        </w:tc>
        <w:tc>
          <w:tcPr>
            <w:tcW w:w="3229" w:type="dxa"/>
            <w:shd w:val="clear" w:color="auto" w:fill="D9EAF7"/>
            <w:vAlign w:val="center"/>
          </w:tcPr>
          <w:p w14:paraId="236A5C50">
            <w:r>
              <w:rPr>
                <w:rFonts w:ascii="宋体" w:hAnsi="宋体"/>
                <w:sz w:val="18"/>
              </w:rPr>
              <w:t>说明</w:t>
            </w:r>
          </w:p>
        </w:tc>
      </w:tr>
      <w:tr w14:paraId="2F4535C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1600C7CC">
            <w:r>
              <w:rPr>
                <w:rFonts w:ascii="宋体" w:hAnsi="宋体"/>
                <w:sz w:val="18"/>
              </w:rPr>
              <w:t>环境配置</w:t>
            </w:r>
          </w:p>
        </w:tc>
        <w:tc>
          <w:tcPr>
            <w:tcW w:w="3229" w:type="dxa"/>
            <w:vAlign w:val="center"/>
          </w:tcPr>
          <w:p w14:paraId="36FDA9D6">
            <w:r>
              <w:rPr>
                <w:rFonts w:ascii="宋体" w:hAnsi="宋体"/>
                <w:sz w:val="18"/>
              </w:rPr>
              <w:t>已完成</w:t>
            </w:r>
          </w:p>
        </w:tc>
        <w:tc>
          <w:tcPr>
            <w:tcW w:w="3229" w:type="dxa"/>
            <w:vAlign w:val="center"/>
          </w:tcPr>
          <w:p w14:paraId="3C695095">
            <w:r>
              <w:rPr>
                <w:rFonts w:ascii="宋体" w:hAnsi="宋体"/>
                <w:sz w:val="18"/>
              </w:rPr>
              <w:t>分别在 arkanalyzer 与 hapflow 下安装依赖，并通过本地依赖链接使 HapFlow 能够调用 ArkAnalyzer。</w:t>
            </w:r>
          </w:p>
        </w:tc>
      </w:tr>
      <w:tr w14:paraId="3C4EFAF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0D2DD2DE">
            <w:r>
              <w:rPr>
                <w:rFonts w:ascii="宋体" w:hAnsi="宋体"/>
                <w:sz w:val="18"/>
              </w:rPr>
              <w:t>工具功能解析</w:t>
            </w:r>
          </w:p>
        </w:tc>
        <w:tc>
          <w:tcPr>
            <w:tcW w:w="3229" w:type="dxa"/>
            <w:vAlign w:val="center"/>
          </w:tcPr>
          <w:p w14:paraId="31FF3683">
            <w:r>
              <w:rPr>
                <w:rFonts w:ascii="宋体" w:hAnsi="宋体"/>
                <w:sz w:val="18"/>
              </w:rPr>
              <w:t>已完成</w:t>
            </w:r>
          </w:p>
        </w:tc>
        <w:tc>
          <w:tcPr>
            <w:tcW w:w="3229" w:type="dxa"/>
            <w:vAlign w:val="center"/>
          </w:tcPr>
          <w:p w14:paraId="26DB0B58">
            <w:r>
              <w:rPr>
                <w:rFonts w:ascii="宋体" w:hAnsi="宋体"/>
                <w:sz w:val="18"/>
              </w:rPr>
              <w:t>梳理 Scene 加载、类型推断、DummyMain 构造、指针分析和污点求解流程。</w:t>
            </w:r>
          </w:p>
        </w:tc>
      </w:tr>
      <w:tr w14:paraId="488A258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3CFDF6CC">
            <w:r>
              <w:rPr>
                <w:rFonts w:ascii="宋体" w:hAnsi="宋体"/>
                <w:sz w:val="18"/>
              </w:rPr>
              <w:t>HapBench 批量复现</w:t>
            </w:r>
          </w:p>
        </w:tc>
        <w:tc>
          <w:tcPr>
            <w:tcW w:w="3229" w:type="dxa"/>
            <w:vAlign w:val="center"/>
          </w:tcPr>
          <w:p w14:paraId="75F1C4A0">
            <w:r>
              <w:rPr>
                <w:rFonts w:ascii="宋体" w:hAnsi="宋体"/>
                <w:sz w:val="18"/>
              </w:rPr>
              <w:t>已完成</w:t>
            </w:r>
          </w:p>
        </w:tc>
        <w:tc>
          <w:tcPr>
            <w:tcW w:w="3229" w:type="dxa"/>
            <w:vAlign w:val="center"/>
          </w:tcPr>
          <w:p w14:paraId="57112A21">
            <w:pPr>
              <w:rPr>
                <w:lang w:eastAsia="zh-CN"/>
              </w:rPr>
            </w:pPr>
            <w:r>
              <w:rPr>
                <w:rFonts w:ascii="宋体" w:hAnsi="宋体"/>
                <w:sz w:val="18"/>
                <w:lang w:eastAsia="zh-CN"/>
              </w:rPr>
              <w:t>已对 HapBench 原始 67 个测试用例进行批量运行，并选取代表性用例说明输出含义。</w:t>
            </w:r>
          </w:p>
        </w:tc>
      </w:tr>
      <w:tr w14:paraId="17A69D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76CDA6D1">
            <w:pPr>
              <w:rPr>
                <w:lang w:eastAsia="zh-CN"/>
              </w:rPr>
            </w:pPr>
            <w:r>
              <w:rPr>
                <w:rFonts w:ascii="宋体" w:hAnsi="宋体"/>
                <w:sz w:val="18"/>
                <w:lang w:eastAsia="zh-CN"/>
              </w:rPr>
              <w:t>输出格式化与可视化改进</w:t>
            </w:r>
          </w:p>
        </w:tc>
        <w:tc>
          <w:tcPr>
            <w:tcW w:w="3229" w:type="dxa"/>
            <w:vAlign w:val="center"/>
          </w:tcPr>
          <w:p w14:paraId="4A85A1C7">
            <w:r>
              <w:rPr>
                <w:rFonts w:ascii="宋体" w:hAnsi="宋体"/>
                <w:sz w:val="18"/>
              </w:rPr>
              <w:t>已完成</w:t>
            </w:r>
          </w:p>
        </w:tc>
        <w:tc>
          <w:tcPr>
            <w:tcW w:w="3229" w:type="dxa"/>
            <w:vAlign w:val="center"/>
          </w:tcPr>
          <w:p w14:paraId="039C20E5">
            <w:r>
              <w:rPr>
                <w:rFonts w:ascii="宋体" w:hAnsi="宋体"/>
                <w:sz w:val="18"/>
              </w:rPr>
              <w:t>新增格式化输出、Source/Propagation/Sink 分类、Mermaid 流程图和 Markdown 报告生成。</w:t>
            </w:r>
          </w:p>
        </w:tc>
      </w:tr>
      <w:tr w14:paraId="5E5401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6DEB7298">
            <w:pPr>
              <w:rPr>
                <w:lang w:eastAsia="zh-CN"/>
              </w:rPr>
            </w:pPr>
            <w:r>
              <w:rPr>
                <w:rFonts w:ascii="宋体" w:hAnsi="宋体"/>
                <w:sz w:val="18"/>
                <w:lang w:eastAsia="zh-CN"/>
              </w:rPr>
              <w:t>异步污点传播规则增强</w:t>
            </w:r>
          </w:p>
        </w:tc>
        <w:tc>
          <w:tcPr>
            <w:tcW w:w="3229" w:type="dxa"/>
            <w:vAlign w:val="center"/>
          </w:tcPr>
          <w:p w14:paraId="7C9822F5">
            <w:r>
              <w:rPr>
                <w:rFonts w:ascii="宋体" w:hAnsi="宋体"/>
                <w:sz w:val="18"/>
              </w:rPr>
              <w:t>已完成</w:t>
            </w:r>
          </w:p>
        </w:tc>
        <w:tc>
          <w:tcPr>
            <w:tcW w:w="3229" w:type="dxa"/>
            <w:vAlign w:val="center"/>
          </w:tcPr>
          <w:p w14:paraId="73820703">
            <w:r>
              <w:rPr>
                <w:rFonts w:ascii="宋体" w:hAnsi="宋体"/>
                <w:sz w:val="18"/>
              </w:rPr>
              <w:t>在 TaintAnalysis.ts 的 FlowFunction 规则层中增加 Promise/then/catch/await 相关传播规则。</w:t>
            </w:r>
          </w:p>
        </w:tc>
      </w:tr>
      <w:tr w14:paraId="0C086B5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57CDCF4D">
            <w:r>
              <w:rPr>
                <w:rFonts w:ascii="宋体" w:hAnsi="宋体"/>
                <w:sz w:val="18"/>
              </w:rPr>
              <w:t>指标统计</w:t>
            </w:r>
          </w:p>
        </w:tc>
        <w:tc>
          <w:tcPr>
            <w:tcW w:w="3229" w:type="dxa"/>
            <w:vAlign w:val="center"/>
          </w:tcPr>
          <w:p w14:paraId="0D96A7D3">
            <w:r>
              <w:rPr>
                <w:rFonts w:ascii="宋体" w:hAnsi="宋体"/>
                <w:sz w:val="18"/>
              </w:rPr>
              <w:t>已完成</w:t>
            </w:r>
          </w:p>
        </w:tc>
        <w:tc>
          <w:tcPr>
            <w:tcW w:w="3229" w:type="dxa"/>
            <w:vAlign w:val="center"/>
          </w:tcPr>
          <w:p w14:paraId="67B0FDE0">
            <w:r>
              <w:rPr>
                <w:rFonts w:ascii="宋体" w:hAnsi="宋体"/>
                <w:sz w:val="18"/>
              </w:rPr>
              <w:t>已根据当前测试记录计算原始 67 用例、异步 6 用例和扩展 73 用例的 TP/TN/FP/FN、Precision、Recall 等指标。</w:t>
            </w:r>
          </w:p>
        </w:tc>
      </w:tr>
    </w:tbl>
    <w:p w14:paraId="3A0BCBB1">
      <w:pPr>
        <w:pStyle w:val="164"/>
        <w:spacing w:before="40" w:after="160"/>
        <w:jc w:val="center"/>
      </w:pPr>
      <w:r>
        <w:rPr>
          <w:rFonts w:ascii="宋体" w:hAnsi="宋体"/>
          <w:sz w:val="20"/>
        </w:rPr>
        <w:t>表 2 项目完成情况汇总</w:t>
      </w:r>
    </w:p>
    <w:p w14:paraId="71921745">
      <w:pPr>
        <w:keepNext/>
        <w:spacing w:before="160" w:after="80"/>
      </w:pPr>
      <w:r>
        <w:rPr>
          <w:rFonts w:ascii="宋体" w:hAnsi="宋体" w:eastAsia="黑体"/>
          <w:b/>
          <w:sz w:val="24"/>
        </w:rPr>
        <w:t>3.3 总体流程设计</w:t>
      </w:r>
    </w:p>
    <w:p w14:paraId="0C93A755">
      <w:pPr>
        <w:spacing w:after="80"/>
        <w:ind w:firstLine="420"/>
        <w:rPr>
          <w:lang w:eastAsia="zh-CN"/>
        </w:rPr>
      </w:pPr>
      <w:r>
        <w:rPr>
          <w:rFonts w:ascii="宋体" w:hAnsi="宋体"/>
          <w:sz w:val="20"/>
          <w:lang w:eastAsia="zh-CN"/>
        </w:rPr>
        <w:t>项目整体流程遵循“环境准备—源码解析—入口建模—污点求解—结果展示”的链条。首先准备 HapFlow artifact、ArkAnalyzer 与 SDK 文件；然后通过 RealAppTest 指定测试项目路径，调用 ArkAnalyzer 建立 Scene 并进行类型推断；接着构造虚拟入口，完成指针分析与 source/sink 配置加载；最后调用污点分析求解器得到可疑泄露路径，并将结果转换为可读文本和Mermaid报告。</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422"/>
        <w:gridCol w:w="2422"/>
        <w:gridCol w:w="2422"/>
        <w:gridCol w:w="2422"/>
      </w:tblGrid>
      <w:tr w14:paraId="653759E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cantSplit/>
          <w:jc w:val="center"/>
        </w:trPr>
        <w:tc>
          <w:tcPr>
            <w:tcW w:w="2422" w:type="dxa"/>
            <w:shd w:val="clear" w:color="auto" w:fill="D9EAF7"/>
            <w:vAlign w:val="center"/>
          </w:tcPr>
          <w:p w14:paraId="178725B3">
            <w:pPr>
              <w:spacing w:after="0"/>
            </w:pPr>
            <w:r>
              <w:rPr>
                <w:b/>
                <w:sz w:val="18"/>
              </w:rPr>
              <w:t>阶段</w:t>
            </w:r>
          </w:p>
        </w:tc>
        <w:tc>
          <w:tcPr>
            <w:tcW w:w="2422" w:type="dxa"/>
            <w:shd w:val="clear" w:color="auto" w:fill="D9EAF7"/>
            <w:vAlign w:val="center"/>
          </w:tcPr>
          <w:p w14:paraId="36BDF1E2">
            <w:pPr>
              <w:spacing w:after="0"/>
            </w:pPr>
            <w:r>
              <w:rPr>
                <w:b/>
                <w:sz w:val="18"/>
              </w:rPr>
              <w:t>输入</w:t>
            </w:r>
          </w:p>
        </w:tc>
        <w:tc>
          <w:tcPr>
            <w:tcW w:w="2422" w:type="dxa"/>
            <w:shd w:val="clear" w:color="auto" w:fill="D9EAF7"/>
            <w:vAlign w:val="center"/>
          </w:tcPr>
          <w:p w14:paraId="2FF54B3C">
            <w:pPr>
              <w:spacing w:after="0"/>
            </w:pPr>
            <w:r>
              <w:rPr>
                <w:b/>
                <w:sz w:val="18"/>
              </w:rPr>
              <w:t>处理</w:t>
            </w:r>
          </w:p>
        </w:tc>
        <w:tc>
          <w:tcPr>
            <w:tcW w:w="2422" w:type="dxa"/>
            <w:shd w:val="clear" w:color="auto" w:fill="D9EAF7"/>
            <w:vAlign w:val="center"/>
          </w:tcPr>
          <w:p w14:paraId="7054185B">
            <w:pPr>
              <w:spacing w:after="0"/>
            </w:pPr>
            <w:r>
              <w:rPr>
                <w:b/>
                <w:sz w:val="18"/>
              </w:rPr>
              <w:t>输出</w:t>
            </w:r>
          </w:p>
        </w:tc>
      </w:tr>
      <w:tr w14:paraId="329AC9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422" w:type="dxa"/>
            <w:vAlign w:val="center"/>
          </w:tcPr>
          <w:p w14:paraId="17812D6B">
            <w:pPr>
              <w:spacing w:after="0"/>
            </w:pPr>
            <w:r>
              <w:rPr>
                <w:sz w:val="18"/>
              </w:rPr>
              <w:t>环境准备</w:t>
            </w:r>
          </w:p>
        </w:tc>
        <w:tc>
          <w:tcPr>
            <w:tcW w:w="2422" w:type="dxa"/>
            <w:vAlign w:val="center"/>
          </w:tcPr>
          <w:p w14:paraId="51B81951">
            <w:pPr>
              <w:spacing w:after="0"/>
            </w:pPr>
            <w:r>
              <w:rPr>
                <w:sz w:val="18"/>
              </w:rPr>
              <w:t>HapFlow、ArkAnalyzer、SDK</w:t>
            </w:r>
          </w:p>
        </w:tc>
        <w:tc>
          <w:tcPr>
            <w:tcW w:w="2422" w:type="dxa"/>
            <w:vAlign w:val="center"/>
          </w:tcPr>
          <w:p w14:paraId="1EB02227">
            <w:pPr>
              <w:spacing w:after="0"/>
              <w:rPr>
                <w:lang w:eastAsia="zh-CN"/>
              </w:rPr>
            </w:pPr>
            <w:r>
              <w:rPr>
                <w:sz w:val="18"/>
                <w:lang w:eastAsia="zh-CN"/>
              </w:rPr>
              <w:t>安装依赖并建立本地链接</w:t>
            </w:r>
          </w:p>
        </w:tc>
        <w:tc>
          <w:tcPr>
            <w:tcW w:w="2422" w:type="dxa"/>
            <w:vAlign w:val="center"/>
          </w:tcPr>
          <w:p w14:paraId="661AF0F5">
            <w:pPr>
              <w:spacing w:after="0"/>
            </w:pPr>
            <w:r>
              <w:rPr>
                <w:sz w:val="18"/>
              </w:rPr>
              <w:t>可执行分析工程</w:t>
            </w:r>
          </w:p>
        </w:tc>
      </w:tr>
      <w:tr w14:paraId="5146469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422" w:type="dxa"/>
            <w:vAlign w:val="center"/>
          </w:tcPr>
          <w:p w14:paraId="772121E9">
            <w:pPr>
              <w:spacing w:after="0"/>
            </w:pPr>
            <w:r>
              <w:rPr>
                <w:sz w:val="18"/>
              </w:rPr>
              <w:t>源码解析</w:t>
            </w:r>
          </w:p>
        </w:tc>
        <w:tc>
          <w:tcPr>
            <w:tcW w:w="2422" w:type="dxa"/>
            <w:vAlign w:val="center"/>
          </w:tcPr>
          <w:p w14:paraId="4D1EEE71">
            <w:pPr>
              <w:spacing w:after="0"/>
            </w:pPr>
            <w:r>
              <w:rPr>
                <w:sz w:val="18"/>
              </w:rPr>
              <w:t>OpenHarmony 项目路径</w:t>
            </w:r>
          </w:p>
        </w:tc>
        <w:tc>
          <w:tcPr>
            <w:tcW w:w="2422" w:type="dxa"/>
            <w:vAlign w:val="center"/>
          </w:tcPr>
          <w:p w14:paraId="36AE3633">
            <w:pPr>
              <w:spacing w:after="0"/>
            </w:pPr>
            <w:r>
              <w:rPr>
                <w:sz w:val="18"/>
              </w:rPr>
              <w:t>构建 Scene 并进行类型推断</w:t>
            </w:r>
          </w:p>
        </w:tc>
        <w:tc>
          <w:tcPr>
            <w:tcW w:w="2422" w:type="dxa"/>
            <w:vAlign w:val="center"/>
          </w:tcPr>
          <w:p w14:paraId="54621180">
            <w:pPr>
              <w:spacing w:after="0"/>
            </w:pPr>
            <w:r>
              <w:rPr>
                <w:sz w:val="18"/>
              </w:rPr>
              <w:t>Scene、方法、CFG、ArkIR</w:t>
            </w:r>
          </w:p>
        </w:tc>
      </w:tr>
      <w:tr w14:paraId="0E8957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422" w:type="dxa"/>
            <w:vAlign w:val="center"/>
          </w:tcPr>
          <w:p w14:paraId="100E3E89">
            <w:pPr>
              <w:spacing w:after="0"/>
            </w:pPr>
            <w:r>
              <w:rPr>
                <w:sz w:val="18"/>
              </w:rPr>
              <w:t>入口构造</w:t>
            </w:r>
          </w:p>
        </w:tc>
        <w:tc>
          <w:tcPr>
            <w:tcW w:w="2422" w:type="dxa"/>
            <w:vAlign w:val="center"/>
          </w:tcPr>
          <w:p w14:paraId="0D81CC0A">
            <w:pPr>
              <w:spacing w:after="0"/>
            </w:pPr>
            <w:r>
              <w:rPr>
                <w:sz w:val="18"/>
              </w:rPr>
              <w:t>项目组件与回调</w:t>
            </w:r>
          </w:p>
        </w:tc>
        <w:tc>
          <w:tcPr>
            <w:tcW w:w="2422" w:type="dxa"/>
            <w:vAlign w:val="center"/>
          </w:tcPr>
          <w:p w14:paraId="477D4CEF">
            <w:pPr>
              <w:spacing w:after="0"/>
              <w:rPr>
                <w:lang w:eastAsia="zh-CN"/>
              </w:rPr>
            </w:pPr>
            <w:r>
              <w:rPr>
                <w:sz w:val="18"/>
                <w:lang w:eastAsia="zh-CN"/>
              </w:rPr>
              <w:t>构造虚拟入口以覆盖隐式调用</w:t>
            </w:r>
          </w:p>
        </w:tc>
        <w:tc>
          <w:tcPr>
            <w:tcW w:w="2422" w:type="dxa"/>
            <w:vAlign w:val="center"/>
          </w:tcPr>
          <w:p w14:paraId="2CFD5A98">
            <w:pPr>
              <w:spacing w:after="0"/>
            </w:pPr>
            <w:r>
              <w:rPr>
                <w:sz w:val="18"/>
              </w:rPr>
              <w:t>统一分析入口</w:t>
            </w:r>
          </w:p>
        </w:tc>
      </w:tr>
      <w:tr w14:paraId="6BDAB7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422" w:type="dxa"/>
            <w:vAlign w:val="center"/>
          </w:tcPr>
          <w:p w14:paraId="45DC9144">
            <w:pPr>
              <w:spacing w:after="0"/>
            </w:pPr>
            <w:r>
              <w:rPr>
                <w:sz w:val="18"/>
              </w:rPr>
              <w:t>污点求解</w:t>
            </w:r>
          </w:p>
        </w:tc>
        <w:tc>
          <w:tcPr>
            <w:tcW w:w="2422" w:type="dxa"/>
            <w:vAlign w:val="center"/>
          </w:tcPr>
          <w:p w14:paraId="39BDC2DB">
            <w:pPr>
              <w:spacing w:after="0"/>
            </w:pPr>
            <w:r>
              <w:rPr>
                <w:sz w:val="18"/>
              </w:rPr>
              <w:t>source/sink 配置与指针分析结果</w:t>
            </w:r>
          </w:p>
        </w:tc>
        <w:tc>
          <w:tcPr>
            <w:tcW w:w="2422" w:type="dxa"/>
            <w:vAlign w:val="center"/>
          </w:tcPr>
          <w:p w14:paraId="3FE92DA4">
            <w:pPr>
              <w:spacing w:after="0"/>
              <w:rPr>
                <w:lang w:eastAsia="zh-CN"/>
              </w:rPr>
            </w:pPr>
            <w:r>
              <w:rPr>
                <w:sz w:val="18"/>
                <w:lang w:eastAsia="zh-CN"/>
              </w:rPr>
              <w:t>建立污点问题并执行求解</w:t>
            </w:r>
          </w:p>
        </w:tc>
        <w:tc>
          <w:tcPr>
            <w:tcW w:w="2422" w:type="dxa"/>
            <w:vAlign w:val="center"/>
          </w:tcPr>
          <w:p w14:paraId="6F88BD80">
            <w:pPr>
              <w:spacing w:after="0"/>
            </w:pPr>
            <w:r>
              <w:rPr>
                <w:sz w:val="18"/>
              </w:rPr>
              <w:t>source-to-sink 数据流</w:t>
            </w:r>
          </w:p>
        </w:tc>
      </w:tr>
      <w:tr w14:paraId="5E442DE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422" w:type="dxa"/>
            <w:vAlign w:val="center"/>
          </w:tcPr>
          <w:p w14:paraId="40CF1CF9">
            <w:pPr>
              <w:spacing w:after="0"/>
            </w:pPr>
            <w:r>
              <w:rPr>
                <w:sz w:val="18"/>
              </w:rPr>
              <w:t>结果展示</w:t>
            </w:r>
          </w:p>
        </w:tc>
        <w:tc>
          <w:tcPr>
            <w:tcW w:w="2422" w:type="dxa"/>
            <w:vAlign w:val="center"/>
          </w:tcPr>
          <w:p w14:paraId="64974B81">
            <w:pPr>
              <w:spacing w:after="0"/>
            </w:pPr>
            <w:r>
              <w:rPr>
                <w:sz w:val="18"/>
              </w:rPr>
              <w:t>原始分析输出</w:t>
            </w:r>
          </w:p>
        </w:tc>
        <w:tc>
          <w:tcPr>
            <w:tcW w:w="2422" w:type="dxa"/>
            <w:vAlign w:val="center"/>
          </w:tcPr>
          <w:p w14:paraId="1B3885E8">
            <w:pPr>
              <w:spacing w:after="0"/>
              <w:rPr>
                <w:lang w:eastAsia="zh-CN"/>
              </w:rPr>
            </w:pPr>
            <w:r>
              <w:rPr>
                <w:sz w:val="18"/>
                <w:lang w:eastAsia="zh-CN"/>
              </w:rPr>
              <w:t>可读化格式与流程图生成</w:t>
            </w:r>
          </w:p>
        </w:tc>
        <w:tc>
          <w:tcPr>
            <w:tcW w:w="2422" w:type="dxa"/>
            <w:vAlign w:val="center"/>
          </w:tcPr>
          <w:p w14:paraId="6275DA4A">
            <w:pPr>
              <w:spacing w:after="0"/>
            </w:pPr>
            <w:r>
              <w:rPr>
                <w:sz w:val="18"/>
              </w:rPr>
              <w:t>图形化 Taint Analysis Report</w:t>
            </w:r>
          </w:p>
        </w:tc>
      </w:tr>
    </w:tbl>
    <w:p w14:paraId="78A1319B">
      <w:pPr>
        <w:pStyle w:val="164"/>
        <w:spacing w:before="40" w:after="160"/>
        <w:jc w:val="center"/>
      </w:pPr>
      <w:r>
        <w:rPr>
          <w:rFonts w:ascii="宋体" w:hAnsi="宋体"/>
          <w:sz w:val="20"/>
        </w:rPr>
        <w:t>表 3 项目总体流程</w:t>
      </w:r>
    </w:p>
    <w:p w14:paraId="5AF906D6">
      <w:pPr>
        <w:keepNext/>
        <w:spacing w:before="240" w:after="120"/>
      </w:pPr>
      <w:r>
        <w:rPr>
          <w:rFonts w:ascii="宋体" w:hAnsi="宋体" w:eastAsia="黑体"/>
          <w:b/>
          <w:sz w:val="28"/>
        </w:rPr>
        <w:t>4 HapFlow 工具功能解析</w:t>
      </w:r>
    </w:p>
    <w:p w14:paraId="1E881F94">
      <w:pPr>
        <w:keepNext/>
        <w:spacing w:before="160" w:after="80"/>
      </w:pPr>
      <w:r>
        <w:rPr>
          <w:rFonts w:ascii="宋体" w:hAnsi="宋体" w:eastAsia="黑体"/>
          <w:b/>
          <w:sz w:val="24"/>
        </w:rPr>
        <w:t>4.1 环境配置与输入参数</w:t>
      </w:r>
    </w:p>
    <w:p w14:paraId="67303074">
      <w:pPr>
        <w:spacing w:after="80"/>
        <w:ind w:firstLine="420"/>
      </w:pPr>
      <w:r>
        <w:rPr>
          <w:rFonts w:ascii="宋体" w:hAnsi="宋体"/>
          <w:sz w:val="20"/>
        </w:rPr>
        <w:t>本项目中的配置流程包括依赖安装、HapFlow 与 ArkAnalyzer 本地链接以及 RealAppTest/BenchTest 执行。该链接步骤非常关键，如果 HapFlow 未成功安装上级目录中的 ArkAnalyzer，则无法调用底层解析能力。正文不再直接展示命令代码，完整命令见附录 A。</w:t>
      </w:r>
    </w:p>
    <w:p w14:paraId="3EBFBB1E">
      <w:pPr>
        <w:spacing w:after="80"/>
        <w:ind w:firstLine="420"/>
        <w:rPr>
          <w:lang w:eastAsia="zh-CN"/>
        </w:rPr>
      </w:pPr>
      <w:r>
        <w:rPr>
          <w:rFonts w:ascii="宋体" w:hAnsi="宋体"/>
          <w:sz w:val="20"/>
        </w:rPr>
        <w:t>工具输入主要包括待分析 OpenHarmony 项目路径、OpenHarmony SDK 路径、HMS SDK 路径以及 source/sink 配置文件。RealAppTest 用于单个项目处理，BenchTest 用于批量处理。</w:t>
      </w:r>
      <w:r>
        <w:rPr>
          <w:rFonts w:ascii="宋体" w:hAnsi="宋体"/>
          <w:sz w:val="20"/>
          <w:lang w:eastAsia="zh-CN"/>
        </w:rPr>
        <w:t>本项目已完成 HapBench 67 个测试用例的批量运行；为了便于解释分析结果，正文以一个代表性用例为主说明路径含义。</w:t>
      </w:r>
    </w:p>
    <w:p w14:paraId="5C7A33BB">
      <w:pPr>
        <w:keepNext/>
        <w:spacing w:before="160" w:after="80"/>
        <w:rPr>
          <w:lang w:eastAsia="zh-CN"/>
        </w:rPr>
      </w:pPr>
      <w:r>
        <w:rPr>
          <w:rFonts w:ascii="宋体" w:hAnsi="宋体" w:eastAsia="黑体"/>
          <w:b/>
          <w:sz w:val="24"/>
          <w:lang w:eastAsia="zh-CN"/>
        </w:rPr>
        <w:t>4.2 源码解析与中间表示构造</w:t>
      </w:r>
    </w:p>
    <w:p w14:paraId="571F71DC">
      <w:pPr>
        <w:spacing w:after="80"/>
        <w:ind w:firstLine="420"/>
        <w:rPr>
          <w:lang w:eastAsia="zh-CN"/>
        </w:rPr>
      </w:pPr>
      <w:r>
        <w:rPr>
          <w:rFonts w:ascii="宋体" w:hAnsi="宋体"/>
          <w:sz w:val="20"/>
          <w:lang w:eastAsia="zh-CN"/>
        </w:rPr>
        <w:t>源码解析阶段由 ArkAnalyzer 完成。工具首先根据项目路径和 SDK 配置构建 Scene，Scene 可以理解为整个待分析 OpenHarmony 工程的程序抽象集合。随后，工具执行类型推断，补全 ArkTS 源码中的类型信息，为后续控制流图、调用图和污点传播分析提供基础。</w:t>
      </w:r>
    </w:p>
    <w:p w14:paraId="6C5FF875">
      <w:pPr>
        <w:spacing w:after="80"/>
        <w:ind w:firstLine="420"/>
        <w:rPr>
          <w:lang w:eastAsia="zh-CN"/>
        </w:rPr>
      </w:pPr>
      <w:r>
        <w:rPr>
          <w:rFonts w:ascii="宋体" w:hAnsi="宋体"/>
          <w:sz w:val="20"/>
          <w:lang w:eastAsia="zh-CN"/>
        </w:rPr>
        <w:t>解析结果并不是直接在源代码文本上分析，而是转换为 ArkIR 语句、方法对象和控制流图等中间表示。这样做的好处是可以统一处理赋值语句、函数调用、字段访问和对象别名等结构，使污点传播算法能够沿着程序语义而不是文本形式进行分析。</w:t>
      </w:r>
    </w:p>
    <w:p w14:paraId="38CBA427">
      <w:pPr>
        <w:keepNext/>
        <w:spacing w:before="160" w:after="80"/>
        <w:rPr>
          <w:lang w:eastAsia="zh-CN"/>
        </w:rPr>
      </w:pPr>
      <w:r>
        <w:rPr>
          <w:rFonts w:ascii="宋体" w:hAnsi="宋体" w:eastAsia="黑体"/>
          <w:b/>
          <w:sz w:val="24"/>
          <w:lang w:eastAsia="zh-CN"/>
        </w:rPr>
        <w:t>4.3 虚拟入口、指针分析与污点问题建模</w:t>
      </w:r>
    </w:p>
    <w:p w14:paraId="77654B8C">
      <w:pPr>
        <w:spacing w:after="80"/>
        <w:ind w:firstLine="420"/>
        <w:rPr>
          <w:lang w:eastAsia="zh-CN"/>
        </w:rPr>
      </w:pPr>
      <w:r>
        <w:rPr>
          <w:rFonts w:ascii="宋体" w:hAnsi="宋体"/>
          <w:sz w:val="20"/>
          <w:lang w:eastAsia="zh-CN"/>
        </w:rPr>
        <w:t>OpenHarmony 应用中存在大量由框架隐式触发的生命周期函数和回调函数。为了让静态分析覆盖这些入口，HapFlow 使用 DummyMainCreater 构造虚拟入口，将可能被系统调用的入口函数组织到统一分析入口中。该思想与 Android 静态分析中的 dummy main 类似，但需要适配 ArkTS 和 ArkUI 的声明式结构。</w:t>
      </w:r>
    </w:p>
    <w:p w14:paraId="041042D5">
      <w:pPr>
        <w:spacing w:after="80"/>
        <w:ind w:firstLine="420"/>
        <w:rPr>
          <w:lang w:eastAsia="zh-CN"/>
        </w:rPr>
      </w:pPr>
      <w:r>
        <w:rPr>
          <w:rFonts w:ascii="宋体" w:hAnsi="宋体"/>
          <w:sz w:val="20"/>
          <w:lang w:eastAsia="zh-CN"/>
        </w:rPr>
        <w:t>在入口构造之后，工具执行指针分析，用于推断变量、对象字段和别名之间的关系。对于本项目的测试用例，敏感数据可能先赋值给对象字段，再通过另一个变量别名访问。如果缺少指针和别名关系，工具可能无法判断 b.str 与 a.str 指向同一数据，从而导致漏报。</w:t>
      </w:r>
    </w:p>
    <w:p w14:paraId="7EE09A5A">
      <w:pPr>
        <w:spacing w:after="80"/>
        <w:ind w:firstLine="420"/>
      </w:pPr>
      <w:r>
        <w:rPr>
          <w:rFonts w:ascii="宋体" w:hAnsi="宋体"/>
          <w:sz w:val="20"/>
        </w:rPr>
        <w:t>污点问题建模阶段由 TaintAnalysisChecker 完成。该模块加载 source/sink 配置文件，确定哪些 OpenHarmony API 是敏感数据源、哪些 API 是危险输出点，然后将这些信息交给 TaintAnalysisSolver 进行求解。</w:t>
      </w:r>
    </w:p>
    <w:p w14:paraId="098E58A6">
      <w:pPr>
        <w:keepNext/>
        <w:spacing w:before="160" w:after="80"/>
        <w:rPr>
          <w:lang w:eastAsia="zh-CN"/>
        </w:rPr>
      </w:pPr>
      <w:r>
        <w:rPr>
          <w:rFonts w:ascii="宋体" w:hAnsi="宋体" w:eastAsia="黑体"/>
          <w:b/>
          <w:sz w:val="24"/>
          <w:lang w:eastAsia="zh-CN"/>
        </w:rPr>
        <w:t>4.4 输出结构与可视化设计</w:t>
      </w:r>
    </w:p>
    <w:p w14:paraId="34EB85CA">
      <w:pPr>
        <w:spacing w:after="80"/>
        <w:ind w:firstLine="420"/>
        <w:rPr>
          <w:lang w:eastAsia="zh-CN"/>
        </w:rPr>
      </w:pPr>
      <w:r>
        <w:rPr>
          <w:rFonts w:ascii="宋体" w:hAnsi="宋体"/>
          <w:sz w:val="20"/>
          <w:lang w:eastAsia="zh-CN"/>
        </w:rPr>
        <w:t>本项目在输出格式方面进行了改进和可视化展示。原始 HapFlow 输出中 source 和 sink 常显示为 [object Object]，不利于人工理解。本项目新增格式化输出逻辑，将结果组织为 Tainted Value、Propagation Path、Source/Propagation/Sink 分类标签、ArkIR Statement、源码关联行以及Mermaid流程图，使报告既能反映工具的原始分析结果，也便于人工解释和结题展示。</w:t>
      </w:r>
    </w:p>
    <w:p w14:paraId="4A7853AD">
      <w:pPr>
        <w:keepNext/>
        <w:spacing w:before="240" w:after="120"/>
        <w:rPr>
          <w:lang w:eastAsia="zh-CN"/>
        </w:rPr>
      </w:pPr>
      <w:r>
        <w:rPr>
          <w:rFonts w:ascii="宋体" w:hAnsi="宋体"/>
          <w:sz w:val="20"/>
          <w:lang w:eastAsia="zh-CN"/>
        </w:rPr>
        <w:t>5 HapBench 批量实验与代表用例分析</w:t>
      </w:r>
    </w:p>
    <w:p w14:paraId="052EDDA8">
      <w:pPr>
        <w:keepNext/>
        <w:spacing w:before="160" w:after="80"/>
        <w:rPr>
          <w:lang w:eastAsia="zh-CN"/>
        </w:rPr>
      </w:pPr>
      <w:r>
        <w:rPr>
          <w:rFonts w:ascii="宋体" w:hAnsi="宋体" w:eastAsia="黑体"/>
          <w:b/>
          <w:sz w:val="24"/>
          <w:lang w:eastAsia="zh-CN"/>
        </w:rPr>
        <w:t>5.1 测试案例说明</w:t>
      </w:r>
    </w:p>
    <w:p w14:paraId="71FA2648">
      <w:pPr>
        <w:spacing w:after="80"/>
        <w:ind w:firstLine="420"/>
        <w:rPr>
          <w:lang w:eastAsia="zh-CN"/>
        </w:rPr>
      </w:pPr>
      <w:r>
        <w:rPr>
          <w:rFonts w:ascii="宋体" w:hAnsi="宋体"/>
          <w:sz w:val="20"/>
          <w:lang w:eastAsia="zh-CN"/>
        </w:rPr>
        <w:t>本项目已对 HapBench 67 个测试用例进行批量运行。由于完整日志篇幅较长，本文不在正文中逐条展开所有用例，而是选取一个代表性测试案例说明工具输出的含义。该案例模拟 OpenHarmony 应用获取定位信息并输出日志的过程：首先调用 geoLocationManager.getLastLocation() 获取设备最近一次定位信息；随后使用 JSON.stringify() 将定位对象转换为字符串；最后将字符串变量传入 hilog.info() 日志输出接口。</w:t>
      </w:r>
    </w:p>
    <w:p w14:paraId="249B9776">
      <w:pPr>
        <w:spacing w:after="80"/>
        <w:ind w:firstLine="420"/>
        <w:rPr>
          <w:lang w:eastAsia="zh-CN"/>
        </w:rPr>
      </w:pPr>
      <w:r>
        <w:rPr>
          <w:rFonts w:ascii="宋体" w:hAnsi="宋体"/>
          <w:sz w:val="20"/>
          <w:lang w:eastAsia="zh-CN"/>
        </w:rPr>
        <w:t>在污点分析语义中，定位 API 是 source，字符串转换和变量赋值属于 propagation，日志输出函数是 sink。因此，若工具能够从中识别出完整路径，就说明当前配置下 HapFlow 可以发现该类定位信息泄露。测试源码完整片段见附录 B。</w:t>
      </w:r>
    </w:p>
    <w:p w14:paraId="000E54BA">
      <w:pPr>
        <w:keepNext/>
        <w:spacing w:before="160" w:after="80"/>
        <w:rPr>
          <w:lang w:eastAsia="zh-CN"/>
        </w:rPr>
      </w:pPr>
      <w:r>
        <w:rPr>
          <w:rFonts w:ascii="宋体" w:hAnsi="宋体" w:eastAsia="黑体"/>
          <w:b/>
          <w:sz w:val="24"/>
          <w:lang w:eastAsia="zh-CN"/>
        </w:rPr>
        <w:t>5.2 运行结果解释</w:t>
      </w:r>
    </w:p>
    <w:p w14:paraId="40D5024B">
      <w:pPr>
        <w:spacing w:after="80"/>
        <w:ind w:firstLine="420"/>
        <w:rPr>
          <w:lang w:eastAsia="zh-CN"/>
        </w:rPr>
      </w:pPr>
      <w:r>
        <w:rPr>
          <w:rFonts w:ascii="宋体" w:hAnsi="宋体"/>
          <w:sz w:val="20"/>
          <w:lang w:eastAsia="zh-CN"/>
        </w:rPr>
        <w:t>运行结果显示工具检测到 1 条可疑泄露路径，污点变量为 info。该结果可以分解为三个关键步骤：第一步调用定位 API 产生敏感数据；第二步通过 JSON.stringify() 将敏感对象转化为字符串并赋值给 info；第三步将 info 作为参数传入 hilog.info()，形成日志输出泄露。</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229"/>
        <w:gridCol w:w="3229"/>
        <w:gridCol w:w="3229"/>
      </w:tblGrid>
      <w:tr w14:paraId="0C1832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shd w:val="clear" w:color="auto" w:fill="D9EAF7"/>
            <w:vAlign w:val="center"/>
          </w:tcPr>
          <w:p w14:paraId="46C5BCDB">
            <w:pPr>
              <w:spacing w:after="0"/>
            </w:pPr>
            <w:r>
              <w:rPr>
                <w:b/>
                <w:sz w:val="18"/>
              </w:rPr>
              <w:t>输出要素</w:t>
            </w:r>
          </w:p>
        </w:tc>
        <w:tc>
          <w:tcPr>
            <w:tcW w:w="3229" w:type="dxa"/>
            <w:shd w:val="clear" w:color="auto" w:fill="D9EAF7"/>
            <w:vAlign w:val="center"/>
          </w:tcPr>
          <w:p w14:paraId="2AEAFB38">
            <w:pPr>
              <w:spacing w:after="0"/>
            </w:pPr>
            <w:r>
              <w:rPr>
                <w:b/>
                <w:sz w:val="18"/>
              </w:rPr>
              <w:t>含义</w:t>
            </w:r>
          </w:p>
        </w:tc>
        <w:tc>
          <w:tcPr>
            <w:tcW w:w="3229" w:type="dxa"/>
            <w:shd w:val="clear" w:color="auto" w:fill="D9EAF7"/>
            <w:vAlign w:val="center"/>
          </w:tcPr>
          <w:p w14:paraId="13B46F22">
            <w:pPr>
              <w:spacing w:after="0"/>
            </w:pPr>
            <w:r>
              <w:rPr>
                <w:b/>
                <w:sz w:val="18"/>
              </w:rPr>
              <w:t>实验解释</w:t>
            </w:r>
          </w:p>
        </w:tc>
      </w:tr>
      <w:tr w14:paraId="1AE8591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1751BAF0">
            <w:pPr>
              <w:spacing w:after="0"/>
            </w:pPr>
            <w:r>
              <w:rPr>
                <w:sz w:val="18"/>
              </w:rPr>
              <w:t>Leak 1</w:t>
            </w:r>
          </w:p>
        </w:tc>
        <w:tc>
          <w:tcPr>
            <w:tcW w:w="3229" w:type="dxa"/>
            <w:vAlign w:val="center"/>
          </w:tcPr>
          <w:p w14:paraId="357D3ACA">
            <w:pPr>
              <w:spacing w:after="0"/>
            </w:pPr>
            <w:r>
              <w:rPr>
                <w:sz w:val="18"/>
              </w:rPr>
              <w:t>第 1 条可疑泄露路径</w:t>
            </w:r>
          </w:p>
        </w:tc>
        <w:tc>
          <w:tcPr>
            <w:tcW w:w="3229" w:type="dxa"/>
            <w:vAlign w:val="center"/>
          </w:tcPr>
          <w:p w14:paraId="20453AAA">
            <w:pPr>
              <w:spacing w:after="0"/>
            </w:pPr>
            <w:r>
              <w:rPr>
                <w:sz w:val="18"/>
              </w:rPr>
              <w:t>说明当前测试案例中至少发现一条 source-to-sink 数据流。</w:t>
            </w:r>
          </w:p>
        </w:tc>
      </w:tr>
      <w:tr w14:paraId="1DA350F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5EAE65DA">
            <w:pPr>
              <w:spacing w:after="0"/>
            </w:pPr>
            <w:r>
              <w:rPr>
                <w:sz w:val="18"/>
              </w:rPr>
              <w:t>Tainted Value: info</w:t>
            </w:r>
          </w:p>
        </w:tc>
        <w:tc>
          <w:tcPr>
            <w:tcW w:w="3229" w:type="dxa"/>
            <w:vAlign w:val="center"/>
          </w:tcPr>
          <w:p w14:paraId="63863343">
            <w:pPr>
              <w:spacing w:after="0"/>
            </w:pPr>
            <w:r>
              <w:rPr>
                <w:sz w:val="18"/>
              </w:rPr>
              <w:t>被污染的变量</w:t>
            </w:r>
          </w:p>
        </w:tc>
        <w:tc>
          <w:tcPr>
            <w:tcW w:w="3229" w:type="dxa"/>
            <w:vAlign w:val="center"/>
          </w:tcPr>
          <w:p w14:paraId="2E696DBA">
            <w:pPr>
              <w:spacing w:after="0"/>
            </w:pPr>
            <w:r>
              <w:rPr>
                <w:sz w:val="18"/>
              </w:rPr>
              <w:t>info 保存了由定位 API 得到并字符串化后的敏感信息。</w:t>
            </w:r>
          </w:p>
        </w:tc>
      </w:tr>
      <w:tr w14:paraId="6482D96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1D66BA47">
            <w:pPr>
              <w:spacing w:after="0"/>
            </w:pPr>
            <w:r>
              <w:rPr>
                <w:sz w:val="18"/>
              </w:rPr>
              <w:t>source statement</w:t>
            </w:r>
          </w:p>
        </w:tc>
        <w:tc>
          <w:tcPr>
            <w:tcW w:w="3229" w:type="dxa"/>
            <w:vAlign w:val="center"/>
          </w:tcPr>
          <w:p w14:paraId="0904EA65">
            <w:pPr>
              <w:spacing w:after="0"/>
            </w:pPr>
            <w:r>
              <w:rPr>
                <w:sz w:val="18"/>
              </w:rPr>
              <w:t>敏感数据产生语句</w:t>
            </w:r>
          </w:p>
        </w:tc>
        <w:tc>
          <w:tcPr>
            <w:tcW w:w="3229" w:type="dxa"/>
            <w:vAlign w:val="center"/>
          </w:tcPr>
          <w:p w14:paraId="1CA0EBCD">
            <w:pPr>
              <w:spacing w:after="0"/>
            </w:pPr>
            <w:r>
              <w:rPr>
                <w:sz w:val="18"/>
              </w:rPr>
              <w:t>getLastLocation() 返回设备位置信息。</w:t>
            </w:r>
          </w:p>
        </w:tc>
      </w:tr>
      <w:tr w14:paraId="6DE6224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0ADB64FE">
            <w:pPr>
              <w:spacing w:after="0"/>
            </w:pPr>
            <w:r>
              <w:rPr>
                <w:sz w:val="18"/>
              </w:rPr>
              <w:t>propagation statement</w:t>
            </w:r>
          </w:p>
        </w:tc>
        <w:tc>
          <w:tcPr>
            <w:tcW w:w="3229" w:type="dxa"/>
            <w:vAlign w:val="center"/>
          </w:tcPr>
          <w:p w14:paraId="1DBE2191">
            <w:pPr>
              <w:spacing w:after="0"/>
            </w:pPr>
            <w:r>
              <w:rPr>
                <w:sz w:val="18"/>
              </w:rPr>
              <w:t>中间传播语句</w:t>
            </w:r>
          </w:p>
        </w:tc>
        <w:tc>
          <w:tcPr>
            <w:tcW w:w="3229" w:type="dxa"/>
            <w:vAlign w:val="center"/>
          </w:tcPr>
          <w:p w14:paraId="221A817B">
            <w:pPr>
              <w:spacing w:after="0"/>
            </w:pPr>
            <w:r>
              <w:rPr>
                <w:sz w:val="18"/>
              </w:rPr>
              <w:t>JSON.stringify() 不消除敏感性，只改变数据表示形式。</w:t>
            </w:r>
          </w:p>
        </w:tc>
      </w:tr>
      <w:tr w14:paraId="475418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30BEBCEA">
            <w:pPr>
              <w:spacing w:after="0"/>
            </w:pPr>
            <w:r>
              <w:rPr>
                <w:sz w:val="18"/>
              </w:rPr>
              <w:t>sink statement</w:t>
            </w:r>
          </w:p>
        </w:tc>
        <w:tc>
          <w:tcPr>
            <w:tcW w:w="3229" w:type="dxa"/>
            <w:vAlign w:val="center"/>
          </w:tcPr>
          <w:p w14:paraId="206227DD">
            <w:pPr>
              <w:spacing w:after="0"/>
            </w:pPr>
            <w:r>
              <w:rPr>
                <w:sz w:val="18"/>
              </w:rPr>
              <w:t>危险输出语句</w:t>
            </w:r>
          </w:p>
        </w:tc>
        <w:tc>
          <w:tcPr>
            <w:tcW w:w="3229" w:type="dxa"/>
            <w:vAlign w:val="center"/>
          </w:tcPr>
          <w:p w14:paraId="70A00E5E">
            <w:pPr>
              <w:spacing w:after="0"/>
              <w:rPr>
                <w:lang w:eastAsia="zh-CN"/>
              </w:rPr>
            </w:pPr>
            <w:r>
              <w:rPr>
                <w:sz w:val="18"/>
                <w:lang w:eastAsia="zh-CN"/>
              </w:rPr>
              <w:t>hilog.info() 将携带敏感信息的变量写入日志。</w:t>
            </w:r>
          </w:p>
        </w:tc>
      </w:tr>
    </w:tbl>
    <w:p w14:paraId="002E2D5D">
      <w:pPr>
        <w:pStyle w:val="164"/>
        <w:spacing w:before="40" w:after="160"/>
        <w:jc w:val="center"/>
        <w:rPr>
          <w:lang w:eastAsia="zh-CN"/>
        </w:rPr>
      </w:pPr>
      <w:r>
        <w:rPr>
          <w:rFonts w:ascii="宋体" w:hAnsi="宋体"/>
          <w:sz w:val="20"/>
          <w:lang w:eastAsia="zh-CN"/>
        </w:rPr>
        <w:t>表 4 代表性用例输出含义说明</w:t>
      </w:r>
    </w:p>
    <w:p w14:paraId="068F02EF">
      <w:pPr>
        <w:jc w:val="center"/>
      </w:pPr>
      <w:r>
        <w:rPr>
          <w:rFonts w:ascii="宋体" w:hAnsi="宋体"/>
          <w:sz w:val="20"/>
        </w:rPr>
        <w:drawing>
          <wp:inline distT="0" distB="0" distL="0" distR="0">
            <wp:extent cx="5651500" cy="37782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652926" cy="3779203"/>
                    </a:xfrm>
                    <a:prstGeom prst="rect">
                      <a:avLst/>
                    </a:prstGeom>
                  </pic:spPr>
                </pic:pic>
              </a:graphicData>
            </a:graphic>
          </wp:inline>
        </w:drawing>
      </w:r>
    </w:p>
    <w:p w14:paraId="37703C81">
      <w:pPr>
        <w:pStyle w:val="164"/>
        <w:spacing w:before="40" w:after="160"/>
        <w:jc w:val="center"/>
        <w:rPr>
          <w:rFonts w:ascii="宋体" w:hAnsi="宋体"/>
          <w:sz w:val="20"/>
          <w:lang w:eastAsia="zh-CN"/>
        </w:rPr>
      </w:pPr>
      <w:r>
        <w:rPr>
          <w:rFonts w:ascii="宋体" w:hAnsi="宋体"/>
          <w:sz w:val="20"/>
          <w:lang w:eastAsia="zh-CN"/>
        </w:rPr>
        <w:t>图 1 代表性用例运行截图与终端输出</w:t>
      </w:r>
    </w:p>
    <w:p w14:paraId="3DC55A6E">
      <w:pPr>
        <w:pStyle w:val="164"/>
        <w:spacing w:before="40" w:after="160"/>
        <w:jc w:val="center"/>
      </w:pPr>
      <w:r>
        <w:drawing>
          <wp:inline distT="0" distB="0" distL="114300" distR="114300">
            <wp:extent cx="6141720" cy="2790825"/>
            <wp:effectExtent l="0" t="0" r="0" b="133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6141720" cy="2790825"/>
                    </a:xfrm>
                    <a:prstGeom prst="rect">
                      <a:avLst/>
                    </a:prstGeom>
                    <a:noFill/>
                    <a:ln>
                      <a:noFill/>
                    </a:ln>
                  </pic:spPr>
                </pic:pic>
              </a:graphicData>
            </a:graphic>
          </wp:inline>
        </w:drawing>
      </w:r>
      <w:r>
        <w:drawing>
          <wp:inline distT="0" distB="0" distL="114300" distR="114300">
            <wp:extent cx="6141720" cy="3501390"/>
            <wp:effectExtent l="0" t="0" r="0"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6141720" cy="3501390"/>
                    </a:xfrm>
                    <a:prstGeom prst="rect">
                      <a:avLst/>
                    </a:prstGeom>
                    <a:noFill/>
                    <a:ln>
                      <a:noFill/>
                    </a:ln>
                  </pic:spPr>
                </pic:pic>
              </a:graphicData>
            </a:graphic>
          </wp:inline>
        </w:drawing>
      </w:r>
    </w:p>
    <w:p w14:paraId="184B9B79">
      <w:r>
        <w:br w:type="page"/>
      </w:r>
    </w:p>
    <w:p w14:paraId="3F145381">
      <w:pPr>
        <w:pStyle w:val="164"/>
        <w:spacing w:before="40" w:after="160"/>
        <w:jc w:val="center"/>
        <w:rPr>
          <w:lang w:eastAsia="zh-CN"/>
        </w:rPr>
      </w:pPr>
      <w:r>
        <w:rPr>
          <w:rFonts w:ascii="宋体" w:hAnsi="宋体"/>
          <w:sz w:val="20"/>
          <w:lang w:eastAsia="zh-CN"/>
        </w:rPr>
        <w:t xml:space="preserve">图 </w:t>
      </w:r>
      <w:r>
        <w:rPr>
          <w:rFonts w:hint="eastAsia" w:ascii="宋体" w:hAnsi="宋体"/>
          <w:sz w:val="20"/>
          <w:lang w:val="en-US" w:eastAsia="zh-CN"/>
        </w:rPr>
        <w:t>2、3</w:t>
      </w:r>
      <w:r>
        <w:rPr>
          <w:rFonts w:ascii="宋体" w:hAnsi="宋体"/>
          <w:sz w:val="20"/>
          <w:lang w:eastAsia="zh-CN"/>
        </w:rPr>
        <w:t xml:space="preserve"> </w:t>
      </w:r>
      <w:r>
        <w:rPr>
          <w:rFonts w:hint="eastAsia" w:ascii="宋体" w:hAnsi="宋体"/>
          <w:sz w:val="20"/>
          <w:lang w:val="en-US" w:eastAsia="zh-CN"/>
        </w:rPr>
        <w:t>异步测试</w:t>
      </w:r>
      <w:r>
        <w:rPr>
          <w:rFonts w:ascii="宋体" w:hAnsi="宋体"/>
          <w:sz w:val="20"/>
          <w:lang w:eastAsia="zh-CN"/>
        </w:rPr>
        <w:t>运行截图与终端输出</w:t>
      </w:r>
    </w:p>
    <w:p w14:paraId="67CDF31E">
      <w:pPr>
        <w:keepNext/>
        <w:spacing w:before="160" w:after="80"/>
        <w:rPr>
          <w:lang w:eastAsia="zh-CN"/>
        </w:rPr>
      </w:pPr>
      <w:r>
        <w:rPr>
          <w:rFonts w:ascii="宋体" w:hAnsi="宋体" w:eastAsia="黑体"/>
          <w:b/>
          <w:sz w:val="24"/>
          <w:lang w:eastAsia="zh-CN"/>
        </w:rPr>
        <w:t>5.3 Mermaid 流程图与格式化报告展示</w:t>
      </w:r>
    </w:p>
    <w:p w14:paraId="62F4C02E">
      <w:pPr>
        <w:spacing w:after="80"/>
        <w:ind w:firstLine="420"/>
      </w:pPr>
      <w:r>
        <w:rPr>
          <w:rFonts w:ascii="宋体" w:hAnsi="宋体"/>
          <w:sz w:val="20"/>
          <w:lang w:eastAsia="zh-CN"/>
        </w:rPr>
        <w:t>在文本输出基础上，项目进一步增加了Mermaid 流程图与 Markdown 格式化报告。报告页面包括 Analysis Summary、Detected Leaks、Source Files Scanned、Tainted Value、Propagation Path、Source/Propagation/Sink 三个阶段的 ArkIR Statement，以及 Mermaid Flow Graph。</w:t>
      </w:r>
      <w:r>
        <w:rPr>
          <w:rFonts w:ascii="宋体" w:hAnsi="宋体"/>
          <w:sz w:val="20"/>
        </w:rPr>
        <w:t>该形式更适合结题展示和实验截图归档。</w:t>
      </w:r>
    </w:p>
    <w:p w14:paraId="627D8F55">
      <w:pPr>
        <w:jc w:val="center"/>
        <w:rPr>
          <w:rFonts w:ascii="宋体" w:hAnsi="宋体"/>
          <w:sz w:val="20"/>
        </w:rPr>
      </w:pPr>
      <w:r>
        <w:rPr>
          <w:rFonts w:ascii="宋体" w:hAnsi="宋体"/>
          <w:sz w:val="20"/>
        </w:rPr>
        <w:drawing>
          <wp:inline distT="0" distB="0" distL="0" distR="0">
            <wp:extent cx="4751705" cy="662051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4752000" cy="6621046"/>
                    </a:xfrm>
                    <a:prstGeom prst="rect">
                      <a:avLst/>
                    </a:prstGeom>
                  </pic:spPr>
                </pic:pic>
              </a:graphicData>
            </a:graphic>
          </wp:inline>
        </w:drawing>
      </w:r>
    </w:p>
    <w:p w14:paraId="7F8AF66E">
      <w:pPr>
        <w:jc w:val="center"/>
        <w:rPr>
          <w:rFonts w:ascii="宋体" w:hAnsi="宋体"/>
          <w:sz w:val="20"/>
        </w:rPr>
      </w:pPr>
      <w:r>
        <w:drawing>
          <wp:inline distT="0" distB="0" distL="114300" distR="114300">
            <wp:extent cx="6145530" cy="5015865"/>
            <wp:effectExtent l="0" t="0" r="11430" b="133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4"/>
                    <a:stretch>
                      <a:fillRect/>
                    </a:stretch>
                  </pic:blipFill>
                  <pic:spPr>
                    <a:xfrm>
                      <a:off x="0" y="0"/>
                      <a:ext cx="6145530" cy="5015865"/>
                    </a:xfrm>
                    <a:prstGeom prst="rect">
                      <a:avLst/>
                    </a:prstGeom>
                    <a:noFill/>
                    <a:ln>
                      <a:noFill/>
                    </a:ln>
                  </pic:spPr>
                </pic:pic>
              </a:graphicData>
            </a:graphic>
          </wp:inline>
        </w:drawing>
      </w:r>
    </w:p>
    <w:p w14:paraId="05F09BEE">
      <w:pPr>
        <w:pStyle w:val="164"/>
        <w:spacing w:before="40" w:after="160"/>
        <w:jc w:val="center"/>
        <w:rPr>
          <w:rFonts w:ascii="宋体" w:hAnsi="宋体"/>
          <w:sz w:val="20"/>
        </w:rPr>
      </w:pPr>
      <w:r>
        <w:rPr>
          <w:rFonts w:ascii="宋体" w:hAnsi="宋体"/>
          <w:sz w:val="20"/>
        </w:rPr>
        <w:t xml:space="preserve">图 </w:t>
      </w:r>
      <w:r>
        <w:rPr>
          <w:rFonts w:hint="eastAsia" w:ascii="宋体" w:hAnsi="宋体"/>
          <w:sz w:val="20"/>
          <w:lang w:val="en-US" w:eastAsia="zh-CN"/>
        </w:rPr>
        <w:t>4、5</w:t>
      </w:r>
      <w:r>
        <w:rPr>
          <w:rFonts w:ascii="宋体" w:hAnsi="宋体"/>
          <w:sz w:val="20"/>
        </w:rPr>
        <w:t xml:space="preserve"> Mermaid 流程图：HapFlow Taint Analysis Report</w:t>
      </w:r>
    </w:p>
    <w:p w14:paraId="2732169C">
      <w:pPr>
        <w:pStyle w:val="164"/>
        <w:spacing w:before="40" w:after="160"/>
        <w:jc w:val="center"/>
        <w:rPr>
          <w:rFonts w:ascii="宋体" w:hAnsi="宋体"/>
          <w:sz w:val="20"/>
        </w:rPr>
      </w:pPr>
    </w:p>
    <w:p w14:paraId="30F432D5">
      <w:pPr>
        <w:pStyle w:val="164"/>
        <w:spacing w:before="40" w:after="160"/>
        <w:jc w:val="center"/>
        <w:rPr>
          <w:rFonts w:ascii="宋体" w:hAnsi="宋体"/>
          <w:sz w:val="20"/>
        </w:rPr>
      </w:pPr>
    </w:p>
    <w:p w14:paraId="7A9AAA16">
      <w:pPr>
        <w:keepNext/>
        <w:spacing w:before="160" w:after="80"/>
      </w:pPr>
      <w:r>
        <w:rPr>
          <w:rFonts w:ascii="宋体" w:hAnsi="宋体" w:eastAsia="黑体"/>
          <w:b/>
          <w:sz w:val="24"/>
        </w:rPr>
        <w:t>5.4 与论文实验结果的关系</w:t>
      </w:r>
    </w:p>
    <w:p w14:paraId="1A7C09C7">
      <w:pPr>
        <w:spacing w:after="80"/>
        <w:ind w:firstLine="420"/>
        <w:rPr>
          <w:lang w:eastAsia="zh-CN"/>
        </w:rPr>
      </w:pPr>
      <w:r>
        <w:rPr>
          <w:rFonts w:ascii="宋体" w:hAnsi="宋体"/>
          <w:sz w:val="20"/>
        </w:rPr>
        <w:t>论文中的完整实验结果是在 HapBench 67 个测试用例上批量运行后统计得到的，包括 TP、TN、FP、FN、Precision 和 Recall。</w:t>
      </w:r>
      <w:r>
        <w:rPr>
          <w:rFonts w:ascii="宋体" w:hAnsi="宋体"/>
          <w:sz w:val="20"/>
          <w:lang w:eastAsia="zh-CN"/>
        </w:rPr>
        <w:t>其中 TP 表示真实有泄露且工具检测到，TN 表示真实无泄露且工具没有误报，FP 表示真实无泄露但工具误报，FN 表示真实有泄露但工具漏报。Precision 和 Recall 分别衡量“报得准不准”和“找得全不全”。</w:t>
      </w:r>
    </w:p>
    <w:p w14:paraId="47D973E4">
      <w:pPr>
        <w:spacing w:after="80"/>
        <w:ind w:firstLine="420"/>
        <w:rPr>
          <w:rFonts w:hint="eastAsia" w:ascii="宋体" w:hAnsi="宋体"/>
          <w:sz w:val="20"/>
          <w:lang w:eastAsia="zh-CN"/>
        </w:rPr>
      </w:pPr>
      <w:r>
        <w:rPr>
          <w:rFonts w:ascii="宋体" w:hAnsi="宋体"/>
          <w:sz w:val="20"/>
          <w:lang w:eastAsia="zh-CN"/>
        </w:rPr>
        <w:t>这些指标不是单次程序直接输出，而是将每个测试用例的运行结果与标准答案或预期结果进行对比后统计得到。本项目对原始 HapBench 67 个用例进行了批量运行，并在保持原有用例零回归的基础上，新增 6 个异步模式测试用例用于验证改进效果。由于本项目在复现基础上修改了输出层和异步传播规则层，结果与论文 Table 4 的原始统计口径并不完全相同，本文将论文结果作为对照，并同时报告本项目当前测试口径下的统计结果。</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127"/>
        <w:gridCol w:w="4126"/>
        <w:gridCol w:w="3467"/>
      </w:tblGrid>
      <w:tr w14:paraId="250C65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127" w:type="dxa"/>
            <w:shd w:val="clear" w:color="auto" w:fill="D9EAF7"/>
            <w:vAlign w:val="center"/>
          </w:tcPr>
          <w:p w14:paraId="5ECA3495">
            <w:r>
              <w:rPr>
                <w:rFonts w:ascii="宋体" w:hAnsi="宋体"/>
                <w:sz w:val="18"/>
              </w:rPr>
              <w:t>指标</w:t>
            </w:r>
          </w:p>
        </w:tc>
        <w:tc>
          <w:tcPr>
            <w:tcW w:w="4126" w:type="dxa"/>
            <w:shd w:val="clear" w:color="auto" w:fill="D9EAF7"/>
            <w:vAlign w:val="center"/>
          </w:tcPr>
          <w:p w14:paraId="0E50169E">
            <w:r>
              <w:rPr>
                <w:rFonts w:ascii="宋体" w:hAnsi="宋体"/>
                <w:sz w:val="18"/>
              </w:rPr>
              <w:t>含义或计算方式</w:t>
            </w:r>
          </w:p>
        </w:tc>
        <w:tc>
          <w:tcPr>
            <w:tcW w:w="3467" w:type="dxa"/>
            <w:shd w:val="clear" w:color="auto" w:fill="D9EAF7"/>
            <w:vAlign w:val="center"/>
          </w:tcPr>
          <w:p w14:paraId="318060C0">
            <w:r>
              <w:rPr>
                <w:rFonts w:ascii="宋体" w:hAnsi="宋体"/>
                <w:sz w:val="18"/>
              </w:rPr>
              <w:t>本项目统计结果</w:t>
            </w:r>
          </w:p>
        </w:tc>
      </w:tr>
      <w:tr w14:paraId="651CD3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127" w:type="dxa"/>
            <w:vAlign w:val="center"/>
          </w:tcPr>
          <w:p w14:paraId="67AAC203">
            <w:r>
              <w:rPr>
                <w:rFonts w:ascii="宋体" w:hAnsi="宋体"/>
                <w:sz w:val="18"/>
              </w:rPr>
              <w:t>TP</w:t>
            </w:r>
          </w:p>
        </w:tc>
        <w:tc>
          <w:tcPr>
            <w:tcW w:w="4126" w:type="dxa"/>
            <w:vAlign w:val="center"/>
          </w:tcPr>
          <w:p w14:paraId="1CE1EB0C">
            <w:pPr>
              <w:rPr>
                <w:lang w:eastAsia="zh-CN"/>
              </w:rPr>
            </w:pPr>
            <w:r>
              <w:rPr>
                <w:rFonts w:ascii="宋体" w:hAnsi="宋体"/>
                <w:sz w:val="18"/>
                <w:lang w:eastAsia="zh-CN"/>
              </w:rPr>
              <w:t>真实存在泄露且工具成功检测到的用例数</w:t>
            </w:r>
          </w:p>
        </w:tc>
        <w:tc>
          <w:tcPr>
            <w:tcW w:w="3467" w:type="dxa"/>
            <w:vAlign w:val="center"/>
          </w:tcPr>
          <w:p w14:paraId="2202EBCD">
            <w:r>
              <w:rPr>
                <w:rFonts w:ascii="宋体" w:hAnsi="宋体"/>
                <w:sz w:val="18"/>
              </w:rPr>
              <w:t>原始 67 用例: 56；扩展 73 用例: 59</w:t>
            </w:r>
          </w:p>
        </w:tc>
      </w:tr>
      <w:tr w14:paraId="2E389F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127" w:type="dxa"/>
            <w:vAlign w:val="center"/>
          </w:tcPr>
          <w:p w14:paraId="1DD90FFC">
            <w:r>
              <w:rPr>
                <w:rFonts w:ascii="宋体" w:hAnsi="宋体"/>
                <w:sz w:val="18"/>
              </w:rPr>
              <w:t>TN</w:t>
            </w:r>
          </w:p>
        </w:tc>
        <w:tc>
          <w:tcPr>
            <w:tcW w:w="4126" w:type="dxa"/>
            <w:vAlign w:val="center"/>
          </w:tcPr>
          <w:p w14:paraId="2B46F8DC">
            <w:pPr>
              <w:rPr>
                <w:lang w:eastAsia="zh-CN"/>
              </w:rPr>
            </w:pPr>
            <w:r>
              <w:rPr>
                <w:rFonts w:ascii="宋体" w:hAnsi="宋体"/>
                <w:sz w:val="18"/>
                <w:lang w:eastAsia="zh-CN"/>
              </w:rPr>
              <w:t>真实不存在泄露且工具没有误报的用例数</w:t>
            </w:r>
          </w:p>
        </w:tc>
        <w:tc>
          <w:tcPr>
            <w:tcW w:w="3467" w:type="dxa"/>
            <w:vAlign w:val="center"/>
          </w:tcPr>
          <w:p w14:paraId="5CC5E03E">
            <w:r>
              <w:rPr>
                <w:rFonts w:ascii="宋体" w:hAnsi="宋体"/>
                <w:sz w:val="18"/>
              </w:rPr>
              <w:t>原始 67 用例: 11；扩展 73 用例: 12</w:t>
            </w:r>
          </w:p>
        </w:tc>
      </w:tr>
      <w:tr w14:paraId="130F61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127" w:type="dxa"/>
            <w:vAlign w:val="center"/>
          </w:tcPr>
          <w:p w14:paraId="4D5C85DD">
            <w:r>
              <w:rPr>
                <w:rFonts w:ascii="宋体" w:hAnsi="宋体"/>
                <w:sz w:val="18"/>
              </w:rPr>
              <w:t>FP</w:t>
            </w:r>
          </w:p>
        </w:tc>
        <w:tc>
          <w:tcPr>
            <w:tcW w:w="4126" w:type="dxa"/>
            <w:vAlign w:val="center"/>
          </w:tcPr>
          <w:p w14:paraId="71885AA8">
            <w:pPr>
              <w:rPr>
                <w:lang w:eastAsia="zh-CN"/>
              </w:rPr>
            </w:pPr>
            <w:r>
              <w:rPr>
                <w:rFonts w:ascii="宋体" w:hAnsi="宋体"/>
                <w:sz w:val="18"/>
                <w:lang w:eastAsia="zh-CN"/>
              </w:rPr>
              <w:t>真实不存在泄露但工具错误报告泄露的用例数</w:t>
            </w:r>
          </w:p>
        </w:tc>
        <w:tc>
          <w:tcPr>
            <w:tcW w:w="3467" w:type="dxa"/>
            <w:vAlign w:val="center"/>
          </w:tcPr>
          <w:p w14:paraId="170AC40A">
            <w:r>
              <w:rPr>
                <w:rFonts w:ascii="宋体" w:hAnsi="宋体"/>
                <w:sz w:val="18"/>
              </w:rPr>
              <w:t>原始 67 用例: 0；扩展 73 用例: 0</w:t>
            </w:r>
          </w:p>
        </w:tc>
      </w:tr>
      <w:tr w14:paraId="7C23D0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2127" w:type="dxa"/>
            <w:vAlign w:val="center"/>
          </w:tcPr>
          <w:p w14:paraId="5018F8AC">
            <w:r>
              <w:rPr>
                <w:rFonts w:ascii="宋体" w:hAnsi="宋体"/>
                <w:sz w:val="18"/>
              </w:rPr>
              <w:t>FN</w:t>
            </w:r>
          </w:p>
        </w:tc>
        <w:tc>
          <w:tcPr>
            <w:tcW w:w="4126" w:type="dxa"/>
            <w:vAlign w:val="center"/>
          </w:tcPr>
          <w:p w14:paraId="6908BE2A">
            <w:pPr>
              <w:rPr>
                <w:lang w:eastAsia="zh-CN"/>
              </w:rPr>
            </w:pPr>
            <w:r>
              <w:rPr>
                <w:rFonts w:ascii="宋体" w:hAnsi="宋体"/>
                <w:sz w:val="18"/>
                <w:lang w:eastAsia="zh-CN"/>
              </w:rPr>
              <w:t>真实存在泄露但工具未能检测到的用例数</w:t>
            </w:r>
          </w:p>
        </w:tc>
        <w:tc>
          <w:tcPr>
            <w:tcW w:w="3467" w:type="dxa"/>
            <w:vAlign w:val="center"/>
          </w:tcPr>
          <w:p w14:paraId="0F744FBD">
            <w:r>
              <w:rPr>
                <w:rFonts w:ascii="宋体" w:hAnsi="宋体"/>
                <w:sz w:val="18"/>
              </w:rPr>
              <w:t>原始 67 用例: 0；扩展 73 用例: 2</w:t>
            </w:r>
          </w:p>
        </w:tc>
      </w:tr>
      <w:tr w14:paraId="476ED82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127" w:type="dxa"/>
          </w:tcPr>
          <w:p w14:paraId="05031D0A">
            <w:r>
              <w:rPr>
                <w:rFonts w:ascii="宋体" w:hAnsi="宋体"/>
                <w:sz w:val="18"/>
              </w:rPr>
              <w:t>Precision</w:t>
            </w:r>
          </w:p>
        </w:tc>
        <w:tc>
          <w:tcPr>
            <w:tcW w:w="4126" w:type="dxa"/>
          </w:tcPr>
          <w:p w14:paraId="637DCE64">
            <w:r>
              <w:rPr>
                <w:rFonts w:ascii="宋体" w:hAnsi="宋体"/>
                <w:sz w:val="18"/>
              </w:rPr>
              <w:t>TP/(TP+FP)</w:t>
            </w:r>
          </w:p>
        </w:tc>
        <w:tc>
          <w:tcPr>
            <w:tcW w:w="3467" w:type="dxa"/>
          </w:tcPr>
          <w:p w14:paraId="1374B029">
            <w:pPr>
              <w:rPr>
                <w:rFonts w:ascii="宋体" w:hAnsi="宋体"/>
                <w:sz w:val="18"/>
              </w:rPr>
            </w:pPr>
            <w:r>
              <w:rPr>
                <w:rFonts w:ascii="宋体" w:hAnsi="宋体"/>
                <w:sz w:val="18"/>
              </w:rPr>
              <w:t xml:space="preserve">原始 67 用例: 100%；扩展 73 </w:t>
            </w:r>
          </w:p>
          <w:p w14:paraId="6C63B049">
            <w:r>
              <w:rPr>
                <w:rFonts w:ascii="宋体" w:hAnsi="宋体"/>
                <w:sz w:val="18"/>
              </w:rPr>
              <w:t>用例: 100%</w:t>
            </w:r>
          </w:p>
        </w:tc>
      </w:tr>
      <w:tr w14:paraId="6990B3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127" w:type="dxa"/>
          </w:tcPr>
          <w:p w14:paraId="026839B3">
            <w:r>
              <w:rPr>
                <w:rFonts w:ascii="宋体" w:hAnsi="宋体"/>
                <w:sz w:val="18"/>
              </w:rPr>
              <w:t>Recall</w:t>
            </w:r>
          </w:p>
        </w:tc>
        <w:tc>
          <w:tcPr>
            <w:tcW w:w="4126" w:type="dxa"/>
          </w:tcPr>
          <w:p w14:paraId="737A4B76">
            <w:r>
              <w:rPr>
                <w:rFonts w:ascii="宋体" w:hAnsi="宋体"/>
                <w:sz w:val="18"/>
              </w:rPr>
              <w:t>TP/(TP+FN)</w:t>
            </w:r>
          </w:p>
        </w:tc>
        <w:tc>
          <w:tcPr>
            <w:tcW w:w="3467" w:type="dxa"/>
          </w:tcPr>
          <w:p w14:paraId="7963B840">
            <w:pPr>
              <w:rPr>
                <w:rFonts w:ascii="宋体" w:hAnsi="宋体"/>
                <w:sz w:val="18"/>
              </w:rPr>
            </w:pPr>
            <w:r>
              <w:rPr>
                <w:rFonts w:ascii="宋体" w:hAnsi="宋体"/>
                <w:sz w:val="18"/>
              </w:rPr>
              <w:t xml:space="preserve">原始 67 用例: 100%；扩展 73 </w:t>
            </w:r>
          </w:p>
          <w:p w14:paraId="35ADD9FE">
            <w:r>
              <w:rPr>
                <w:rFonts w:ascii="宋体" w:hAnsi="宋体"/>
                <w:sz w:val="18"/>
              </w:rPr>
              <w:t>用例: 96.72%</w:t>
            </w:r>
          </w:p>
        </w:tc>
      </w:tr>
      <w:tr w14:paraId="47B224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127" w:type="dxa"/>
          </w:tcPr>
          <w:p w14:paraId="31D07D6B">
            <w:r>
              <w:rPr>
                <w:rFonts w:ascii="宋体" w:hAnsi="宋体"/>
                <w:sz w:val="18"/>
              </w:rPr>
              <w:t>代表性用例输出</w:t>
            </w:r>
          </w:p>
        </w:tc>
        <w:tc>
          <w:tcPr>
            <w:tcW w:w="4126" w:type="dxa"/>
          </w:tcPr>
          <w:p w14:paraId="2668409F">
            <w:r>
              <w:rPr>
                <w:rFonts w:ascii="宋体" w:hAnsi="宋体"/>
                <w:sz w:val="18"/>
              </w:rPr>
              <w:t>工具直接报告 source-to-sink 路径</w:t>
            </w:r>
          </w:p>
        </w:tc>
        <w:tc>
          <w:tcPr>
            <w:tcW w:w="3467" w:type="dxa"/>
          </w:tcPr>
          <w:p w14:paraId="0883E9EF">
            <w:r>
              <w:rPr>
                <w:rFonts w:ascii="宋体" w:hAnsi="宋体"/>
                <w:sz w:val="18"/>
              </w:rPr>
              <w:t>已在正文中解释</w:t>
            </w:r>
          </w:p>
        </w:tc>
      </w:tr>
    </w:tbl>
    <w:p w14:paraId="1954D4A3">
      <w:pPr>
        <w:pStyle w:val="164"/>
        <w:spacing w:before="40" w:after="160"/>
        <w:jc w:val="center"/>
        <w:rPr>
          <w:rFonts w:hint="eastAsia" w:ascii="宋体" w:hAnsi="宋体"/>
          <w:sz w:val="20"/>
          <w:lang w:eastAsia="zh-CN"/>
        </w:rPr>
      </w:pPr>
      <w:r>
        <w:rPr>
          <w:rFonts w:ascii="宋体" w:hAnsi="宋体"/>
          <w:sz w:val="20"/>
          <w:lang w:eastAsia="zh-CN"/>
        </w:rPr>
        <w:t>表 5 本项目当前测试结果与指标计算</w:t>
      </w:r>
    </w:p>
    <w:p w14:paraId="7EB3D5AB">
      <w:pPr>
        <w:keepNext/>
        <w:spacing w:before="240" w:after="120"/>
        <w:rPr>
          <w:lang w:eastAsia="zh-CN"/>
        </w:rPr>
      </w:pPr>
      <w:r>
        <w:rPr>
          <w:rFonts w:ascii="宋体" w:hAnsi="宋体"/>
          <w:sz w:val="20"/>
          <w:lang w:eastAsia="zh-CN"/>
        </w:rPr>
        <w:t>6 工具改进与实验结果补充</w:t>
      </w:r>
    </w:p>
    <w:p w14:paraId="54190658">
      <w:pPr>
        <w:keepNext/>
        <w:spacing w:before="160" w:after="80"/>
        <w:rPr>
          <w:lang w:eastAsia="zh-CN"/>
        </w:rPr>
      </w:pPr>
      <w:r>
        <w:rPr>
          <w:rFonts w:ascii="宋体" w:hAnsi="宋体"/>
          <w:sz w:val="20"/>
          <w:lang w:eastAsia="zh-CN"/>
        </w:rPr>
        <w:t>6.1 改进 A：输出格式化与可视化增强</w:t>
      </w:r>
    </w:p>
    <w:p w14:paraId="5F15364F">
      <w:pPr>
        <w:spacing w:after="80"/>
        <w:ind w:firstLine="420"/>
        <w:rPr>
          <w:rFonts w:ascii="宋体" w:hAnsi="宋体"/>
          <w:sz w:val="20"/>
        </w:rPr>
      </w:pPr>
      <w:r>
        <w:rPr>
          <w:rFonts w:ascii="宋体" w:hAnsi="宋体"/>
          <w:sz w:val="20"/>
        </w:rPr>
        <w:t>改进 A 主要解决原始 HapFlow 输出可读性不足的问题。原始输出中 Source 和 Sink 常以 [object Object] 形式出现，传播路径也主要是原始 ArkIR 文本，用户难以直接判断哪一步是敏感数据获取、哪一步是中间传播、哪一步是泄露输出。</w:t>
      </w:r>
      <w:r>
        <w:rPr>
          <w:rFonts w:ascii="宋体" w:hAnsi="宋体"/>
          <w:sz w:val="20"/>
          <w:lang w:eastAsia="zh-CN"/>
        </w:rPr>
        <w:t>本项目在外部测试脚本中新增格式化与可视化函数，将分析结果转化为带有 Source、Propagation、Sink 标签的结构化路径，并生成 Mermaid 流程图和 Markdown 报告。该改进不改变污点分析内核，主要提升结果解释性、展示性和复现实验的可读性。</w:t>
      </w:r>
    </w:p>
    <w:p w14:paraId="4BD15475">
      <w:pPr>
        <w:keepNext/>
        <w:spacing w:before="160" w:after="80"/>
        <w:rPr>
          <w:lang w:eastAsia="zh-CN"/>
        </w:rPr>
      </w:pPr>
      <w:r>
        <w:rPr>
          <w:rFonts w:ascii="宋体" w:hAnsi="宋体"/>
          <w:sz w:val="20"/>
          <w:lang w:eastAsia="zh-CN"/>
        </w:rPr>
        <w:t>6.2 改进 B：异步污点传播规则增强</w:t>
      </w:r>
    </w:p>
    <w:p w14:paraId="38A1EB97">
      <w:pPr>
        <w:spacing w:after="80"/>
        <w:ind w:firstLine="420"/>
        <w:rPr>
          <w:lang w:eastAsia="zh-CN"/>
        </w:rPr>
      </w:pPr>
      <w:r>
        <w:rPr>
          <w:rFonts w:ascii="宋体" w:hAnsi="宋体"/>
          <w:sz w:val="20"/>
        </w:rPr>
        <w:t>改进 B 针对原始 HapFlow 在 async/await 和 Promise.then 异步模式下可能出现的污点传播断层进行扩展。原工具在污点数据被 Promise.resolve() 包装后，返回的 Promise 对象不一定继承污点；当对已污染 Promise 调用 .then() 或 .catch() 时，回调函数参数也可能无法接收污点，导致跨越异步边界的泄露路径被漏检。本项目没有修改 IFDS 求解器内核 DataflowSolver.ts，而是在 TaintAnalysis.ts 的 FlowFunction 规则层中增加 Promise 静态方法传播、then/catch 返回值传播、回调参数传播和 CallToReturn 边传播规则，使污点能够从 source 经 Promise 包装和回调参数继续传播到 sink。</w:t>
      </w:r>
    </w:p>
    <w:p w14:paraId="36D7C697">
      <w:pPr>
        <w:keepNext/>
        <w:spacing w:before="160" w:after="80"/>
        <w:rPr>
          <w:lang w:eastAsia="zh-CN"/>
        </w:rPr>
      </w:pPr>
      <w:r>
        <w:rPr>
          <w:rFonts w:ascii="宋体" w:hAnsi="宋体"/>
          <w:sz w:val="20"/>
          <w:lang w:eastAsia="zh-CN"/>
        </w:rPr>
        <w:t>6.3 实验结果与论文结果对比</w:t>
      </w:r>
    </w:p>
    <w:p w14:paraId="4165FEA3">
      <w:pPr>
        <w:spacing w:after="80"/>
        <w:ind w:firstLine="420"/>
        <w:rPr>
          <w:rFonts w:hint="eastAsia" w:ascii="宋体" w:hAnsi="宋体"/>
          <w:sz w:val="20"/>
          <w:lang w:eastAsia="zh-CN"/>
        </w:rPr>
      </w:pPr>
      <w:r>
        <w:rPr>
          <w:rFonts w:ascii="宋体" w:hAnsi="宋体"/>
          <w:sz w:val="20"/>
          <w:lang w:eastAsia="zh-CN"/>
        </w:rPr>
        <w:t>实验结果表明，改进后的工具在项目自带的 67 个 HapBench 用例上保持零回归：其中 56 个设计为泄露的用例被检出，11 个设计为阴性的用例未被误报，得到 TP=56、TN=11、FP=0、FN=0，Precision 和 Recall 均为 100%。在新增的 6 个异步用例中，PromiseThen1、AsyncAwait1 和 AsyncMixed1 被成功检出，NoLeakAsync 未出现误报，NestedThenChain 和 PromiseAll1 仍为已知局限，因此新增异步用例的统计为 TP=3、TN=1、FP=0、FN=2。若将原始 67 个用例与新增 6 个异步用例合并计算，扩展测试集共 73 个用例，得到 TP=59、TN=12、FP=0、FN=2，Precision=100%，Recall=96.72%，Accuracy=97.26%，F1-score=98.33%。</w:t>
      </w:r>
    </w:p>
    <w:tbl>
      <w:tblPr>
        <w:tblStyle w:val="32"/>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229"/>
        <w:gridCol w:w="3229"/>
        <w:gridCol w:w="3229"/>
      </w:tblGrid>
      <w:tr w14:paraId="3F9683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shd w:val="clear" w:color="auto" w:fill="D9EAF7"/>
            <w:vAlign w:val="center"/>
          </w:tcPr>
          <w:p w14:paraId="0729A860">
            <w:r>
              <w:rPr>
                <w:rFonts w:ascii="宋体" w:hAnsi="宋体"/>
                <w:sz w:val="18"/>
              </w:rPr>
              <w:t>测试范围</w:t>
            </w:r>
          </w:p>
        </w:tc>
        <w:tc>
          <w:tcPr>
            <w:tcW w:w="3229" w:type="dxa"/>
            <w:shd w:val="clear" w:color="auto" w:fill="D9EAF7"/>
            <w:vAlign w:val="center"/>
          </w:tcPr>
          <w:p w14:paraId="642D1FEC">
            <w:r>
              <w:rPr>
                <w:rFonts w:ascii="宋体" w:hAnsi="宋体"/>
                <w:sz w:val="18"/>
              </w:rPr>
              <w:t>统计结果</w:t>
            </w:r>
          </w:p>
        </w:tc>
        <w:tc>
          <w:tcPr>
            <w:tcW w:w="3229" w:type="dxa"/>
            <w:shd w:val="clear" w:color="auto" w:fill="D9EAF7"/>
            <w:vAlign w:val="center"/>
          </w:tcPr>
          <w:p w14:paraId="322E91A7">
            <w:r>
              <w:rPr>
                <w:rFonts w:ascii="宋体" w:hAnsi="宋体"/>
                <w:sz w:val="18"/>
              </w:rPr>
              <w:t>说明</w:t>
            </w:r>
          </w:p>
        </w:tc>
      </w:tr>
      <w:tr w14:paraId="3259E2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0C35B79F">
            <w:r>
              <w:rPr>
                <w:rFonts w:ascii="宋体" w:hAnsi="宋体"/>
                <w:sz w:val="18"/>
              </w:rPr>
              <w:t>论文原始 HapFlow 67 用例</w:t>
            </w:r>
          </w:p>
        </w:tc>
        <w:tc>
          <w:tcPr>
            <w:tcW w:w="3229" w:type="dxa"/>
            <w:vAlign w:val="center"/>
          </w:tcPr>
          <w:p w14:paraId="03D1F6ED">
            <w:r>
              <w:rPr>
                <w:rFonts w:ascii="宋体" w:hAnsi="宋体"/>
                <w:sz w:val="18"/>
              </w:rPr>
              <w:t>TP=50, TN=12, FP=2, FN=3, Precision=96.15%, Recall=94.34%</w:t>
            </w:r>
          </w:p>
        </w:tc>
        <w:tc>
          <w:tcPr>
            <w:tcW w:w="3229" w:type="dxa"/>
            <w:vAlign w:val="center"/>
          </w:tcPr>
          <w:p w14:paraId="28FAA35D">
            <w:pPr>
              <w:rPr>
                <w:lang w:eastAsia="zh-CN"/>
              </w:rPr>
            </w:pPr>
            <w:r>
              <w:rPr>
                <w:rFonts w:ascii="宋体" w:hAnsi="宋体"/>
                <w:sz w:val="18"/>
                <w:lang w:eastAsia="zh-CN"/>
              </w:rPr>
              <w:t>作为论文报告结果对照。</w:t>
            </w:r>
          </w:p>
        </w:tc>
      </w:tr>
      <w:tr w14:paraId="599A78F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3D4AA02D">
            <w:pPr>
              <w:rPr>
                <w:lang w:eastAsia="zh-CN"/>
              </w:rPr>
            </w:pPr>
            <w:r>
              <w:rPr>
                <w:rFonts w:ascii="宋体" w:hAnsi="宋体"/>
                <w:sz w:val="18"/>
                <w:lang w:eastAsia="zh-CN"/>
              </w:rPr>
              <w:t>本项目改进版原始 67 用例</w:t>
            </w:r>
          </w:p>
        </w:tc>
        <w:tc>
          <w:tcPr>
            <w:tcW w:w="3229" w:type="dxa"/>
            <w:vAlign w:val="center"/>
          </w:tcPr>
          <w:p w14:paraId="72EFA4C7">
            <w:r>
              <w:rPr>
                <w:rFonts w:ascii="宋体" w:hAnsi="宋体"/>
                <w:sz w:val="18"/>
              </w:rPr>
              <w:t>TP=56, TN=11, FP=0, FN=0, Precision=100%, Recall=100%</w:t>
            </w:r>
          </w:p>
        </w:tc>
        <w:tc>
          <w:tcPr>
            <w:tcW w:w="3229" w:type="dxa"/>
            <w:vAlign w:val="center"/>
          </w:tcPr>
          <w:p w14:paraId="6E915C9A">
            <w:pPr>
              <w:rPr>
                <w:lang w:eastAsia="zh-CN"/>
              </w:rPr>
            </w:pPr>
            <w:r>
              <w:rPr>
                <w:rFonts w:ascii="宋体" w:hAnsi="宋体"/>
                <w:sz w:val="18"/>
                <w:lang w:eastAsia="zh-CN"/>
              </w:rPr>
              <w:t>保持原始测试集零回归，11 个未检出用例均为设计预期阴性。</w:t>
            </w:r>
          </w:p>
        </w:tc>
      </w:tr>
      <w:tr w14:paraId="1FC1C48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161F0FF8">
            <w:r>
              <w:rPr>
                <w:rFonts w:ascii="宋体" w:hAnsi="宋体"/>
                <w:sz w:val="18"/>
              </w:rPr>
              <w:t>本项目新增异步 6 用例</w:t>
            </w:r>
          </w:p>
        </w:tc>
        <w:tc>
          <w:tcPr>
            <w:tcW w:w="3229" w:type="dxa"/>
            <w:vAlign w:val="center"/>
          </w:tcPr>
          <w:p w14:paraId="40B46314">
            <w:r>
              <w:rPr>
                <w:rFonts w:ascii="宋体" w:hAnsi="宋体"/>
                <w:sz w:val="18"/>
              </w:rPr>
              <w:t>TP=3, TN=1, FP=0, FN=2, Precision=100%, Recall=60%</w:t>
            </w:r>
          </w:p>
        </w:tc>
        <w:tc>
          <w:tcPr>
            <w:tcW w:w="3229" w:type="dxa"/>
            <w:vAlign w:val="center"/>
          </w:tcPr>
          <w:p w14:paraId="6349C2C4">
            <w:r>
              <w:rPr>
                <w:rFonts w:ascii="宋体" w:hAnsi="宋体"/>
                <w:sz w:val="18"/>
              </w:rPr>
              <w:t>成功检出 PromiseThen1、AsyncAwait1、AsyncMixed1；NestedThenChain 与 PromiseAll1 为已知局限。</w:t>
            </w:r>
          </w:p>
        </w:tc>
      </w:tr>
      <w:tr w14:paraId="73C4ECB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3229" w:type="dxa"/>
            <w:vAlign w:val="center"/>
          </w:tcPr>
          <w:p w14:paraId="679C4088">
            <w:r>
              <w:rPr>
                <w:rFonts w:ascii="宋体" w:hAnsi="宋体"/>
                <w:sz w:val="18"/>
              </w:rPr>
              <w:t>本项目扩展 73 用例</w:t>
            </w:r>
          </w:p>
        </w:tc>
        <w:tc>
          <w:tcPr>
            <w:tcW w:w="3229" w:type="dxa"/>
            <w:vAlign w:val="center"/>
          </w:tcPr>
          <w:p w14:paraId="7064A008">
            <w:r>
              <w:rPr>
                <w:rFonts w:ascii="宋体" w:hAnsi="宋体"/>
                <w:sz w:val="18"/>
              </w:rPr>
              <w:t>TP=59, TN=12, FP=0, FN=2, Precision=100%, Recall=96.72%, Accuracy=97.26%, F1=98.33%</w:t>
            </w:r>
          </w:p>
        </w:tc>
        <w:tc>
          <w:tcPr>
            <w:tcW w:w="3229" w:type="dxa"/>
            <w:vAlign w:val="center"/>
          </w:tcPr>
          <w:p w14:paraId="5F5C520F">
            <w:pPr>
              <w:rPr>
                <w:lang w:eastAsia="zh-CN"/>
              </w:rPr>
            </w:pPr>
            <w:r>
              <w:rPr>
                <w:rFonts w:ascii="宋体" w:hAnsi="宋体"/>
                <w:sz w:val="18"/>
                <w:lang w:eastAsia="zh-CN"/>
              </w:rPr>
              <w:t>综合原始回归测试与新增异步测试后的当前结果。</w:t>
            </w:r>
          </w:p>
        </w:tc>
      </w:tr>
    </w:tbl>
    <w:p w14:paraId="64BA8F42">
      <w:pPr>
        <w:pStyle w:val="164"/>
        <w:spacing w:before="40" w:after="160"/>
        <w:jc w:val="center"/>
        <w:rPr>
          <w:lang w:eastAsia="zh-CN"/>
        </w:rPr>
      </w:pPr>
      <w:r>
        <w:rPr>
          <w:rFonts w:ascii="宋体" w:hAnsi="宋体"/>
          <w:sz w:val="20"/>
          <w:lang w:eastAsia="zh-CN"/>
        </w:rPr>
        <w:t>表 6 论文结果与本项目改进后结果对比</w:t>
      </w:r>
    </w:p>
    <w:p w14:paraId="6416C232">
      <w:pPr>
        <w:keepNext/>
        <w:spacing w:before="240" w:after="120"/>
        <w:rPr>
          <w:lang w:eastAsia="zh-CN"/>
        </w:rPr>
      </w:pPr>
      <w:r>
        <w:rPr>
          <w:rFonts w:ascii="宋体" w:hAnsi="宋体" w:eastAsia="黑体"/>
          <w:b/>
          <w:sz w:val="28"/>
          <w:lang w:eastAsia="zh-CN"/>
        </w:rPr>
        <w:t>7 总  结</w:t>
      </w:r>
    </w:p>
    <w:p w14:paraId="1CEEA49C">
      <w:pPr>
        <w:spacing w:after="80"/>
        <w:ind w:firstLine="420"/>
        <w:rPr>
          <w:rFonts w:hint="eastAsia" w:ascii="宋体" w:hAnsi="宋体"/>
          <w:sz w:val="20"/>
          <w:lang w:eastAsia="zh-CN"/>
        </w:rPr>
      </w:pPr>
      <w:r>
        <w:rPr>
          <w:rFonts w:ascii="宋体" w:hAnsi="宋体"/>
          <w:sz w:val="20"/>
          <w:lang w:eastAsia="zh-CN"/>
        </w:rPr>
        <w:t>实验结果表明，本项目完成了 HapFlow 工具功能解析、HapBench 批量测试复现以及面向工具实用性的功能增强工作。在工具解析方面，本文梳理了 HapFlow 基于 ArkAnalyzer 构建中间表示、虚拟入口、指针分析和 source-to-sink 污点传播路径的整体流程；在实验复现方面，项目对原始 HapBench 67 个测试用例进行了批量运行，并以定位信息流入日志输出接口的代表性用例说明了工具输出结果的含义；在工具增强方面，项目围绕输出可解释性和异步污点传播能力进行了改进，使分析结果能够以结构化文本、源码关联和 Mermaid 流程图形式展示，并支持 Promise.then、async/await 以及混合异步跨过程场景下的典型污点传播检测。总体来看，本项目实现了 OpenHarmony 应用污点分析工具的运行复现、结果解释和功能扩展，但在嵌套 then 链、Promise.all 数组元素追踪等复杂异步场景上仍存在进一步完善空间。</w:t>
      </w:r>
    </w:p>
    <w:p w14:paraId="0A2DA6BA">
      <w:pPr>
        <w:keepNext/>
        <w:spacing w:before="240" w:after="120"/>
      </w:pPr>
      <w:r>
        <w:rPr>
          <w:rFonts w:ascii="宋体" w:hAnsi="宋体" w:eastAsia="黑体"/>
          <w:b/>
          <w:sz w:val="28"/>
        </w:rPr>
        <w:t>References</w:t>
      </w:r>
    </w:p>
    <w:p w14:paraId="1461EDF0">
      <w:pPr>
        <w:spacing w:after="40"/>
      </w:pPr>
      <w:r>
        <w:rPr>
          <w:rFonts w:ascii="宋体" w:hAnsi="宋体"/>
          <w:sz w:val="18"/>
        </w:rPr>
        <w:t>[1] Chen HN, Zhou MY, Zhao YJ, Li L. HapFlow: The Taint Analysis Framework for OpenHarmony Apps. ACM Transactions on Software Engineering and Methodology, 2026.</w:t>
      </w:r>
    </w:p>
    <w:p w14:paraId="0BF1C4CA">
      <w:pPr>
        <w:spacing w:after="40"/>
      </w:pPr>
      <w:r>
        <w:rPr>
          <w:rFonts w:ascii="宋体" w:hAnsi="宋体"/>
          <w:sz w:val="18"/>
        </w:rPr>
        <w:t>[2] OpenHarmony. OpenHarmony Application Development Documentation. OpenHarmony Project, 2026.</w:t>
      </w:r>
    </w:p>
    <w:p w14:paraId="5517407D">
      <w:pPr>
        <w:spacing w:after="40"/>
      </w:pPr>
      <w:r>
        <w:rPr>
          <w:rFonts w:ascii="宋体" w:hAnsi="宋体"/>
          <w:sz w:val="18"/>
        </w:rPr>
        <w:t>[3] ArkAnalyzer Project. Static Analysis Infrastructure for OpenHarmony ArkTS Programs. Project Artifact, 2026.</w:t>
      </w:r>
    </w:p>
    <w:p w14:paraId="7811E3B5">
      <w:pPr>
        <w:spacing w:after="40"/>
      </w:pPr>
      <w:r>
        <w:rPr>
          <w:rFonts w:ascii="宋体" w:hAnsi="宋体"/>
          <w:sz w:val="18"/>
        </w:rPr>
        <w:t>[4] Arzt S, Rasthofer S, Fritz C, Bodden E, Bartel A, Klein J, Le Traon Y, Octeau D, McDaniel P. FlowDroid: Precise Context, Flow, Field, Object-sensitive and Lifecycle-aware Taint Analysis for Android Apps. PLDI, 2014.</w:t>
      </w:r>
    </w:p>
    <w:p w14:paraId="615990F6">
      <w:pPr>
        <w:keepNext/>
        <w:spacing w:before="240" w:after="120"/>
      </w:pPr>
      <w:r>
        <w:rPr>
          <w:rFonts w:ascii="宋体" w:hAnsi="宋体" w:eastAsia="黑体"/>
          <w:b/>
          <w:sz w:val="28"/>
        </w:rPr>
        <w:t>附中文参考文献</w:t>
      </w:r>
    </w:p>
    <w:p w14:paraId="441B1119">
      <w:pPr>
        <w:spacing w:after="40"/>
      </w:pPr>
      <w:r>
        <w:rPr>
          <w:rFonts w:ascii="宋体" w:hAnsi="宋体"/>
          <w:sz w:val="18"/>
        </w:rPr>
        <w:t>[1] Chen HN, Zhou MY, Zhao YJ, Li L. HapFlow: 面向 OpenHarmony 应用的污点分析框架. ACM Transactions on Software Engineering and Methodology, 2026.</w:t>
      </w:r>
    </w:p>
    <w:p w14:paraId="5D6BBCDA">
      <w:pPr>
        <w:spacing w:after="40"/>
      </w:pPr>
      <w:r>
        <w:rPr>
          <w:rFonts w:ascii="宋体" w:hAnsi="宋体"/>
          <w:sz w:val="18"/>
        </w:rPr>
        <w:t>[2] OpenHarmony 项目. OpenHarmony 应用开发文档. 2026.</w:t>
      </w:r>
    </w:p>
    <w:p w14:paraId="0938F00F">
      <w:pPr>
        <w:spacing w:after="40"/>
      </w:pPr>
      <w:r>
        <w:rPr>
          <w:rFonts w:ascii="宋体" w:hAnsi="宋体"/>
          <w:sz w:val="18"/>
        </w:rPr>
        <w:t>[3] ArkAnalyzer 项目. 面向 OpenHarmony ArkTS 程序的静态分析基础设施. 项目 artifact, 2026.</w:t>
      </w:r>
    </w:p>
    <w:p w14:paraId="685E2266">
      <w:pPr>
        <w:spacing w:after="40"/>
      </w:pPr>
      <w:r>
        <w:rPr>
          <w:rFonts w:ascii="宋体" w:hAnsi="宋体"/>
          <w:sz w:val="18"/>
        </w:rPr>
        <w:t>[4] Arzt S 等. FlowDroid: 面向 Android 应用的生命周期感知静态污点分析工具. PLDI, 2014.</w:t>
      </w:r>
    </w:p>
    <w:p w14:paraId="7E5A90AC">
      <w:pPr>
        <w:keepNext/>
        <w:spacing w:before="240" w:after="120"/>
        <w:rPr>
          <w:rFonts w:hint="eastAsia"/>
          <w:lang w:eastAsia="zh-CN"/>
        </w:rPr>
      </w:pPr>
      <w:r>
        <w:rPr>
          <w:rFonts w:ascii="宋体" w:hAnsi="宋体" w:eastAsia="黑体"/>
          <w:b/>
          <w:sz w:val="28"/>
          <w:lang w:eastAsia="zh-CN"/>
        </w:rPr>
        <w:t>作者简介</w:t>
      </w:r>
    </w:p>
    <w:p w14:paraId="76B18534">
      <w:pPr>
        <w:spacing w:after="40"/>
        <w:rPr>
          <w:rFonts w:ascii="宋体" w:hAnsi="宋体"/>
          <w:sz w:val="22"/>
          <w:lang w:eastAsia="zh-CN"/>
        </w:rPr>
      </w:pPr>
      <w:r>
        <w:rPr>
          <w:rFonts w:ascii="宋体" w:hAnsi="宋体"/>
          <w:sz w:val="22"/>
          <w:lang w:eastAsia="zh-CN"/>
        </w:rPr>
        <w:t>Openharmony污点分析</w:t>
      </w:r>
      <w:r>
        <w:rPr>
          <w:rFonts w:hint="eastAsia" w:ascii="宋体" w:hAnsi="宋体"/>
          <w:sz w:val="22"/>
          <w:lang w:eastAsia="zh-CN"/>
        </w:rPr>
        <w:t>小组2成员。</w:t>
      </w:r>
    </w:p>
    <w:p w14:paraId="4CBC3C82">
      <w:pPr>
        <w:keepNext/>
        <w:spacing w:before="240" w:after="120"/>
        <w:rPr>
          <w:lang w:eastAsia="zh-CN"/>
        </w:rPr>
      </w:pPr>
      <w:r>
        <w:rPr>
          <w:rFonts w:ascii="宋体" w:hAnsi="宋体" w:eastAsia="黑体"/>
          <w:b/>
          <w:sz w:val="28"/>
          <w:lang w:eastAsia="zh-CN"/>
        </w:rPr>
        <w:t>附录 A 运行配置与命令</w:t>
      </w:r>
    </w:p>
    <w:p w14:paraId="2A362124">
      <w:pPr>
        <w:spacing w:after="80"/>
        <w:ind w:firstLine="420"/>
        <w:rPr>
          <w:lang w:eastAsia="zh-CN"/>
        </w:rPr>
      </w:pPr>
      <w:r>
        <w:rPr>
          <w:rFonts w:ascii="宋体" w:hAnsi="宋体"/>
          <w:sz w:val="20"/>
          <w:lang w:eastAsia="zh-CN"/>
        </w:rPr>
        <w:t>本附录列出复现实验涉及的主要命令。正文仅描述运行逻辑，具体命令作为可复现实验材料附于文末。</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688"/>
      </w:tblGrid>
      <w:tr w14:paraId="22F2AF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88" w:type="dxa"/>
            <w:shd w:val="clear" w:color="auto" w:fill="F7F7F7"/>
          </w:tcPr>
          <w:p w14:paraId="47D66C43">
            <w:r>
              <w:t># 1. 在 arkanalyzer 目录下安装依赖</w:t>
            </w:r>
            <w:r>
              <w:br w:type="textWrapping"/>
            </w:r>
            <w:r>
              <w:t>cd arkanalyzer</w:t>
            </w:r>
            <w:r>
              <w:br w:type="textWrapping"/>
            </w:r>
            <w:r>
              <w:t>npm install</w:t>
            </w:r>
            <w:r>
              <w:br w:type="textWrapping"/>
            </w:r>
            <w:r>
              <w:br w:type="textWrapping"/>
            </w:r>
            <w:r>
              <w:t># 2. 在 hapflow 目录下安装依赖</w:t>
            </w:r>
            <w:r>
              <w:br w:type="textWrapping"/>
            </w:r>
            <w:r>
              <w:t>cd ../hapflow</w:t>
            </w:r>
            <w:r>
              <w:br w:type="textWrapping"/>
            </w:r>
            <w:r>
              <w:t>npm install</w:t>
            </w:r>
            <w:r>
              <w:br w:type="textWrapping"/>
            </w:r>
            <w:r>
              <w:br w:type="textWrapping"/>
            </w:r>
            <w:r>
              <w:t># 3. 建立 HapFlow 与 ArkAnalyzer 的本地链接</w:t>
            </w:r>
            <w:r>
              <w:br w:type="textWrapping"/>
            </w:r>
            <w:r>
              <w:t>npm install ..\arkanalyzer --save</w:t>
            </w:r>
            <w:r>
              <w:br w:type="textWrapping"/>
            </w:r>
            <w:r>
              <w:br w:type="textWrapping"/>
            </w:r>
            <w:r>
              <w:t># 4. 运行代表性用例测试（用于正文解释）</w:t>
            </w:r>
            <w:r>
              <w:br w:type="textWrapping"/>
            </w:r>
            <w:r>
              <w:t>npx tsx tests/RealAppTest.ts</w:t>
            </w:r>
            <w:r>
              <w:br w:type="textWrapping"/>
            </w:r>
            <w:r>
              <w:br w:type="textWrapping"/>
            </w:r>
            <w:r>
              <w:t># 5. 运行 HapBench 批量测试（用于 67 个用例复现）</w:t>
            </w:r>
            <w:r>
              <w:br w:type="textWrapping"/>
            </w:r>
            <w:r>
              <w:t>npx tsx tests/BenchTest.ts</w:t>
            </w:r>
          </w:p>
        </w:tc>
      </w:tr>
    </w:tbl>
    <w:p w14:paraId="08A495EC">
      <w:pPr>
        <w:spacing w:after="40"/>
      </w:pPr>
    </w:p>
    <w:p w14:paraId="60C1798E">
      <w:pPr>
        <w:keepNext/>
        <w:spacing w:before="240" w:after="120"/>
        <w:rPr>
          <w:lang w:eastAsia="zh-CN"/>
        </w:rPr>
      </w:pPr>
      <w:r>
        <w:rPr>
          <w:rFonts w:ascii="宋体" w:hAnsi="宋体" w:eastAsia="黑体"/>
          <w:b/>
          <w:sz w:val="28"/>
          <w:lang w:eastAsia="zh-CN"/>
        </w:rPr>
        <w:t>附录 B RealAppTest 关键配置片段</w:t>
      </w:r>
    </w:p>
    <w:p w14:paraId="21BDF783">
      <w:pPr>
        <w:spacing w:after="80"/>
        <w:ind w:firstLine="420"/>
      </w:pPr>
      <w:r>
        <w:rPr>
          <w:rFonts w:ascii="宋体" w:hAnsi="宋体"/>
          <w:sz w:val="20"/>
          <w:lang w:eastAsia="zh-CN"/>
        </w:rPr>
        <w:t>该片段用于说明代表性用例运行时如何指定测试项目路径与 SDK 参数。</w:t>
      </w:r>
      <w:r>
        <w:rPr>
          <w:rFonts w:ascii="宋体" w:hAnsi="宋体"/>
          <w:sz w:val="20"/>
        </w:rPr>
        <w:t>实际运行时应以本地 HapFlow artifact 中的文件结构为准。</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688"/>
      </w:tblGrid>
      <w:tr w14:paraId="3221D0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88" w:type="dxa"/>
            <w:shd w:val="clear" w:color="auto" w:fill="F7F7F7"/>
          </w:tcPr>
          <w:p w14:paraId="7FBE590B">
            <w:pPr>
              <w:pStyle w:val="165"/>
              <w:spacing w:after="0"/>
            </w:pPr>
            <w:r>
              <w:t>const projectPath = path.join('..', 'HapBench', 'OpenHarmony Specific APIs', 'DirectLeak');</w:t>
            </w:r>
          </w:p>
          <w:p w14:paraId="45E2FE25">
            <w:pPr>
              <w:pStyle w:val="165"/>
              <w:spacing w:after="0"/>
            </w:pPr>
            <w:r>
              <w:t>const sdks: Sdk[] = [</w:t>
            </w:r>
          </w:p>
          <w:p w14:paraId="6A7DAD32">
            <w:pPr>
              <w:pStyle w:val="165"/>
              <w:spacing w:after="0"/>
            </w:pPr>
            <w:r>
              <w:t xml:space="preserve">  {</w:t>
            </w:r>
          </w:p>
          <w:p w14:paraId="376700FF">
            <w:pPr>
              <w:pStyle w:val="165"/>
              <w:spacing w:after="0"/>
            </w:pPr>
            <w:r>
              <w:t xml:space="preserve">    "name": "ohosSdk",</w:t>
            </w:r>
          </w:p>
          <w:p w14:paraId="62EE7E24">
            <w:pPr>
              <w:pStyle w:val="165"/>
              <w:spacing w:after="0"/>
            </w:pPr>
            <w:r>
              <w:t xml:space="preserve">    "path": "../sdk/default/openharmony/ets",</w:t>
            </w:r>
          </w:p>
          <w:p w14:paraId="34D596C6">
            <w:pPr>
              <w:pStyle w:val="165"/>
              <w:spacing w:after="0"/>
            </w:pPr>
            <w:r>
              <w:t xml:space="preserve">    "moduleName": ""</w:t>
            </w:r>
          </w:p>
          <w:p w14:paraId="1951EA96">
            <w:pPr>
              <w:pStyle w:val="165"/>
              <w:spacing w:after="0"/>
            </w:pPr>
            <w:r>
              <w:t xml:space="preserve">  },</w:t>
            </w:r>
          </w:p>
          <w:p w14:paraId="57823D32">
            <w:pPr>
              <w:pStyle w:val="165"/>
              <w:spacing w:after="0"/>
            </w:pPr>
            <w:r>
              <w:t xml:space="preserve">  {</w:t>
            </w:r>
          </w:p>
          <w:p w14:paraId="5444A906">
            <w:pPr>
              <w:pStyle w:val="165"/>
              <w:spacing w:after="0"/>
            </w:pPr>
            <w:r>
              <w:t xml:space="preserve">    "name": "hmsSdk",</w:t>
            </w:r>
          </w:p>
          <w:p w14:paraId="7D0B8472">
            <w:pPr>
              <w:pStyle w:val="165"/>
              <w:spacing w:after="0"/>
            </w:pPr>
            <w:r>
              <w:t xml:space="preserve">    "path": "../sdk/default/hms/ets",</w:t>
            </w:r>
          </w:p>
          <w:p w14:paraId="0A1517E1">
            <w:pPr>
              <w:pStyle w:val="165"/>
              <w:spacing w:after="0"/>
            </w:pPr>
            <w:r>
              <w:t xml:space="preserve">    "moduleName": ""</w:t>
            </w:r>
          </w:p>
          <w:p w14:paraId="459A98DA">
            <w:pPr>
              <w:pStyle w:val="165"/>
              <w:spacing w:after="0"/>
            </w:pPr>
            <w:r>
              <w:t xml:space="preserve">  }</w:t>
            </w:r>
          </w:p>
          <w:p w14:paraId="2A8E8EBF">
            <w:pPr>
              <w:pStyle w:val="165"/>
              <w:spacing w:after="0"/>
            </w:pPr>
            <w:r>
              <w:t>];</w:t>
            </w:r>
          </w:p>
        </w:tc>
      </w:tr>
    </w:tbl>
    <w:p w14:paraId="3B59FC21">
      <w:pPr>
        <w:spacing w:after="40"/>
      </w:pPr>
    </w:p>
    <w:p w14:paraId="198A3E9D">
      <w:pPr>
        <w:keepNext/>
        <w:spacing w:before="240" w:after="120"/>
        <w:rPr>
          <w:lang w:eastAsia="zh-CN"/>
        </w:rPr>
      </w:pPr>
      <w:r>
        <w:rPr>
          <w:rFonts w:ascii="宋体" w:hAnsi="宋体" w:eastAsia="黑体"/>
          <w:b/>
          <w:sz w:val="28"/>
          <w:lang w:eastAsia="zh-CN"/>
        </w:rPr>
        <w:t>附录 C 核心分析流程伪代码</w:t>
      </w:r>
    </w:p>
    <w:p w14:paraId="24ECF78B">
      <w:pPr>
        <w:spacing w:after="80"/>
        <w:ind w:firstLine="420"/>
        <w:rPr>
          <w:lang w:eastAsia="zh-CN"/>
        </w:rPr>
      </w:pPr>
      <w:r>
        <w:rPr>
          <w:rFonts w:ascii="宋体" w:hAnsi="宋体"/>
          <w:sz w:val="20"/>
          <w:lang w:eastAsia="zh-CN"/>
        </w:rPr>
        <w:t>以下片段对应正文中“解析—建模—求解—输出”的流程，用于展示 HapFlow 内部调用顺序。正文不直接展开该代码，以避免破坏论文式排版。</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688"/>
      </w:tblGrid>
      <w:tr w14:paraId="77AC53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88" w:type="dxa"/>
            <w:shd w:val="clear" w:color="auto" w:fill="F7F7F7"/>
          </w:tcPr>
          <w:p w14:paraId="7D01BB85">
            <w:pPr>
              <w:pStyle w:val="165"/>
              <w:spacing w:after="0"/>
            </w:pPr>
            <w:r>
              <w:t>let scene = new Scene();</w:t>
            </w:r>
          </w:p>
          <w:p w14:paraId="03341380">
            <w:pPr>
              <w:pStyle w:val="165"/>
              <w:spacing w:after="0"/>
            </w:pPr>
            <w:r>
              <w:t>scene.buildSceneFromProjectDir(config);</w:t>
            </w:r>
          </w:p>
          <w:p w14:paraId="03A5F8BE">
            <w:pPr>
              <w:pStyle w:val="165"/>
              <w:spacing w:after="0"/>
            </w:pPr>
            <w:r>
              <w:t>scene.inferTypes();</w:t>
            </w:r>
          </w:p>
          <w:p w14:paraId="4BCF4CFA">
            <w:pPr>
              <w:pStyle w:val="165"/>
              <w:spacing w:after="0"/>
            </w:pPr>
          </w:p>
          <w:p w14:paraId="43E10A98">
            <w:pPr>
              <w:pStyle w:val="165"/>
              <w:spacing w:after="0"/>
            </w:pPr>
            <w:r>
              <w:t>const creater = new DummyMainCreater(scene);</w:t>
            </w:r>
          </w:p>
          <w:p w14:paraId="6ED7716E">
            <w:pPr>
              <w:pStyle w:val="165"/>
              <w:spacing w:after="0"/>
            </w:pPr>
            <w:r>
              <w:t>creater.createDummyMain();</w:t>
            </w:r>
          </w:p>
          <w:p w14:paraId="5A704125">
            <w:pPr>
              <w:pStyle w:val="165"/>
              <w:spacing w:after="0"/>
            </w:pPr>
            <w:r>
              <w:t>const entry = creater.getDummyMain();</w:t>
            </w:r>
          </w:p>
          <w:p w14:paraId="06742850">
            <w:pPr>
              <w:pStyle w:val="165"/>
              <w:spacing w:after="0"/>
            </w:pPr>
          </w:p>
          <w:p w14:paraId="4B677788">
            <w:pPr>
              <w:pStyle w:val="165"/>
              <w:spacing w:after="0"/>
            </w:pPr>
            <w:r>
              <w:t>let ptaConfig = PointerAnalysisConfig.create(2, "./out");</w:t>
            </w:r>
          </w:p>
          <w:p w14:paraId="545860FC">
            <w:pPr>
              <w:pStyle w:val="165"/>
              <w:spacing w:after="0"/>
            </w:pPr>
            <w:r>
              <w:t>let pta: PointerAnalysis | undefined =</w:t>
            </w:r>
          </w:p>
          <w:p w14:paraId="0378BA55">
            <w:pPr>
              <w:pStyle w:val="165"/>
              <w:spacing w:after="0"/>
            </w:pPr>
            <w:r>
              <w:t xml:space="preserve">  PointerAnalysis.pointerAnalysisForWholeProject(scene, ptaConfig);</w:t>
            </w:r>
          </w:p>
          <w:p w14:paraId="0BEF62A1">
            <w:pPr>
              <w:pStyle w:val="165"/>
              <w:spacing w:after="0"/>
            </w:pPr>
          </w:p>
          <w:p w14:paraId="40CBE7B6">
            <w:pPr>
              <w:pStyle w:val="165"/>
              <w:spacing w:after="0"/>
            </w:pPr>
            <w:r>
              <w:t>const problem = new TaintAnalysisChecker(</w:t>
            </w:r>
          </w:p>
          <w:p w14:paraId="451AD867">
            <w:pPr>
              <w:pStyle w:val="165"/>
              <w:spacing w:after="0"/>
            </w:pPr>
            <w:r>
              <w:t xml:space="preserve">  [...entry.getCfg()!.getBlocks()][0].getStmts()[entry.getParameters().length],</w:t>
            </w:r>
          </w:p>
          <w:p w14:paraId="1742FE1F">
            <w:pPr>
              <w:pStyle w:val="165"/>
              <w:spacing w:after="0"/>
            </w:pPr>
            <w:r>
              <w:t xml:space="preserve">  entry,</w:t>
            </w:r>
          </w:p>
          <w:p w14:paraId="16C0B725">
            <w:pPr>
              <w:pStyle w:val="165"/>
              <w:spacing w:after="0"/>
            </w:pPr>
            <w:r>
              <w:t xml:space="preserve">  pta</w:t>
            </w:r>
          </w:p>
          <w:p w14:paraId="08F583D9">
            <w:pPr>
              <w:pStyle w:val="165"/>
              <w:spacing w:after="0"/>
            </w:pPr>
            <w:r>
              <w:t>);</w:t>
            </w:r>
          </w:p>
          <w:p w14:paraId="6491ECF5">
            <w:pPr>
              <w:pStyle w:val="165"/>
              <w:spacing w:after="0"/>
            </w:pPr>
            <w:r>
              <w:t>problem.addSinksFromJson("tests/resources/sinks.json");</w:t>
            </w:r>
          </w:p>
          <w:p w14:paraId="20965F99">
            <w:pPr>
              <w:pStyle w:val="165"/>
              <w:spacing w:after="0"/>
            </w:pPr>
            <w:r>
              <w:t>problem.addSourcesFromJson("tests/resources/sources.json");</w:t>
            </w:r>
          </w:p>
          <w:p w14:paraId="44AE4A5C">
            <w:pPr>
              <w:pStyle w:val="165"/>
              <w:spacing w:after="0"/>
            </w:pPr>
          </w:p>
          <w:p w14:paraId="764DD3B4">
            <w:pPr>
              <w:pStyle w:val="165"/>
              <w:spacing w:after="0"/>
            </w:pPr>
            <w:r>
              <w:t>const solver = new TaintAnalysisSolver(problem, scene, pta);</w:t>
            </w:r>
          </w:p>
          <w:p w14:paraId="6EA6746D">
            <w:pPr>
              <w:pStyle w:val="165"/>
              <w:spacing w:after="0"/>
            </w:pPr>
            <w:r>
              <w:t>solver.solve();</w:t>
            </w:r>
          </w:p>
          <w:p w14:paraId="34C74138">
            <w:pPr>
              <w:pStyle w:val="165"/>
              <w:spacing w:after="0"/>
            </w:pPr>
            <w:r>
              <w:t>const outcome = problem.getOutcome();</w:t>
            </w:r>
          </w:p>
        </w:tc>
      </w:tr>
    </w:tbl>
    <w:p w14:paraId="16EF5C9E">
      <w:pPr>
        <w:spacing w:after="40"/>
      </w:pPr>
    </w:p>
    <w:p w14:paraId="7EAFCC9E">
      <w:pPr>
        <w:keepNext/>
        <w:spacing w:before="240" w:after="120"/>
        <w:rPr>
          <w:lang w:eastAsia="zh-CN"/>
        </w:rPr>
      </w:pPr>
      <w:r>
        <w:rPr>
          <w:rFonts w:ascii="宋体" w:hAnsi="宋体" w:eastAsia="黑体"/>
          <w:b/>
          <w:sz w:val="28"/>
          <w:lang w:eastAsia="zh-CN"/>
        </w:rPr>
        <w:t>附录 D 测试源码关键片段</w:t>
      </w:r>
    </w:p>
    <w:p w14:paraId="1EBA70EF">
      <w:pPr>
        <w:spacing w:after="80"/>
        <w:ind w:firstLine="420"/>
        <w:rPr>
          <w:lang w:eastAsia="zh-CN"/>
        </w:rPr>
      </w:pPr>
      <w:r>
        <w:rPr>
          <w:rFonts w:ascii="宋体" w:hAnsi="宋体"/>
          <w:sz w:val="20"/>
          <w:lang w:eastAsia="zh-CN"/>
        </w:rPr>
        <w:t>该片段用于说明测试案例中 source、传播语句和 sink 的位置。完整工程应位于 HapBench 对应测试目录下。</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688"/>
      </w:tblGrid>
      <w:tr w14:paraId="1B22F6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88" w:type="dxa"/>
            <w:shd w:val="clear" w:color="auto" w:fill="F7F7F7"/>
          </w:tcPr>
          <w:p w14:paraId="478F3DE4">
            <w:pPr>
              <w:pStyle w:val="165"/>
              <w:spacing w:after="0"/>
            </w:pPr>
            <w:r>
              <w:t>import { AbilityConstant, UIAbility, Want } from '@kit.AbilityKit';</w:t>
            </w:r>
          </w:p>
          <w:p w14:paraId="569AFC75">
            <w:pPr>
              <w:pStyle w:val="165"/>
              <w:spacing w:after="0"/>
            </w:pPr>
            <w:r>
              <w:t>import { hilog } from '@kit.PerformanceAnalysisKit';</w:t>
            </w:r>
          </w:p>
          <w:p w14:paraId="42C1C934">
            <w:pPr>
              <w:pStyle w:val="165"/>
              <w:spacing w:after="0"/>
            </w:pPr>
            <w:r>
              <w:t>import geoLocationManager from '@ohos.geoLocationManager';</w:t>
            </w:r>
          </w:p>
          <w:p w14:paraId="08892D96">
            <w:pPr>
              <w:pStyle w:val="165"/>
              <w:spacing w:after="0"/>
            </w:pPr>
          </w:p>
          <w:p w14:paraId="79502870">
            <w:pPr>
              <w:pStyle w:val="165"/>
              <w:spacing w:after="0"/>
            </w:pPr>
            <w:r>
              <w:t>export default class EntryAbility extends UIAbility {</w:t>
            </w:r>
          </w:p>
          <w:p w14:paraId="7E3B130C">
            <w:pPr>
              <w:pStyle w:val="165"/>
              <w:spacing w:after="0"/>
            </w:pPr>
            <w:r>
              <w:t xml:space="preserve">  onCreate(want: Want, launchParam: AbilityConstant.LaunchParam): void {</w:t>
            </w:r>
          </w:p>
          <w:p w14:paraId="6A7A5EB7">
            <w:pPr>
              <w:pStyle w:val="165"/>
              <w:spacing w:after="0"/>
            </w:pPr>
            <w:r>
              <w:t xml:space="preserve">    let info = JSON.stringify(geoLocationManager.getLastLocation()); // source</w:t>
            </w:r>
          </w:p>
          <w:p w14:paraId="6C3A04FF">
            <w:pPr>
              <w:pStyle w:val="165"/>
              <w:spacing w:after="0"/>
            </w:pPr>
            <w:r>
              <w:t xml:space="preserve">    hilog.info(0x0000, 'testTag', '%{public}s', info); // sink, leak</w:t>
            </w:r>
          </w:p>
          <w:p w14:paraId="65921E8B">
            <w:pPr>
              <w:pStyle w:val="165"/>
              <w:spacing w:after="0"/>
            </w:pPr>
            <w:r>
              <w:t xml:space="preserve">  }</w:t>
            </w:r>
          </w:p>
          <w:p w14:paraId="3B66AC56">
            <w:pPr>
              <w:pStyle w:val="165"/>
              <w:spacing w:after="0"/>
            </w:pPr>
            <w:r>
              <w:t>}</w:t>
            </w:r>
          </w:p>
        </w:tc>
      </w:tr>
    </w:tbl>
    <w:p w14:paraId="5C5ED9E2">
      <w:pPr>
        <w:spacing w:after="40"/>
      </w:pPr>
    </w:p>
    <w:p w14:paraId="7B969B87">
      <w:pPr>
        <w:keepNext/>
        <w:spacing w:before="240" w:after="120"/>
      </w:pPr>
      <w:r>
        <w:rPr>
          <w:rFonts w:ascii="宋体" w:hAnsi="宋体" w:eastAsia="黑体"/>
          <w:b/>
          <w:sz w:val="28"/>
        </w:rPr>
        <w:t>附录 E 典型可读化输出</w:t>
      </w:r>
    </w:p>
    <w:p w14:paraId="0696AF12">
      <w:pPr>
        <w:spacing w:after="80"/>
        <w:ind w:firstLine="420"/>
        <w:rPr>
          <w:lang w:eastAsia="zh-CN"/>
        </w:rPr>
      </w:pPr>
      <w:r>
        <w:rPr>
          <w:rFonts w:ascii="宋体" w:hAnsi="宋体"/>
          <w:sz w:val="20"/>
          <w:lang w:eastAsia="zh-CN"/>
        </w:rPr>
        <w:t>以下输出对应代表性用例中检测到的第 1 条泄露路径。其含义已在正文表 4 中解释。</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688"/>
      </w:tblGrid>
      <w:tr w14:paraId="220C0B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688" w:type="dxa"/>
            <w:shd w:val="clear" w:color="auto" w:fill="F7F7F7"/>
          </w:tcPr>
          <w:p w14:paraId="72256364">
            <w:pPr>
              <w:pStyle w:val="165"/>
              <w:spacing w:after="0"/>
            </w:pPr>
            <w:r>
              <w:t>===== Taint Analysis Report =====</w:t>
            </w:r>
          </w:p>
          <w:p w14:paraId="2F20ECC4">
            <w:pPr>
              <w:pStyle w:val="165"/>
              <w:spacing w:after="0"/>
            </w:pPr>
            <w:r>
              <w:t>[Leak 1]</w:t>
            </w:r>
          </w:p>
          <w:p w14:paraId="3F04F96D">
            <w:pPr>
              <w:pStyle w:val="165"/>
              <w:spacing w:after="0"/>
            </w:pPr>
            <w:r>
              <w:t>Tainted Value: info</w:t>
            </w:r>
          </w:p>
          <w:p w14:paraId="1F2BAADE">
            <w:pPr>
              <w:pStyle w:val="165"/>
              <w:spacing w:after="0"/>
            </w:pPr>
            <w:r>
              <w:t>Propagation Path:</w:t>
            </w:r>
          </w:p>
          <w:p w14:paraId="347BB213">
            <w:pPr>
              <w:pStyle w:val="165"/>
              <w:spacing w:after="0"/>
            </w:pPr>
            <w:r>
              <w:t>1. %0 = staticinvoke &lt;@ohosSdk/api/@ohos.geoLocationManager.d.ts:</w:t>
            </w:r>
          </w:p>
          <w:p w14:paraId="6DEA34F7">
            <w:pPr>
              <w:pStyle w:val="165"/>
              <w:spacing w:after="0"/>
            </w:pPr>
            <w:r>
              <w:t xml:space="preserve">   geoLocationManager.%dflt.getLastLocation()&gt;()</w:t>
            </w:r>
          </w:p>
          <w:p w14:paraId="74E13FBF">
            <w:pPr>
              <w:pStyle w:val="165"/>
              <w:spacing w:after="0"/>
            </w:pPr>
            <w:r>
              <w:t>2. info = instanceinvoke JSON.&lt;@%unk/%unk: .stringify()&gt;(%0)</w:t>
            </w:r>
          </w:p>
          <w:p w14:paraId="3EE050B5">
            <w:pPr>
              <w:pStyle w:val="165"/>
              <w:spacing w:after="0"/>
            </w:pPr>
            <w:r>
              <w:t>3. staticinvoke &lt;@ohosSdk/api/@ohos.hilog.d.ts:</w:t>
            </w:r>
          </w:p>
          <w:p w14:paraId="5BA3CC2D">
            <w:pPr>
              <w:pStyle w:val="165"/>
              <w:spacing w:after="0"/>
            </w:pPr>
            <w:r>
              <w:t xml:space="preserve">   hilog.%dflt.info(number, string, string, any[])&gt;(0x0000, 'testTag', '%{public}s', info)</w:t>
            </w:r>
          </w:p>
        </w:tc>
      </w:tr>
    </w:tbl>
    <w:p w14:paraId="5A06125B">
      <w:pPr>
        <w:spacing w:after="40"/>
      </w:pPr>
    </w:p>
    <w:p w14:paraId="5C092A14">
      <w:pPr>
        <w:keepNext/>
        <w:spacing w:before="240" w:after="120"/>
        <w:rPr>
          <w:rFonts w:ascii="黑体" w:hAnsi="黑体" w:eastAsia="黑体"/>
          <w:b/>
          <w:bCs/>
          <w:sz w:val="28"/>
          <w:szCs w:val="28"/>
          <w:lang w:eastAsia="zh-CN"/>
        </w:rPr>
      </w:pPr>
      <w:r>
        <w:rPr>
          <w:rFonts w:ascii="黑体" w:hAnsi="黑体" w:eastAsia="黑体"/>
          <w:b/>
          <w:bCs/>
          <w:sz w:val="28"/>
          <w:szCs w:val="28"/>
          <w:lang w:eastAsia="zh-CN"/>
        </w:rPr>
        <w:t>附录 F 工具改进说明</w:t>
      </w:r>
    </w:p>
    <w:p w14:paraId="4CA8B9EB">
      <w:pPr>
        <w:rPr>
          <w:lang w:eastAsia="zh-CN"/>
        </w:rPr>
      </w:pPr>
      <w:r>
        <w:rPr>
          <w:rFonts w:ascii="宋体" w:hAnsi="宋体"/>
          <w:sz w:val="20"/>
          <w:lang w:eastAsia="zh-CN"/>
        </w:rPr>
        <w:t>本附录概述本项目在原始 HapFlow 基础上的两项改进。改进 A 为输出格式化与可视化增强，主要新增 ArkIR 语句可读化、污点值字符串化、Source/Propagation/Sink 分类、Mermaid 文本转义、Markdown 报告生成和文件保存等逻辑。改进 B 为异步污点传播规则增强，主要在 TaintAnalysis.ts 的 getNormalFlowFunction、getCallFlowFunction 和 getCallToReturnFlowFunction 中扩展 Promise 相关传播规则，使污点能够跨越 Promise.resolve、Promise.then、Promise.catch 和 async/await 等异步边界。</w:t>
      </w:r>
    </w:p>
    <w:p w14:paraId="7E66A449">
      <w:r>
        <w:rPr>
          <w:rFonts w:ascii="宋体" w:hAnsi="宋体"/>
          <w:sz w:val="20"/>
        </w:rPr>
        <w:t>新增异步测试用例包括 PromiseThen1、AsyncAwait1、AsyncMixed1、NoLeakAsync、NestedThenChain 和 PromiseAll1。其中前三个用例验证异步泄露检出能力，NoLeakAsync 用于验证无误报，NestedThenChain 和 PromiseAll1 记录了当前复杂异步建模的已知局限。</w:t>
      </w:r>
    </w:p>
    <w:p w14:paraId="4DBF4915">
      <w:bookmarkStart w:id="0" w:name="_GoBack"/>
      <w:bookmarkEnd w:id="0"/>
    </w:p>
    <w:sectPr>
      <w:headerReference r:id="rId6" w:type="first"/>
      <w:footerReference r:id="rId8" w:type="first"/>
      <w:headerReference r:id="rId5" w:type="default"/>
      <w:footerReference r:id="rId7" w:type="default"/>
      <w:pgSz w:w="12240" w:h="15840"/>
      <w:pgMar w:top="1134" w:right="1276" w:bottom="1134" w:left="1276" w:header="567"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FE471">
    <w:pPr>
      <w:pStyle w:val="24"/>
      <w:jc w:val="center"/>
    </w:pPr>
    <w:r>
      <w:rPr>
        <w:sz w:val="18"/>
      </w:rPr>
      <w:fldChar w:fldCharType="begin"/>
    </w:r>
    <w:r>
      <w:rPr>
        <w:sz w:val="18"/>
      </w:rPr>
      <w:instrText xml:space="preserve">PAGE</w:instrText>
    </w:r>
    <w:r>
      <w:rPr>
        <w:sz w:val="18"/>
      </w:rPr>
      <w:fldChar w:fldCharType="separate"/>
    </w:r>
    <w:r>
      <w:rPr>
        <w:sz w:val="18"/>
      </w:rPr>
      <w:t>2</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D594D">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FECF9">
    <w:pPr>
      <w:pStyle w:val="25"/>
      <w:pBdr>
        <w:bottom w:val="single" w:color="808080" w:sz="4" w:space="1"/>
      </w:pBdr>
      <w:jc w:val="center"/>
    </w:pPr>
    <w:r>
      <w:rPr>
        <w:sz w:val="18"/>
      </w:rPr>
      <w:t>HapFlow OpenHarmony 污点分析工具复现结题报告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F2935">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78BD"/>
    <w:rsid w:val="0029639D"/>
    <w:rsid w:val="00326F90"/>
    <w:rsid w:val="00370FC0"/>
    <w:rsid w:val="00405CCA"/>
    <w:rsid w:val="005B7A58"/>
    <w:rsid w:val="0065095E"/>
    <w:rsid w:val="00671885"/>
    <w:rsid w:val="008658B8"/>
    <w:rsid w:val="008C4596"/>
    <w:rsid w:val="008E67BA"/>
    <w:rsid w:val="00AA1D8D"/>
    <w:rsid w:val="00B47730"/>
    <w:rsid w:val="00CB0664"/>
    <w:rsid w:val="00EE3ABA"/>
    <w:rsid w:val="00FC693F"/>
    <w:rsid w:val="3DA037A5"/>
    <w:rsid w:val="41947EA6"/>
    <w:rsid w:val="46326F64"/>
    <w:rsid w:val="7352707F"/>
    <w:rsid w:val="77A94C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aptionCN"/>
    <w:uiPriority w:val="0"/>
    <w:pPr>
      <w:spacing w:after="200" w:line="276" w:lineRule="auto"/>
    </w:pPr>
    <w:rPr>
      <w:rFonts w:ascii="Times New Roman" w:hAnsi="Times New Roman" w:eastAsia="宋体" w:cstheme="minorBidi"/>
      <w:sz w:val="18"/>
      <w:szCs w:val="22"/>
      <w:lang w:val="en-US" w:eastAsia="en-US" w:bidi="ar-SA"/>
    </w:rPr>
  </w:style>
  <w:style w:type="paragraph" w:customStyle="1" w:styleId="165">
    <w:name w:val="CodeBlock"/>
    <w:qFormat/>
    <w:uiPriority w:val="0"/>
    <w:pPr>
      <w:spacing w:after="200" w:line="276" w:lineRule="auto"/>
    </w:pPr>
    <w:rPr>
      <w:rFonts w:ascii="Consolas" w:hAnsi="Consolas" w:eastAsia="宋体"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4053</Words>
  <Characters>6964</Characters>
  <Lines>350</Lines>
  <Paragraphs>296</Paragraphs>
  <TotalTime>0</TotalTime>
  <ScaleCrop>false</ScaleCrop>
  <LinksUpToDate>false</LinksUpToDate>
  <CharactersWithSpaces>7539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言</cp:lastModifiedBy>
  <dcterms:modified xsi:type="dcterms:W3CDTF">2026-06-28T09:32:41Z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eyJoZGlkIjoiMzEwNTM5NzYwMDRjMzkwZTVkZjY2ODkwMGIxNGU0OTUiLCJ1c2VySWQiOiIxMzAxMzM0MjMxIn0=</vt:lpwstr>
  </property>
  <property fmtid="{D5CDD505-2E9C-101B-9397-08002B2CF9AE}" pid="3" name="KSOProductBuildVer">
    <vt:lpwstr>2052-12.1.0.26895</vt:lpwstr>
  </property>
  <property fmtid="{D5CDD505-2E9C-101B-9397-08002B2CF9AE}" pid="4" name="ICV">
    <vt:lpwstr>EC0348D1CCE14945BBAE5B95A4966C59_13</vt:lpwstr>
  </property>
</Properties>
</file>