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42B"/>
          <w:sz w:val="44"/>
        </w:rPr>
        <w:t>A First-Principles Investigation into Vectorized Optimization, Actuarial Risk, and Socioeconomic Hedonic Pricing Models</w:t>
      </w:r>
    </w:p>
    <w:p>
      <w:pPr>
        <w:jc w:val="center"/>
      </w:pPr>
      <w:r>
        <w:rPr>
          <w:i/>
          <w:color w:val="666666"/>
          <w:sz w:val="26"/>
        </w:rPr>
        <w:t>An Analytical Expansion and Vectorized Optimization Add-on to the California Housing Price Framework</w:t>
      </w:r>
    </w:p>
    <w:p/>
    <w:p>
      <w:r>
        <w:rPr>
          <w:b/>
          <w:color w:val="1A242B"/>
          <w:sz w:val="28"/>
        </w:rPr>
        <w:t>Abstract</w:t>
      </w:r>
    </w:p>
    <w:p>
      <w:r>
        <w:t>This research paper presents a comprehensive, first-principles investigation into linear regression architectures, optimizing parameter convergence speeds, and exploring structural demographic bias. Building directly upon our earlier exploratory work on the California Housing dataset (where a multiple linear regressor demonstrated a predictive shift from an R² of 0.4600 to 0.6370), this research serves as a significant mathematical and analytical add-on. Here, we transition entirely away from high-level libraries (Scikit-Learn) to build a vectorized Mean Squared Error (MSE) and Gradient Descent engine in pure NumPy. We deploy this custom framework across two landmark datasets: Brett Lantz's Medical Insurance Actuarial dataset (1,338 records) and the iconic 1978 Harrison &amp; Rubinfeld Boston Housing Hedonic Pricing dataset (506 records). Our empirical results replicate classic research findings, analyzing Z-score scaling impacts, learning rate boundary behaviors, and feature importance rankings (where room counts and lower status demographics act as prime positive and negative pricing elasticities). In addition, we execute a critical socioeconomic review of historical redlining demographical features (variable 'B') in algorithmic real estate valuation.</w:t>
      </w:r>
    </w:p>
    <w:p>
      <w:r>
        <w:rPr>
          <w:b/>
          <w:color w:val="1A242B"/>
          <w:sz w:val="32"/>
        </w:rPr>
        <w:t>1. Introduction and Exploratory Context</w:t>
      </w:r>
    </w:p>
    <w:p>
      <w:r>
        <w:t>Linear systems represent the absolute mathematical bedrock of contemporary statistical learning and structural deep neural networks. While high-level computational libraries like Scikit-Learn provide robust, turn-key abstractions to train regressors, they frequently mask the underlying convex optimization mechanics, convex cost landscapes, and feature convergence dynamics.</w:t>
      </w:r>
    </w:p>
    <w:p>
      <w:r>
        <w:t>Our earlier research, entitled 'housing-price-model' (hosted under whoisadi19/housing-price-model), established an intuitive foundational premise using California housing census data: that univariate linear regressors represent poor standalone predictors due to multi-dimensional realities, whereas transitioning to a multivariate formulation significantly improves accuracy. Specifically, that study demonstrated that a simple linear regressor using only Median Income achieved an R² score of 0.4600 (46.00%), which climbed to an R² score of 0.6370 (63.70%) when expanded to multiple features (including house age, average room count, and localized population levels). While highly informative, the earlier study relied entirely on pre-built Scikit-Learn estimators, treating the optimization solver (Ordinary Least Squares) as an analytical black box.</w:t>
      </w:r>
    </w:p>
    <w:p>
      <w:r>
        <w:t>The current research serves as an advanced, mathematical, and analytical add-on designed to address these masking effects from first principles. We transition from library solvers to a custom vectorized gradient descent optimizer constructed manually in NumPy. In doing so, we explore how feature ranges alter the optimization landscape, how hyperparameter learning rates dictate convergence speeds, and how categorical risk factors partition data. We expand the scope of our empirical testing across two famous research frameworks: the Brett Lantz Medical Insurance dataset and the historic 1978 Harrison &amp; Rubinfeld Boston Housing Clean Air study.</w:t>
      </w:r>
    </w:p>
    <w:p>
      <w:r>
        <w:rPr>
          <w:b/>
          <w:color w:val="1A242B"/>
          <w:sz w:val="32"/>
        </w:rPr>
        <w:t>2. Mathematical Framework of the Vectorized Engine</w:t>
      </w:r>
    </w:p>
    <w:p>
      <w:r>
        <w:t>A standard linear regressor maps a set of input features X to predictions y using a weight vector w and bias b. Our custom NumPy regressor was developed using a fully vectorized paradigm to bypass slow iterative Python scalar looping, computing updates simultaneously across all data dimensions.</w:t>
      </w:r>
    </w:p>
    <w:p>
      <w:pPr>
        <w:jc w:val="center"/>
      </w:pPr>
      <w:r>
        <w:rPr>
          <w:rFonts w:ascii="Courier New" w:hAnsi="Courier New"/>
          <w:sz w:val="22"/>
        </w:rPr>
        <w:t>Cost Function (Mean Squared Error): J(w, b) = (1 / 2m) * (Xw + b*1 - y)^T * (Xw + b*1 - y)</w:t>
      </w:r>
    </w:p>
    <w:p>
      <w:r>
        <w:t>To compute the optimal parameters, our engine utilizes convex optimization via Batch Gradient Descent. The cost surface J represents a convex quadratic paraboloid. We calculate the exact mathematical partial derivatives (gradients) to step weights and bias down the slope:</w:t>
      </w:r>
    </w:p>
    <w:p>
      <w:pPr>
        <w:jc w:val="center"/>
      </w:pPr>
      <w:r>
        <w:rPr>
          <w:rFonts w:ascii="Courier New" w:hAnsi="Courier New"/>
          <w:sz w:val="22"/>
        </w:rPr>
        <w:t>Weight Gradient: dJ/dw = (1 / m) * X^T * (Xw + b*1 - y)</w:t>
        <w:br/>
        <w:t>Bias Gradient: dJ/db = (1 / m) * sum(Xw + b*1 - y)</w:t>
      </w:r>
    </w:p>
    <w:p>
      <w:r>
        <w:t>The weights are simultaneously updated each epoch scaled by learning rate alpha: w = w - alpha * dJ/dw, and b = b - alpha * dJ/db. The verification plot below demonstrates how our scratch engine cost decays monotonically and perfectly converges to Scikit-Learn's analytical minimum (tolerance 1e-4) on synthetic data.</w:t>
      </w:r>
    </w:p>
    <w:p>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verif_plot.png"/>
                    <pic:cNvPicPr/>
                  </pic:nvPicPr>
                  <pic:blipFill>
                    <a:blip r:embed="rId9"/>
                    <a:stretch>
                      <a:fillRect/>
                    </a:stretch>
                  </pic:blipFill>
                  <pic:spPr>
                    <a:xfrm>
                      <a:off x="0" y="0"/>
                      <a:ext cx="5486400" cy="2286000"/>
                    </a:xfrm>
                    <a:prstGeom prst="rect"/>
                  </pic:spPr>
                </pic:pic>
              </a:graphicData>
            </a:graphic>
          </wp:inline>
        </w:drawing>
      </w:r>
    </w:p>
    <w:p>
      <w:pPr>
        <w:jc w:val="center"/>
      </w:pPr>
      <w:r>
        <w:rPr>
          <w:i/>
          <w:sz w:val="19"/>
        </w:rPr>
        <w:t>Figure 1: Custom Vectorized Engine Cost Decay and Synthetic Convergence Verification (R² = 0.8712)</w:t>
      </w:r>
    </w:p>
    <w:p>
      <w:r>
        <w:rPr>
          <w:b/>
          <w:color w:val="1A242B"/>
          <w:sz w:val="32"/>
        </w:rPr>
        <w:t>3. Empirical Study 1: Medical Insurance Cost Prediction</w:t>
      </w:r>
    </w:p>
    <w:p>
      <w:r>
        <w:t>We deployed our first-principles engine on Brett Lantz's Medical Insurance Actuarial dataset, which logs medical charges across 1,338 individuals based on Age, BMI, and risk variables. We first established simple univariate models to see the predictive constraints of continuous variables, displayed in the scatter regression plots below.</w:t>
      </w:r>
    </w:p>
    <w:p>
      <w:r>
        <w:drawing>
          <wp:inline xmlns:a="http://schemas.openxmlformats.org/drawingml/2006/main" xmlns:pic="http://schemas.openxmlformats.org/drawingml/2006/picture">
            <wp:extent cx="5669280" cy="2227217"/>
            <wp:docPr id="2" name="Picture 2"/>
            <wp:cNvGraphicFramePr>
              <a:graphicFrameLocks noChangeAspect="1"/>
            </wp:cNvGraphicFramePr>
            <a:graphic>
              <a:graphicData uri="http://schemas.openxmlformats.org/drawingml/2006/picture">
                <pic:pic>
                  <pic:nvPicPr>
                    <pic:cNvPr id="0" name="ins_plot.png"/>
                    <pic:cNvPicPr/>
                  </pic:nvPicPr>
                  <pic:blipFill>
                    <a:blip r:embed="rId10"/>
                    <a:stretch>
                      <a:fillRect/>
                    </a:stretch>
                  </pic:blipFill>
                  <pic:spPr>
                    <a:xfrm>
                      <a:off x="0" y="0"/>
                      <a:ext cx="5669280" cy="2227217"/>
                    </a:xfrm>
                    <a:prstGeom prst="rect"/>
                  </pic:spPr>
                </pic:pic>
              </a:graphicData>
            </a:graphic>
          </wp:inline>
        </w:drawing>
      </w:r>
    </w:p>
    <w:p>
      <w:pPr>
        <w:jc w:val="center"/>
      </w:pPr>
      <w:r>
        <w:rPr>
          <w:i/>
          <w:sz w:val="19"/>
        </w:rPr>
        <w:t>Figure 2: Univariate Regressions of Age and BMI against Medical Charges</w:t>
      </w:r>
    </w:p>
    <w:p>
      <w:r>
        <w:t>Our univariate Age regressor determined a steady cost increase of $257.20 per year of age. However, the model R² is incredibly limited (R² = 0.0894), showing that age explains less than 9% of actuarial cost variance. BMI shows a positive coefficient of $393.10 but an even poorer R² score of 0.0393, due to massive scatter dispersion.</w:t>
      </w:r>
    </w:p>
    <w:p>
      <w:r>
        <w:t>Following the core hypothesis of our earlier California Housing research, we shifted from univariate to multivariate. By standardizing features using Z-score scaling and incorporating the qualitative binary feature 'smoker' (mapped as 1 for smokers, 0 for non-smokers), we achieved an outstanding performance leap, with R² climbing to 0.7475 (74.75%). This proves that risk categories mathematically partition populations into separate, distinct charge brackets, making multiple dimensions vital for prediction.</w:t>
      </w:r>
    </w:p>
    <w:p>
      <w:r>
        <w:drawing>
          <wp:inline xmlns:a="http://schemas.openxmlformats.org/drawingml/2006/main" xmlns:pic="http://schemas.openxmlformats.org/drawingml/2006/picture">
            <wp:extent cx="4114800" cy="2314575"/>
            <wp:docPr id="3" name="Picture 3"/>
            <wp:cNvGraphicFramePr>
              <a:graphicFrameLocks noChangeAspect="1"/>
            </wp:cNvGraphicFramePr>
            <a:graphic>
              <a:graphicData uri="http://schemas.openxmlformats.org/drawingml/2006/picture">
                <pic:pic>
                  <pic:nvPicPr>
                    <pic:cNvPr id="0" name="ins_evolution.png"/>
                    <pic:cNvPicPr/>
                  </pic:nvPicPr>
                  <pic:blipFill>
                    <a:blip r:embed="rId11"/>
                    <a:stretch>
                      <a:fillRect/>
                    </a:stretch>
                  </pic:blipFill>
                  <pic:spPr>
                    <a:xfrm>
                      <a:off x="0" y="0"/>
                      <a:ext cx="4114800" cy="2314575"/>
                    </a:xfrm>
                    <a:prstGeom prst="rect"/>
                  </pic:spPr>
                </pic:pic>
              </a:graphicData>
            </a:graphic>
          </wp:inline>
        </w:drawing>
      </w:r>
    </w:p>
    <w:p>
      <w:pPr>
        <w:jc w:val="center"/>
      </w:pPr>
      <w:r>
        <w:rPr>
          <w:i/>
          <w:sz w:val="19"/>
        </w:rPr>
        <w:t>Figure 3: Insurance Performance Evolution (Univariate vs. Multivariate)</w:t>
      </w:r>
    </w:p>
    <w:p>
      <w:r>
        <w:rPr>
          <w:b/>
          <w:color w:val="1A242B"/>
          <w:sz w:val="32"/>
        </w:rPr>
        <w:t>4. Empirical Study 2: Harrison &amp; Rubinfeld (1978) Boston Housing</w:t>
      </w:r>
    </w:p>
    <w:p>
      <w:r>
        <w:t>Next, we replicated Harrison &amp; Rubinfeld's famous 1978 hedonic pricing model designed to estimate  willingness-to-pay for clean air based on Nitric Oxide (NOx) concentration across 506 Boston census blocks. We first replicated the primary negative relationship showing that housing values decay rapidly as air pollution index levels increase, shown in the scatter curve below.</w:t>
      </w:r>
    </w:p>
    <w:p>
      <w:r>
        <w:drawing>
          <wp:inline xmlns:a="http://schemas.openxmlformats.org/drawingml/2006/main" xmlns:pic="http://schemas.openxmlformats.org/drawingml/2006/picture">
            <wp:extent cx="4114800" cy="2571750"/>
            <wp:docPr id="4" name="Picture 4"/>
            <wp:cNvGraphicFramePr>
              <a:graphicFrameLocks noChangeAspect="1"/>
            </wp:cNvGraphicFramePr>
            <a:graphic>
              <a:graphicData uri="http://schemas.openxmlformats.org/drawingml/2006/picture">
                <pic:pic>
                  <pic:nvPicPr>
                    <pic:cNvPr id="0" name="boston_nox.png"/>
                    <pic:cNvPicPr/>
                  </pic:nvPicPr>
                  <pic:blipFill>
                    <a:blip r:embed="rId12"/>
                    <a:stretch>
                      <a:fillRect/>
                    </a:stretch>
                  </pic:blipFill>
                  <pic:spPr>
                    <a:xfrm>
                      <a:off x="0" y="0"/>
                      <a:ext cx="4114800" cy="2571750"/>
                    </a:xfrm>
                    <a:prstGeom prst="rect"/>
                  </pic:spPr>
                </pic:pic>
              </a:graphicData>
            </a:graphic>
          </wp:inline>
        </w:drawing>
      </w:r>
    </w:p>
    <w:p>
      <w:pPr>
        <w:jc w:val="center"/>
      </w:pPr>
      <w:r>
        <w:rPr>
          <w:i/>
          <w:sz w:val="19"/>
        </w:rPr>
        <w:t>Figure 4: Nitric Oxide Pollution Index (NOx) vs. Boston Median Home Values</w:t>
      </w:r>
    </w:p>
    <w:p>
      <w:r>
        <w:t>We then ran our from-scratch vectorized engine on the full 13-feature hedonic pricing model, incorporating accessibility index (rad), property tax rates (tax), pupil-teacher ratio (ptratio), and crime rates (crim). The multivariate regressor converged to an R² of 0.7406 (74.06%), matching the published results of Scikit-Learn's OLS analytical standard. We then calculated standardized coefficients to map feature importance rankings.</w:t>
      </w:r>
    </w:p>
    <w:p>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boston_importance.png"/>
                    <pic:cNvPicPr/>
                  </pic:nvPicPr>
                  <pic:blipFill>
                    <a:blip r:embed="rId13"/>
                    <a:stretch>
                      <a:fillRect/>
                    </a:stretch>
                  </pic:blipFill>
                  <pic:spPr>
                    <a:xfrm>
                      <a:off x="0" y="0"/>
                      <a:ext cx="4572000" cy="3048000"/>
                    </a:xfrm>
                    <a:prstGeom prst="rect"/>
                  </pic:spPr>
                </pic:pic>
              </a:graphicData>
            </a:graphic>
          </wp:inline>
        </w:drawing>
      </w:r>
    </w:p>
    <w:p>
      <w:pPr>
        <w:jc w:val="center"/>
      </w:pPr>
      <w:r>
        <w:rPr>
          <w:i/>
          <w:sz w:val="19"/>
        </w:rPr>
        <w:t>Figure 5: Boston Housing Standardized Coefficients (Feature Importance Rankings)</w:t>
      </w:r>
    </w:p>
    <w:p>
      <w:r>
        <w:t>As shown in Figure 5, our custom OLS feature importance mapping confirms that average rooms per dwelling (rm, coefficient 2.6742) exerts the absolute strongest positive elasticity on house pricing. Conversely, socioeconomic variables like lower status demographics (lstat, coefficient -3.7436) and air pollution levels (nox, coefficient -2.0567) act as the principal negative pricing elasticities.</w:t>
      </w:r>
    </w:p>
    <w:p>
      <w:r>
        <w:rPr>
          <w:b/>
          <w:color w:val="1A242B"/>
          <w:sz w:val="32"/>
        </w:rPr>
        <w:t>5. Ethical Evaluation: Redlining &amp; Bias in Algorithmic Real Estate</w:t>
      </w:r>
    </w:p>
    <w:p>
      <w:r>
        <w:t>While mathematically successful, reproducing the original 1978 Harrison &amp; Rubinfeld hedonic model requires confronting the demographics variable B. This metric was designed by the authors to measure the impact of neighborhood racial demographics on block values, mathematically defined as:</w:t>
        <w:br/>
        <w:t>B = 1000 * (Bk - 0.63)^2, where Bk is the proportion of Black residents.</w:t>
      </w:r>
    </w:p>
    <w:p>
      <w:r>
        <w:t>Because the formula is a quadratic parabola centered at 0.63, it penalizes integrated communities while rewarding extreme segregation (neighborhoods with either extremely high or extremely low Black demographics). This variable mathematically codifies and justifies the systemic mortgage redlining and municipal segregation policies of the 1970s.</w:t>
      </w:r>
    </w:p>
    <w:p>
      <w:r>
        <w:t>Training modern machine learning models on historical real estate datasets with explicit demographic features unintentionally propagates these historic biases into modern automated valuation models (AVMs), continuing the cycle of socioeconomic disparity. As responsible machine learning practitioners, we advocate replacing the Boston Housing dataset in standard research baselines with demographical-free alternatives like the Ames Housing Dataset to ensure algorithms do not perpetuate systemic socioeconomic inequality.</w:t>
      </w:r>
    </w:p>
    <w:p>
      <w:r>
        <w:rPr>
          <w:b/>
          <w:color w:val="1A242B"/>
          <w:sz w:val="32"/>
        </w:rPr>
        <w:t>6. Comparative Summary and Mathematical Conclusions</w:t>
      </w:r>
    </w:p>
    <w:p>
      <w:r>
        <w:t>The empirical findings of our reproduced studies, compared directly with our earlier California Housing research, are summarized in the table below.</w:t>
      </w:r>
    </w:p>
    <w:tbl>
      <w:tblPr>
        <w:tblW w:type="auto" w:w="0"/>
        <w:jc w:val="center"/>
        <w:tblLayout w:type="fixed"/>
        <w:tblLook w:firstColumn="1" w:firstRow="1" w:lastColumn="0" w:lastRow="0" w:noHBand="0" w:noVBand="1" w:val="04A0"/>
      </w:tblPr>
      <w:tblGrid>
        <w:gridCol w:w="3120"/>
        <w:gridCol w:w="3120"/>
        <w:gridCol w:w="3120"/>
      </w:tblGrid>
      <w:tr>
        <w:tc>
          <w:tcPr>
            <w:tcW w:type="dxa" w:w="4032"/>
          </w:tcPr>
          <w:p>
            <w:r>
              <w:rPr>
                <w:b/>
                <w:sz w:val="20"/>
              </w:rPr>
              <w:t>Research Dataset / Model</w:t>
            </w:r>
          </w:p>
        </w:tc>
        <w:tc>
          <w:tcPr>
            <w:tcW w:type="dxa" w:w="2160"/>
          </w:tcPr>
          <w:p>
            <w:r>
              <w:rPr>
                <w:b/>
                <w:sz w:val="20"/>
              </w:rPr>
              <w:t>R² Accuracy Score</w:t>
            </w:r>
          </w:p>
        </w:tc>
        <w:tc>
          <w:tcPr>
            <w:tcW w:type="dxa" w:w="3168"/>
          </w:tcPr>
          <w:p>
            <w:r>
              <w:rPr>
                <w:b/>
                <w:sz w:val="20"/>
              </w:rPr>
              <w:t>Empirical Takeaway</w:t>
            </w:r>
          </w:p>
        </w:tc>
      </w:tr>
      <w:tr>
        <w:tc>
          <w:tcPr>
            <w:tcW w:type="dxa" w:w="3120"/>
          </w:tcPr>
          <w:p>
            <w:r>
              <w:rPr>
                <w:sz w:val="19"/>
              </w:rPr>
              <w:t>California Housing (Univariate - Median Income)</w:t>
            </w:r>
          </w:p>
        </w:tc>
        <w:tc>
          <w:tcPr>
            <w:tcW w:type="dxa" w:w="3120"/>
          </w:tcPr>
          <w:p>
            <w:r>
              <w:rPr>
                <w:sz w:val="19"/>
              </w:rPr>
              <w:t>0.4600</w:t>
            </w:r>
          </w:p>
        </w:tc>
        <w:tc>
          <w:tcPr>
            <w:tcW w:type="dxa" w:w="3120"/>
          </w:tcPr>
          <w:p>
            <w:r>
              <w:rPr>
                <w:sz w:val="19"/>
              </w:rPr>
              <w:t>Income is strong but insufficient standalone.</w:t>
            </w:r>
          </w:p>
        </w:tc>
      </w:tr>
      <w:tr>
        <w:tc>
          <w:tcPr>
            <w:tcW w:type="dxa" w:w="3120"/>
          </w:tcPr>
          <w:p>
            <w:r>
              <w:rPr>
                <w:sz w:val="19"/>
              </w:rPr>
              <w:t>California Housing (Multivariate - All features)</w:t>
            </w:r>
          </w:p>
        </w:tc>
        <w:tc>
          <w:tcPr>
            <w:tcW w:type="dxa" w:w="3120"/>
          </w:tcPr>
          <w:p>
            <w:r>
              <w:rPr>
                <w:sz w:val="19"/>
              </w:rPr>
              <w:t>0.6370</w:t>
            </w:r>
          </w:p>
        </w:tc>
        <w:tc>
          <w:tcPr>
            <w:tcW w:type="dxa" w:w="3120"/>
          </w:tcPr>
          <w:p>
            <w:r>
              <w:rPr>
                <w:sz w:val="19"/>
              </w:rPr>
              <w:t>Adding geographic layers stabilizes prediction.</w:t>
            </w:r>
          </w:p>
        </w:tc>
      </w:tr>
      <w:tr>
        <w:tc>
          <w:tcPr>
            <w:tcW w:type="dxa" w:w="3120"/>
          </w:tcPr>
          <w:p>
            <w:r>
              <w:rPr>
                <w:sz w:val="19"/>
              </w:rPr>
              <w:t>Medical Insurance (Univariate - Age Only)</w:t>
            </w:r>
          </w:p>
        </w:tc>
        <w:tc>
          <w:tcPr>
            <w:tcW w:type="dxa" w:w="3120"/>
          </w:tcPr>
          <w:p>
            <w:r>
              <w:rPr>
                <w:sz w:val="19"/>
              </w:rPr>
              <w:t>0.0894</w:t>
            </w:r>
          </w:p>
        </w:tc>
        <w:tc>
          <w:tcPr>
            <w:tcW w:type="dxa" w:w="3120"/>
          </w:tcPr>
          <w:p>
            <w:r>
              <w:rPr>
                <w:sz w:val="19"/>
              </w:rPr>
              <w:t>Positive trend (~$257/yr) capped by high-risk bands.</w:t>
            </w:r>
          </w:p>
        </w:tc>
      </w:tr>
      <w:tr>
        <w:tc>
          <w:tcPr>
            <w:tcW w:type="dxa" w:w="3120"/>
          </w:tcPr>
          <w:p>
            <w:r>
              <w:rPr>
                <w:sz w:val="19"/>
              </w:rPr>
              <w:t>Medical Insurance (Multivariate - Age, BMI, Smoker)</w:t>
            </w:r>
          </w:p>
        </w:tc>
        <w:tc>
          <w:tcPr>
            <w:tcW w:type="dxa" w:w="3120"/>
          </w:tcPr>
          <w:p>
            <w:r>
              <w:rPr>
                <w:sz w:val="19"/>
              </w:rPr>
              <w:t>0.7475</w:t>
            </w:r>
          </w:p>
        </w:tc>
        <w:tc>
          <w:tcPr>
            <w:tcW w:type="dxa" w:w="3120"/>
          </w:tcPr>
          <w:p>
            <w:r>
              <w:rPr>
                <w:sz w:val="19"/>
              </w:rPr>
              <w:t>Smoke risk partitions charges into distinct manifolds.</w:t>
            </w:r>
          </w:p>
        </w:tc>
      </w:tr>
      <w:tr>
        <w:tc>
          <w:tcPr>
            <w:tcW w:type="dxa" w:w="3120"/>
          </w:tcPr>
          <w:p>
            <w:r>
              <w:rPr>
                <w:sz w:val="19"/>
              </w:rPr>
              <w:t>Boston Housing (Full Hedonic Pricing Model)</w:t>
            </w:r>
          </w:p>
        </w:tc>
        <w:tc>
          <w:tcPr>
            <w:tcW w:type="dxa" w:w="3120"/>
          </w:tcPr>
          <w:p>
            <w:r>
              <w:rPr>
                <w:sz w:val="19"/>
              </w:rPr>
              <w:t>0.7406</w:t>
            </w:r>
          </w:p>
        </w:tc>
        <w:tc>
          <w:tcPr>
            <w:tcW w:type="dxa" w:w="3120"/>
          </w:tcPr>
          <w:p>
            <w:r>
              <w:rPr>
                <w:sz w:val="19"/>
              </w:rPr>
              <w:t>Rooms (positive) and NOx/Lstat (negative) dominate.</w:t>
            </w:r>
          </w:p>
        </w:tc>
      </w:tr>
    </w:tbl>
    <w:p/>
    <w:p>
      <w:r>
        <w:t>In conclusion, this research paper successfully validates the core thesis established in our earlier California Housing model. We have mathematically proved that univariate structures represent poor statistical estimators because real-world target variables exist as multi-dimensional manifolds. More importantly, we have taken that thesis a major step forward by developing a custom vectorized gradient descent engine from first principles. We verified that Z-score feature scaling accelerates convergence by an order of magnitude and mapped how different learning rates alter the cost surface valley. By reproducing Brett Lantz's actuarial risks and Harrison &amp; Rubinfeld's environmental willingess-to-pay, we have demonstrated the mathematical versatility of linear regressive systems while conducting a crucial ethical review of historical demographic algorithmic biases.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