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was dead was never dead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what was dead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was never dead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ongoing project that examines the universal belief in reincarnation and posthumous existence of dead relatives.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nigeria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people believe that human effort and achievement do not end with death on the earthly plane.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cosmological belief is articulated in a lot of different origin stories, many of which are built around individuals and archetypes in ghostland.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world is an endless loop of the living and dead; coming and going.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instance, among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yoruba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people, the universe is conceived as a three-storied structure: heavenworld above, earthworld and, the under-earthworld below it.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heavenworld above is the home of the father god, earthworld is the home of humankind [including animalkind, trees etc.], and the under-earthworld is the abode of the ancestors.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child is born, the child is never named, until the gods are consulted, to reveal whom amongst the ancestors have come to live again on  earthworld.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those who are dead, are never dead.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body of work,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try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capture the living-dead, by examining intimate family stories―to exhume memories, popular myths and taboos surrounding death, reincarnation and the universal belief in the afterlife.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