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rFonts w:hint="eastAsia"/>
          <w:lang w:val="en-US" w:eastAsia="zh-CN"/>
        </w:rPr>
        <w:t>Spring 的测试jar，</w:t>
      </w:r>
      <w:bookmarkStart w:id="0" w:name="_GoBack"/>
      <w:bookmarkEnd w:id="0"/>
      <w:r>
        <w:rPr>
          <w:rStyle w:val="11"/>
        </w:rPr>
        <w:t>@Test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8A076A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7685C9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A076AF" w15:done="0"/>
  <w15:commentEx w15:paraId="77685C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442924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F13503F"/>
    <w:rsid w:val="5FC1121F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BF83E1C"/>
    <w:rsid w:val="7C165694"/>
    <w:rsid w:val="7C6F0A73"/>
    <w:rsid w:val="7D0044F7"/>
    <w:rsid w:val="7D2A41E8"/>
    <w:rsid w:val="7D5A283A"/>
    <w:rsid w:val="7E9F7C6E"/>
    <w:rsid w:val="7F5B7EB3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2018-05-13T14:29:34Z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