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BDB76B"/>
          <w:sz w:val="24"/>
          <w:szCs w:val="24"/>
          <w:shd w:val="clear" w:fill="282828"/>
        </w:rPr>
        <w:t>registration</w:t>
      </w:r>
      <w:r>
        <w:rPr>
          <w:rFonts w:hint="default" w:ascii="Consolas" w:hAnsi="Consolas" w:eastAsia="Consolas" w:cs="Consolas"/>
          <w:color w:val="D5C4A1"/>
          <w:sz w:val="24"/>
          <w:szCs w:val="24"/>
          <w:shd w:val="clear" w:fill="282828"/>
        </w:rPr>
        <w:t>.</w:t>
      </w:r>
      <w:r>
        <w:rPr>
          <w:rFonts w:hint="default" w:ascii="Consolas" w:hAnsi="Consolas" w:eastAsia="Consolas" w:cs="Consolas"/>
          <w:color w:val="FF8000"/>
          <w:sz w:val="24"/>
          <w:szCs w:val="24"/>
          <w:shd w:val="clear" w:fill="282828"/>
        </w:rPr>
        <w:t>addUrlMappings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rdis集群哨兵,mysql集群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0A7115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2DE6C3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A71152" w15:done="0"/>
  <w15:commentEx w15:paraId="72DE6C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AC471B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2018-07-13T07:05:53Z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