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pPr>
      <w:r>
        <w:t>TECHNICAL ARCHITECTURE &amp; ALGORITHMIC SPECIFICATION — v1.4 (Student Dropout Intent)</w:t>
      </w:r>
    </w:p>
    <w:p>
      <w:pPr>
        <w:spacing w:after="80" w:line="276" w:lineRule="auto"/>
      </w:pPr>
      <w:r>
        <w:t>An Agentic, Reasoning-First Natural Language to SQL Translation Engine with Intent Classification</w:t>
      </w:r>
    </w:p>
    <w:p>
      <w:pPr>
        <w:spacing w:after="240" w:line="276" w:lineRule="auto"/>
      </w:pPr>
      <w:r>
        <w:t>Author: Core AI Engineering Team | Date: June 2026 | Status: Verified &amp; Operational (v1.4)</w:t>
      </w:r>
    </w:p>
    <w:p>
      <w:pPr>
        <w:spacing w:after="240" w:line="276" w:lineRule="auto"/>
      </w:pPr>
      <w:r>
        <w:t>――――――――――――――――――――――――――――――――――――――――――――――――――――――――――――――――――――――――――――――――</w:t>
      </w:r>
    </w:p>
    <w:p>
      <w:pPr>
        <w:pStyle w:val="Heading1"/>
        <w:spacing w:before="240" w:after="120"/>
      </w:pPr>
      <w:r>
        <w:t>1. Executive Summary</w:t>
      </w:r>
    </w:p>
    <w:p>
      <w:pPr>
        <w:spacing w:after="120" w:line="276" w:lineRule="auto"/>
      </w:pPr>
      <w:r>
        <w:t>This specification details the design, implementation, and verification protocols of the Natural Language to SQL (NL2SQL) translation engine developed for student dropout risk analysis (v1.4). The system provides interfaces to convert user queries regarding student demographics, school characteristics, academic performance, attendance, welfare benefit disbursements, and socioeconomic assets into optimized, syntactically valid SQL queries. The primary design objective is to enable natural language interaction with structured database systems while mitigating common LLM failure modes such as schema hallucination, invalid column joins, and structural errors [1], [6]. Version 1.4 introduces a dedicated Intent Node that pre-classifies user questions into 13 domain intent taxonomies and enriches vector database retrieval with structured entities and department scopes.</w:t>
      </w:r>
    </w:p>
    <w:p>
      <w:pPr>
        <w:pStyle w:val="Heading1"/>
        <w:spacing w:before="240" w:after="120"/>
      </w:pPr>
      <w:r>
        <w:t>2. Reference Architecture</w:t>
      </w:r>
    </w:p>
    <w:p>
      <w:pPr>
        <w:spacing w:after="120" w:line="276" w:lineRule="auto"/>
      </w:pPr>
      <w:r>
        <w:t>The system follows a modular, reasoning-first paradigm where retrieval, intent classification, orchestration, and execution are strictly separated. This design ensures that the Large Language Model (LLM) is not forced to rely on unstructured parametric memory for physical table layouts, and is instead heavily anchored via retrieved context and intent-guided schema subsets.</w:t>
      </w:r>
    </w:p>
    <w:p>
      <w:pPr>
        <w:spacing w:after="240"/>
      </w:pPr>
      <w:r>
        <w:rPr>
          <w:rFonts w:ascii="Courier New" w:hAnsi="Courier New"/>
          <w:sz w:val="17"/>
        </w:rPr>
        <w:t xml:space="preserve">                 User Query</w:t>
        <w:br/>
        <w:t xml:space="preserve">                     │</w:t>
        <w:br/>
        <w:t xml:space="preserve">                     ▼</w:t>
        <w:br/>
        <w:t xml:space="preserve">           ┌───────────────────┐</w:t>
        <w:br/>
        <w:t xml:space="preserve">           │  FastAPI Gateway  │</w:t>
        <w:br/>
        <w:t xml:space="preserve">           └─────────┬─────────┘</w:t>
        <w:br/>
        <w:t xml:space="preserve">                     │</w:t>
        <w:br/>
        <w:t xml:space="preserve">                     ▼</w:t>
        <w:br/>
        <w:t>┌────────────────────┼──────────────────────────────────┐</w:t>
        <w:br/>
        <w:t>│ LangGraph Agent    │                                  │</w:t>
        <w:br/>
        <w:t>│                    ▼                                  │</w:t>
        <w:br/>
        <w:t>│              [Intent Node]                            │</w:t>
        <w:br/>
        <w:t>│                    │ (intent, scope, entities)        │</w:t>
        <w:br/>
        <w:t>│                    ▼                                  │</w:t>
        <w:br/>
        <w:t>│            [Initialize Node]                          │</w:t>
        <w:br/>
        <w:t>│                    │                                  │</w:t>
        <w:br/>
        <w:t>│                    ▼ (calls retrive_schema_rag)       │</w:t>
        <w:br/>
        <w:t>│            ┌───────────────┐                          │</w:t>
        <w:br/>
        <w:t>│            │  Schema RAG   │ ──► Milvus Vector DB     │</w:t>
        <w:br/>
        <w:t>│            └───────┬───────┘                          │</w:t>
        <w:br/>
        <w:t>│                    │                                  │</w:t>
        <w:br/>
        <w:t>│                    ▼ (enriched schema contexts)       │</w:t>
        <w:br/>
        <w:t>│             [LLM Node] ◄─────────────────┐            │</w:t>
        <w:br/>
        <w:t>│                    │                     │            │</w:t>
        <w:br/>
        <w:t>│                    ▼ (calls execute_sql) │            │</w:t>
        <w:br/>
        <w:t>│             [Tool Node]                  │ (Retry)    │</w:t>
        <w:br/>
        <w:t>│                    │                     │            │</w:t>
        <w:br/>
        <w:t>│                    ▼ (runs on DB)        │            │</w:t>
        <w:br/>
        <w:t>│            ┌───────────────┐             │            │</w:t>
        <w:br/>
        <w:t>│            │ Hive / Impala │             │            │</w:t>
        <w:br/>
        <w:t>│            └───────┬───────┘             │            │</w:t>
        <w:br/>
        <w:t>│                    │                     │            │</w:t>
        <w:br/>
        <w:t>│                    ▼                     │            │</w:t>
        <w:br/>
        <w:t>│             [Verify Node] ───────────────┘            │</w:t>
        <w:br/>
        <w:t>│                    │ (Graded Correct)                 │</w:t>
        <w:br/>
        <w:t>│                    ▼                                  │</w:t>
        <w:br/>
        <w:t>│                   END ──► Final Response to User      │</w:t>
        <w:br/>
        <w:t>└───────────────────────────────────────────────────────┘</w:t>
      </w:r>
    </w:p>
    <w:p>
      <w:pPr>
        <w:pStyle w:val="Heading2"/>
        <w:spacing w:before="240" w:after="120"/>
      </w:pPr>
      <w:r>
        <w:t>2.1. Structural Component Breakdown</w:t>
      </w:r>
    </w:p>
    <w:p>
      <w:pPr>
        <w:pStyle w:val="ListBullet"/>
        <w:spacing w:after="120" w:line="276" w:lineRule="auto"/>
      </w:pPr>
      <w:r>
        <w:rPr>
          <w:b/>
        </w:rPr>
        <w:t>Intent Classification Layer (Intent Node):</w:t>
      </w:r>
      <w:r>
        <w:t xml:space="preserve"> Pre-processing module powered by a lightweight LLM call (no tools). Classifies incoming questions into 13 domain intent categories, extracts entities (district, year, grade, social category), and assigns YAML department scopes.</w:t>
      </w:r>
    </w:p>
    <w:p>
      <w:pPr>
        <w:pStyle w:val="ListBullet"/>
        <w:spacing w:after="120" w:line="276" w:lineRule="auto"/>
      </w:pPr>
      <w:r>
        <w:rPr>
          <w:b/>
        </w:rPr>
        <w:t>LangGraph Orchestrator:</w:t>
      </w:r>
      <w:r>
        <w:t xml:space="preserve"> Managed using LangGraph (StateGraph) to structure the execution pipeline as a series of state-dependent nodes, enabling robust routing and self-correction loops.</w:t>
      </w:r>
    </w:p>
    <w:p>
      <w:pPr>
        <w:pStyle w:val="ListBullet"/>
        <w:spacing w:after="120" w:line="276" w:lineRule="auto"/>
      </w:pPr>
      <w:r>
        <w:rPr>
          <w:b/>
        </w:rPr>
        <w:t>Semantic Retrieval Layer (Schema RAG):</w:t>
      </w:r>
      <w:r>
        <w:t xml:space="preserve"> Utilizes Milvus-lite (local vector database) or ChromaDB as a semantic index. The repository DDLs, relationships, business rules, and few-shots are chunked and indexed to support real-time context injection [4].</w:t>
      </w:r>
    </w:p>
    <w:p>
      <w:pPr>
        <w:pStyle w:val="ListBullet"/>
        <w:spacing w:after="120" w:line="276" w:lineRule="auto"/>
      </w:pPr>
      <w:r>
        <w:rPr>
          <w:b/>
        </w:rPr>
        <w:t>SQL Generation Layer (LLM Node):</w:t>
      </w:r>
      <w:r>
        <w:t xml:space="preserve"> Powered by ChatOllama running the qwen3.5 model. It acts as the core decision-making brain of the agent, consuming retrieved schema metadata to synthesize valid SQL SELECT queries and format the final answer.</w:t>
      </w:r>
    </w:p>
    <w:p>
      <w:pPr>
        <w:pStyle w:val="ListBullet"/>
        <w:spacing w:after="120" w:line="276" w:lineRule="auto"/>
      </w:pPr>
      <w:r>
        <w:rPr>
          <w:b/>
        </w:rPr>
        <w:t>Application Gateway (FastAPI):</w:t>
      </w:r>
      <w:r>
        <w:t xml:space="preserve"> Employs FastAPI to expose a single POST /ask endpoint, which accepts human questions, orchestrates the LangGraph agent, and returns the generated SQL alongside execution rows.</w:t>
      </w:r>
    </w:p>
    <w:p>
      <w:pPr>
        <w:pStyle w:val="ListBullet"/>
        <w:spacing w:after="120" w:line="276" w:lineRule="auto"/>
      </w:pPr>
      <w:r>
        <w:rPr>
          <w:b/>
        </w:rPr>
        <w:t>Database Layer (Execution Engines):</w:t>
      </w:r>
      <w:r>
        <w:t xml:space="preserve"> Integrates with a Cloudera Data Platform (CDP) Impala VM running Apache Hive for execution workloads.</w:t>
      </w:r>
    </w:p>
    <w:p>
      <w:pPr>
        <w:pStyle w:val="Heading2"/>
        <w:spacing w:before="240" w:after="120"/>
      </w:pPr>
      <w:r>
        <w:t>2.2. Retrieval and Generation Boundaries</w:t>
      </w:r>
    </w:p>
    <w:p>
      <w:pPr>
        <w:spacing w:after="120" w:line="276" w:lineRule="auto"/>
      </w:pPr>
      <w:r>
        <w:t>The design enforces a strict separation boundary between retrieval and code generation. The semantic search index is used strictly to locate relevant schema definitions and few-shot query patterns, while the LLM synthesizes SQL solely within the boundary of the retrieved DDL context.</w:t>
      </w:r>
    </w:p>
    <w:p>
      <w:pPr>
        <w:pStyle w:val="Heading2"/>
        <w:spacing w:before="240" w:after="120"/>
      </w:pPr>
      <w:r>
        <w:t>2.3. Intent Classification and Department Scope (v1.4 Feature)</w:t>
      </w:r>
    </w:p>
    <w:p>
      <w:pPr>
        <w:spacing w:after="120" w:line="276" w:lineRule="auto"/>
      </w:pPr>
      <w:r>
        <w:t>Version 1.4 introduces an automated pre-classification step that runs at the entry point of the LangGraph agent. The intent node maps natural language queries against a structured taxonomy of 13 domain intents extracted from production few-shot cases.</w:t>
      </w:r>
    </w:p>
    <w:p>
      <w:pPr>
        <w:pStyle w:val="ListBullet"/>
        <w:spacing w:after="120" w:line="276" w:lineRule="auto"/>
      </w:pPr>
      <w:r>
        <w:rPr>
          <w:b/>
        </w:rPr>
        <w:t>Intent Taxonomies:</w:t>
      </w:r>
      <w:r>
        <w:t xml:space="preserve"> student_risk_list, school_hotspot, equity_risk_slice, scheme_delivery_gap, eligibility_blocker, gsws_case_load, nutrition_service_gap, facility_root_cause, household_poverty_risk, citizen_socioeconomic_profile, teacher_attendance, academic_performance, general_query.</w:t>
      </w:r>
    </w:p>
    <w:p>
      <w:pPr>
        <w:pStyle w:val="ListBullet"/>
        <w:spacing w:after="120" w:line="276" w:lineRule="auto"/>
      </w:pPr>
      <w:r>
        <w:rPr>
          <w:b/>
        </w:rPr>
        <w:t>Entity Extraction:</w:t>
      </w:r>
      <w:r>
        <w:t xml:space="preserve"> district_name (e.g., Anantapur, Guntur), academic_year (e.g., 2025, 2025-26), current_grade (e.g., 6, 8), social_category (e.g., SC, ST, OBC).</w:t>
      </w:r>
    </w:p>
    <w:p>
      <w:pPr>
        <w:pStyle w:val="ListBullet"/>
        <w:spacing w:after="120" w:line="276" w:lineRule="auto"/>
      </w:pPr>
      <w:r>
        <w:rPr>
          <w:b/>
        </w:rPr>
        <w:t>Department Scope Mapping:</w:t>
      </w:r>
      <w:r>
        <w:t xml:space="preserve"> Every table YAML defines a department field (school, canonicalmodel, misc). The intent node assigns a target department scope (e.g., ["school", "canonicalmodel"]) to ensure retrieval focuses strictly on relevant domains while permanently filtering out unrelated domains like misc (temple data).</w:t>
      </w:r>
    </w:p>
    <w:p>
      <w:pPr>
        <w:pStyle w:val="Heading3"/>
        <w:spacing w:before="240" w:after="120"/>
      </w:pPr>
      <w:r>
        <w:t>2.3.1. Enriched RAG Query Construction</w:t>
      </w:r>
    </w:p>
    <w:p>
      <w:pPr>
        <w:spacing w:after="120" w:line="276" w:lineRule="auto"/>
      </w:pPr>
      <w:r>
        <w:t>Following intent classification, the Initialize Node constructs an enriched query string supplied to retrive_schema_rag:</w:t>
        <w:br/>
        <w:br/>
        <w:t xml:space="preserve">    [intent: school_hotspot] Which schools in Guntur have low attendance in 2025? [district: Guntur, year: 2025] [departments: school, canonicalmodel]</w:t>
        <w:br/>
        <w:br/>
        <w:t>This enrichment anchors vector similarity search around the matching intent category and entity tokens, dramatically improving few-shot and schema retrieval accuracy.</w:t>
      </w:r>
    </w:p>
    <w:p>
      <w:pPr>
        <w:pStyle w:val="Heading3"/>
        <w:spacing w:before="240" w:after="120"/>
      </w:pPr>
      <w:r>
        <w:t>2.3.2. AgentState Extensions</w:t>
      </w:r>
    </w:p>
    <w:p>
      <w:pPr>
        <w:spacing w:after="120" w:line="276" w:lineRule="auto"/>
      </w:pPr>
      <w:r>
        <w:t>AgentState (my_agent/utils/state.py) is extended with three attributes:</w:t>
      </w:r>
    </w:p>
    <w:p>
      <w:pPr>
        <w:pStyle w:val="ListBullet"/>
        <w:spacing w:after="120" w:line="276" w:lineRule="auto"/>
      </w:pPr>
      <w:r>
        <w:rPr>
          <w:b/>
        </w:rPr>
        <w:t>intent (str | None):</w:t>
      </w:r>
      <w:r>
        <w:t xml:space="preserve"> Classified intent label written by intent_node.</w:t>
      </w:r>
    </w:p>
    <w:p>
      <w:pPr>
        <w:pStyle w:val="ListBullet"/>
        <w:spacing w:after="120" w:line="276" w:lineRule="auto"/>
      </w:pPr>
      <w:r>
        <w:rPr>
          <w:b/>
        </w:rPr>
        <w:t>department_scope (list[str] | None):</w:t>
      </w:r>
      <w:r>
        <w:t xml:space="preserve"> Relevant YAML department scope list.</w:t>
      </w:r>
    </w:p>
    <w:p>
      <w:pPr>
        <w:pStyle w:val="ListBullet"/>
        <w:spacing w:after="120" w:line="276" w:lineRule="auto"/>
      </w:pPr>
      <w:r>
        <w:rPr>
          <w:b/>
        </w:rPr>
        <w:t>entities (dict[str, str] | None):</w:t>
      </w:r>
      <w:r>
        <w:t xml:space="preserve"> Extracted entity dictionary from the user query.</w:t>
      </w:r>
    </w:p>
    <w:p>
      <w:pPr>
        <w:pStyle w:val="Heading1"/>
        <w:spacing w:before="240" w:after="120"/>
      </w:pPr>
      <w:r>
        <w:t>3. Detailed Algorithmic Flows</w:t>
      </w:r>
    </w:p>
    <w:p>
      <w:pPr>
        <w:spacing w:after="120" w:line="276" w:lineRule="auto"/>
      </w:pPr>
      <w:r>
        <w:t>The system logic is represented as a state machine managed via a LangGraph StateGraph, allowing iterative execution, tool-use calls, and multi-turn self-healing loops.</w:t>
      </w:r>
    </w:p>
    <w:p>
      <w:pPr>
        <w:pStyle w:val="Heading2"/>
        <w:spacing w:before="240" w:after="120"/>
      </w:pPr>
      <w:r>
        <w:t>3.1. Node Trajectory and State Transition Logic</w:t>
      </w:r>
    </w:p>
    <w:p>
      <w:pPr>
        <w:spacing w:after="120" w:line="276" w:lineRule="auto"/>
      </w:pPr>
      <w:r>
        <w:t>The graph progresses through six deterministic and conditional steps:</w:t>
      </w:r>
    </w:p>
    <w:p>
      <w:pPr>
        <w:pStyle w:val="ListBullet"/>
        <w:spacing w:after="120" w:line="276" w:lineRule="auto"/>
      </w:pPr>
      <w:r>
        <w:rPr>
          <w:b/>
        </w:rPr>
        <w:t>1. Entry Point:</w:t>
      </w:r>
      <w:r>
        <w:t xml:space="preserve"> Transition: START → Intent Node.</w:t>
      </w:r>
    </w:p>
    <w:p>
      <w:pPr>
        <w:pStyle w:val="ListBullet"/>
        <w:spacing w:after="120" w:line="276" w:lineRule="auto"/>
      </w:pPr>
      <w:r>
        <w:rPr>
          <w:b/>
        </w:rPr>
        <w:t>2. Intent Node (NEW):</w:t>
      </w:r>
      <w:r>
        <w:t xml:space="preserve"> Executes a zero-shot LLM call (no tools, reasoning off) to classify query intent, extract entities, and assign department scope. Writes results to AgentState. Transition: intent_node → initialize_node.</w:t>
      </w:r>
    </w:p>
    <w:p>
      <w:pPr>
        <w:pStyle w:val="ListBullet"/>
        <w:spacing w:after="120" w:line="276" w:lineRule="auto"/>
      </w:pPr>
      <w:r>
        <w:rPr>
          <w:b/>
        </w:rPr>
        <w:t>3. Initialize Node:</w:t>
      </w:r>
      <w:r>
        <w:t xml:space="preserve"> Receives classified intent and entities, builds an enriched RAG query string, and issues a forced tool call to retrive_schema_rag. Transition: initialize_node → tool_node.</w:t>
      </w:r>
    </w:p>
    <w:p>
      <w:pPr>
        <w:pStyle w:val="ListBullet"/>
        <w:spacing w:after="120" w:line="276" w:lineRule="auto"/>
      </w:pPr>
      <w:r>
        <w:rPr>
          <w:b/>
        </w:rPr>
        <w:t>4. Tool Node:</w:t>
      </w:r>
      <w:r>
        <w:t xml:space="preserve"> Executes scheduled tool calls. If execute_sql is invoked, state transitions to verify_node. If only retrive_schema_rag is called, control returns to llm_node. Transition: tool_node → verify_node OR llm_node.</w:t>
      </w:r>
    </w:p>
    <w:p>
      <w:pPr>
        <w:pStyle w:val="ListBullet"/>
        <w:spacing w:after="120" w:line="276" w:lineRule="auto"/>
      </w:pPr>
      <w:r>
        <w:rPr>
          <w:b/>
        </w:rPr>
        <w:t>5. LLM Node:</w:t>
      </w:r>
      <w:r>
        <w:t xml:space="preserve"> Invokes LLM using chat history and retrieved schema context to generate SQL SELECT queries. Transition: llm_node → tool_node OR END.</w:t>
      </w:r>
    </w:p>
    <w:p>
      <w:pPr>
        <w:pStyle w:val="ListBullet"/>
        <w:spacing w:after="120" w:line="276" w:lineRule="auto"/>
      </w:pPr>
      <w:r>
        <w:rPr>
          <w:b/>
        </w:rPr>
        <w:t>6. Verify Node:</w:t>
      </w:r>
      <w:r>
        <w:t xml:space="preserve"> Evaluates executed SQL results. If verified as CORRECT, the loop terminates. If graded as RETRY, verifier injects error feedback and loops back to llm_node. Transition: verify_node → llm_node OR tool_node OR END.</w:t>
      </w:r>
    </w:p>
    <w:p>
      <w:pPr>
        <w:pStyle w:val="Heading2"/>
        <w:spacing w:before="240" w:after="120"/>
      </w:pPr>
      <w:r>
        <w:t>3.2. Transition from Schema Linking to SQL Synthesis</w:t>
      </w:r>
    </w:p>
    <w:p>
      <w:pPr>
        <w:spacing w:after="120" w:line="276" w:lineRule="auto"/>
      </w:pPr>
      <w:r>
        <w:t>Following the schema linking and retrieval phase, the orchestrator routes control to the SQL Generation Layer (LLM Node). The system prompts are dynamically populated with the retrieved DDLs, key constraints, and relevant few-shot SQL query examples returned by the Schema RAG. The LLM (qwen3.5) performs logical reasoning to bind the user's intent to the database physical schema, resolving join paths and formatting functions.</w:t>
      </w:r>
    </w:p>
    <w:p>
      <w:pPr>
        <w:pStyle w:val="Heading2"/>
        <w:spacing w:before="240" w:after="120"/>
      </w:pPr>
      <w:r>
        <w:t>3.3. Verification and Self-Healing Algorithmic Protocol</w:t>
      </w:r>
    </w:p>
    <w:p>
      <w:pPr>
        <w:spacing w:after="120" w:line="276" w:lineRule="auto"/>
      </w:pPr>
      <w:r>
        <w:t>The self-healing cycle is one of the core mechanisms ensuring database stability. When a SQL execution fails due to a database exception, the verify_node catches the exception and constructs a human-readable corrective prompt. This feedback loop runs up to a maximum limit (default: 3 to 10 verify loops) to prevent run-away token execution.</w:t>
      </w:r>
    </w:p>
    <w:p>
      <w:pPr>
        <w:pStyle w:val="Heading1"/>
        <w:spacing w:before="240" w:after="120"/>
      </w:pPr>
      <w:r>
        <w:t>4. Physical Schema Mapping and JOIN Constraints</w:t>
      </w:r>
    </w:p>
    <w:p>
      <w:pPr>
        <w:spacing w:after="120" w:line="276" w:lineRule="auto"/>
      </w:pPr>
      <w:r>
        <w:t>To prevent the LLM from making incorrect join decisions, the system prompt anchors table definitions and join pathways:</w:t>
      </w:r>
    </w:p>
    <w:p>
      <w:pPr>
        <w:pStyle w:val="ListBullet"/>
        <w:spacing w:after="120" w:line="276" w:lineRule="auto"/>
      </w:pPr>
      <w:r>
        <w:rPr>
          <w:b/>
        </w:rPr>
        <w:t>Student Master Table (citizen_student):</w:t>
      </w:r>
      <w:r>
        <w:t xml:space="preserve"> citizen_student_id_pk, student_name, gender, date_of_birth, social_category, current_grade, address, email_id, primary_mobile_no, citizen_school_id_fk, is_current, student_citizen_master_id_fk.</w:t>
      </w:r>
    </w:p>
    <w:p>
      <w:pPr>
        <w:pStyle w:val="ListBullet"/>
        <w:spacing w:after="120" w:line="276" w:lineRule="auto"/>
      </w:pPr>
      <w:r>
        <w:rPr>
          <w:b/>
        </w:rPr>
        <w:t>School Master Table (citizen_school):</w:t>
      </w:r>
      <w:r>
        <w:t xml:space="preserve"> citizen_school_id_pk, school_name, district_name, mandal_name, village_name, urban_rural_flag, functional_status, min_class, max_class, head_master_name.</w:t>
      </w:r>
    </w:p>
    <w:p>
      <w:pPr>
        <w:pStyle w:val="ListBullet"/>
        <w:spacing w:after="120" w:line="276" w:lineRule="auto"/>
      </w:pPr>
      <w:r>
        <w:rPr>
          <w:b/>
        </w:rPr>
        <w:t>Attendance Fact (school_student_attendance_fact):</w:t>
      </w:r>
      <w:r>
        <w:t xml:space="preserve"> citizen_student_id_fk, student_school_id_fk, academic_year, present_flag, absent_flag, attendance_status_code.</w:t>
      </w:r>
    </w:p>
    <w:p>
      <w:pPr>
        <w:pStyle w:val="ListBullet"/>
        <w:spacing w:after="120" w:line="276" w:lineRule="auto"/>
      </w:pPr>
      <w:r>
        <w:rPr>
          <w:b/>
        </w:rPr>
        <w:t>Welfare Schemes (citizen_welfare_schemes):</w:t>
      </w:r>
      <w:r>
        <w:t xml:space="preserve"> citizen_welfare_schemes_pk, citizen_welfare_schemes_master_fk, citizen_master_fk, house_hold_id, ration_card_no, scheme_approved_date, scheme_amount.</w:t>
      </w:r>
    </w:p>
    <w:p>
      <w:pPr>
        <w:pStyle w:val="ListBullet"/>
        <w:spacing w:after="120" w:line="276" w:lineRule="auto"/>
      </w:pPr>
      <w:r>
        <w:rPr>
          <w:b/>
        </w:rPr>
        <w:t>Health Schemes (citizen_health_schemes):</w:t>
      </w:r>
      <w:r>
        <w:t xml:space="preserve"> citizen_health_schemes_pk, citizen_health_schemes_master_fk, citizen_master_fk, house_hold_id, ration_card_no, scheme_approved_date, scheme_amount.</w:t>
      </w:r>
    </w:p>
    <w:p>
      <w:pPr>
        <w:pStyle w:val="Heading2"/>
        <w:spacing w:before="240" w:after="120"/>
      </w:pPr>
      <w:r>
        <w:t>4.1. Formal Join Rules</w:t>
      </w:r>
    </w:p>
    <w:p>
      <w:pPr>
        <w:spacing w:after="120" w:line="276" w:lineRule="auto"/>
      </w:pPr>
      <w:r>
        <w:t>The model must follow strict join pathways:</w:t>
      </w:r>
    </w:p>
    <w:p>
      <w:pPr>
        <w:pStyle w:val="ListBullet"/>
        <w:spacing w:after="120" w:line="276" w:lineRule="auto"/>
      </w:pPr>
      <w:r>
        <w:rPr>
          <w:b/>
        </w:rPr>
        <w:t>Student to School:</w:t>
      </w:r>
      <w:r>
        <w:t xml:space="preserve"> citizen_student.citizen_school_id_fk = citizen_school.citizen_school_id_pk</w:t>
      </w:r>
    </w:p>
    <w:p>
      <w:pPr>
        <w:pStyle w:val="ListBullet"/>
        <w:spacing w:after="120" w:line="276" w:lineRule="auto"/>
      </w:pPr>
      <w:r>
        <w:rPr>
          <w:b/>
        </w:rPr>
        <w:t>Attendance to Student:</w:t>
      </w:r>
      <w:r>
        <w:t xml:space="preserve"> school_student_attendance_fact.citizen_student_id_fk = citizen_student.citizen_student_id_pk</w:t>
      </w:r>
    </w:p>
    <w:p>
      <w:pPr>
        <w:pStyle w:val="ListBullet"/>
        <w:spacing w:after="120" w:line="276" w:lineRule="auto"/>
      </w:pPr>
      <w:r>
        <w:rPr>
          <w:b/>
        </w:rPr>
        <w:t>Welfare to Student:</w:t>
      </w:r>
      <w:r>
        <w:t xml:space="preserve"> citizen_welfare_schemes.citizen_master_fk = citizen_student.student_citizen_master_id_fk</w:t>
      </w:r>
    </w:p>
    <w:p>
      <w:pPr>
        <w:pStyle w:val="ListBullet"/>
        <w:spacing w:after="120" w:line="276" w:lineRule="auto"/>
      </w:pPr>
      <w:r>
        <w:rPr>
          <w:b/>
        </w:rPr>
        <w:t>Health to Student:</w:t>
      </w:r>
      <w:r>
        <w:t xml:space="preserve"> citizen_health_schemes.citizen_master_fk = citizen_student.student_citizen_master_id_fk</w:t>
      </w:r>
    </w:p>
    <w:p>
      <w:pPr>
        <w:pStyle w:val="Heading1"/>
        <w:spacing w:before="240" w:after="120"/>
      </w:pPr>
      <w:r>
        <w:t>5. Verification &amp; Benchmark Protocol</w:t>
      </w:r>
    </w:p>
    <w:p>
      <w:pPr>
        <w:spacing w:after="120" w:line="276" w:lineRule="auto"/>
      </w:pPr>
      <w:r>
        <w:t>To guarantee translation accuracy, a regression benchmark script is deployed in the workspace: benchmark_ask.py. This script reads a benchmark test set containing 200 gold-standard natural language queries across multiple complexity levels. It sends requests sequentially to the application gateway and tracks execution times and response statuses.</w:t>
      </w:r>
    </w:p>
    <w:p>
      <w:pPr>
        <w:pStyle w:val="Heading1"/>
        <w:spacing w:before="240" w:after="120"/>
      </w:pPr>
      <w:r>
        <w:t>6. Performance Benchmark Analysis</w:t>
      </w:r>
    </w:p>
    <w:p>
      <w:pPr>
        <w:spacing w:after="120" w:line="276" w:lineRule="auto"/>
      </w:pPr>
      <w:r>
        <w:t>Empirical benchmarks were executed against the FastAPI application gateway running on the remote server (rtgs-cl-ai-srv3, port 8001). Below is the latency and throughput profile across test suites.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Complexity Level</w:t>
            </w:r>
          </w:p>
        </w:tc>
        <w:tc>
          <w:tcPr>
            <w:tcW w:type="dxa" w:w="1872"/>
          </w:tcPr>
          <w:p>
            <w:r>
              <w:rPr>
                <w:b/>
              </w:rPr>
              <w:t>Query Count</w:t>
            </w:r>
          </w:p>
        </w:tc>
        <w:tc>
          <w:tcPr>
            <w:tcW w:type="dxa" w:w="1872"/>
          </w:tcPr>
          <w:p>
            <w:r>
              <w:rPr>
                <w:b/>
              </w:rPr>
              <w:t>Minimum Latency</w:t>
            </w:r>
          </w:p>
        </w:tc>
        <w:tc>
          <w:tcPr>
            <w:tcW w:type="dxa" w:w="1872"/>
          </w:tcPr>
          <w:p>
            <w:r>
              <w:rPr>
                <w:b/>
              </w:rPr>
              <w:t>Maximum Latency</w:t>
            </w:r>
          </w:p>
        </w:tc>
        <w:tc>
          <w:tcPr>
            <w:tcW w:type="dxa" w:w="1872"/>
          </w:tcPr>
          <w:p>
            <w:r>
              <w:rPr>
                <w:b/>
              </w:rPr>
              <w:t>Average Latency</w:t>
            </w:r>
          </w:p>
        </w:tc>
      </w:tr>
      <w:tr>
        <w:tc>
          <w:tcPr>
            <w:tcW w:type="dxa" w:w="1872"/>
          </w:tcPr>
          <w:p>
            <w:r>
              <w:t>Medium</w:t>
            </w:r>
          </w:p>
        </w:tc>
        <w:tc>
          <w:tcPr>
            <w:tcW w:type="dxa" w:w="1872"/>
          </w:tcPr>
          <w:p>
            <w:r>
              <w:t>39</w:t>
            </w:r>
          </w:p>
        </w:tc>
        <w:tc>
          <w:tcPr>
            <w:tcW w:type="dxa" w:w="1872"/>
          </w:tcPr>
          <w:p>
            <w:r>
              <w:t>19.31s</w:t>
            </w:r>
          </w:p>
        </w:tc>
        <w:tc>
          <w:tcPr>
            <w:tcW w:type="dxa" w:w="1872"/>
          </w:tcPr>
          <w:p>
            <w:r>
              <w:t>102.45s</w:t>
            </w:r>
          </w:p>
        </w:tc>
        <w:tc>
          <w:tcPr>
            <w:tcW w:type="dxa" w:w="1872"/>
          </w:tcPr>
          <w:p>
            <w:r>
              <w:t>35.06s</w:t>
            </w:r>
          </w:p>
        </w:tc>
      </w:tr>
      <w:tr>
        <w:tc>
          <w:tcPr>
            <w:tcW w:type="dxa" w:w="1872"/>
          </w:tcPr>
          <w:p>
            <w:r>
              <w:t>Hard</w:t>
            </w:r>
          </w:p>
        </w:tc>
        <w:tc>
          <w:tcPr>
            <w:tcW w:type="dxa" w:w="1872"/>
          </w:tcPr>
          <w:p>
            <w:r>
              <w:t>13</w:t>
            </w:r>
          </w:p>
        </w:tc>
        <w:tc>
          <w:tcPr>
            <w:tcW w:type="dxa" w:w="1872"/>
          </w:tcPr>
          <w:p>
            <w:r>
              <w:t>62.37s</w:t>
            </w:r>
          </w:p>
        </w:tc>
        <w:tc>
          <w:tcPr>
            <w:tcW w:type="dxa" w:w="1872"/>
          </w:tcPr>
          <w:p>
            <w:r>
              <w:t>141.82s</w:t>
            </w:r>
          </w:p>
        </w:tc>
        <w:tc>
          <w:tcPr>
            <w:tcW w:type="dxa" w:w="1872"/>
          </w:tcPr>
          <w:p>
            <w:r>
              <w:t>90.68s</w:t>
            </w:r>
          </w:p>
        </w:tc>
      </w:tr>
    </w:tbl>
    <w:p>
      <w:pPr>
        <w:spacing w:after="240" w:line="276" w:lineRule="auto"/>
      </w:pPr>
    </w:p>
    <w:p>
      <w:pPr>
        <w:pStyle w:val="Heading2"/>
        <w:spacing w:before="240" w:after="120"/>
      </w:pPr>
      <w:r>
        <w:t>6.1. Latency Distribution Analysis</w:t>
      </w:r>
    </w:p>
    <w:p>
      <w:pPr>
        <w:spacing w:after="120" w:line="276" w:lineRule="auto"/>
      </w:pPr>
      <w:r>
        <w:t>Medium-complexity queries recorded an average execution duration of 35.06 seconds. Hard-complexity queries recorded an average execution duration of 90.68 seconds, driven by multi-table join CTEs and verification loops.</w:t>
      </w:r>
    </w:p>
    <w:p>
      <w:pPr>
        <w:pStyle w:val="Heading2"/>
        <w:spacing w:before="240" w:after="120"/>
      </w:pPr>
      <w:r>
        <w:t>6.2. Exceptional Latencies and Failure Modes</w:t>
      </w:r>
    </w:p>
    <w:p>
      <w:pPr>
        <w:spacing w:after="120" w:line="276" w:lineRule="auto"/>
      </w:pPr>
      <w:r>
        <w:t>During benchmark execution, query school_dropout_014 encountered a Connection Read Timeout error after 180.00 seconds, resolved in v1.4 by intent-based schema filtering and proper HTTP connection pooling.</w:t>
      </w:r>
    </w:p>
    <w:p>
      <w:pPr>
        <w:pStyle w:val="Heading1"/>
        <w:spacing w:before="240" w:after="120"/>
      </w:pPr>
      <w:r>
        <w:t>7. References</w:t>
      </w:r>
    </w:p>
    <w:p>
      <w:pPr>
        <w:spacing w:after="120" w:line="276" w:lineRule="auto"/>
      </w:pPr>
      <w:r>
        <w:t>[1] N. Pourreza and D. Rafiei, "DIN-SQL: Decomposed In-Context Learning of Text-to-SQL with Self-Correction," in Proceedings of NeurIPS, 2023.</w:t>
      </w:r>
    </w:p>
    <w:p>
      <w:pPr>
        <w:spacing w:after="120" w:line="276" w:lineRule="auto"/>
      </w:pPr>
      <w:r>
        <w:t>[2] L. Dou, X. Gao, and J.-R. Wen, "DAIL-SQL: Towards Efficient and Effective Text-to-SQL with In-Context Learning," in VLDB, 2023.</w:t>
      </w:r>
    </w:p>
    <w:p>
      <w:pPr>
        <w:spacing w:after="120" w:line="276" w:lineRule="auto"/>
      </w:pPr>
      <w:r>
        <w:t>[3] T. Yu et al., "Spider: A Large-Scale Human-Labeled Dataset for Complex Text-to-SQL," in EMNLP, 2018.</w:t>
      </w:r>
    </w:p>
    <w:p>
      <w:pPr>
        <w:spacing w:after="120" w:line="276" w:lineRule="auto"/>
      </w:pPr>
      <w:r>
        <w:t>[4] P. Lewis et al., "Retrieval-Augmented Generation for Knowledge-Intensive NLP Tasks," in NeurIPS, 2020.</w:t>
      </w:r>
    </w:p>
    <w:p>
      <w:pPr>
        <w:spacing w:after="120" w:line="276" w:lineRule="auto"/>
      </w:pPr>
      <w:r>
        <w:t>[5] S. Yao et al., "ReAct: Synergizing Reasoning and Acting in Language Models," in ICLR, 2023.</w:t>
      </w:r>
    </w:p>
    <w:p>
      <w:pPr>
        <w:spacing w:after="120" w:line="276" w:lineRule="auto"/>
      </w:pPr>
      <w:r>
        <w:t>[6] C. Lei et al., "NL2SQL in Practice: Building and Deploying Semantic Parsing Systems for Enterprise Databases," IEEE TKDE,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