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color w:val="000000"/>
          <w:sz w:val="40"/>
        </w:rPr>
        <w:t>TECHNICAL ARCHITECTURE &amp; ALGORITHMIC SPECIFICATION</w:t>
      </w:r>
    </w:p>
    <w:p>
      <w:pPr>
        <w:spacing w:before="0" w:after="480"/>
        <w:jc w:val="center"/>
      </w:pPr>
      <w:r>
        <w:rPr>
          <w:rFonts w:ascii="Times New Roman" w:hAnsi="Times New Roman"/>
          <w:b w:val="0"/>
          <w:i/>
          <w:color w:val="000000"/>
          <w:sz w:val="24"/>
        </w:rPr>
        <w:t>An Agentic, Reasoning-First Natural Language to SQL Translation Engine</w:t>
      </w:r>
    </w:p>
    <w:p>
      <w:pPr>
        <w:spacing w:line="276" w:lineRule="auto" w:before="0" w:after="120"/>
      </w:pPr>
      <w:r>
        <w:rPr>
          <w:rFonts w:ascii="Times New Roman" w:hAnsi="Times New Roman"/>
          <w:b w:val="0"/>
          <w:i w:val="0"/>
          <w:color w:val="000000"/>
          <w:sz w:val="22"/>
        </w:rPr>
        <w:t>Author: Core AI Engineering Team</w:t>
      </w:r>
    </w:p>
    <w:p>
      <w:pPr>
        <w:spacing w:line="276" w:lineRule="auto" w:before="0" w:after="120"/>
      </w:pPr>
      <w:r>
        <w:rPr>
          <w:rFonts w:ascii="Times New Roman" w:hAnsi="Times New Roman"/>
          <w:b w:val="0"/>
          <w:i w:val="0"/>
          <w:color w:val="000000"/>
          <w:sz w:val="22"/>
        </w:rPr>
        <w:t>Date: June 2026</w:t>
      </w:r>
    </w:p>
    <w:p>
      <w:pPr>
        <w:spacing w:line="276" w:lineRule="auto" w:before="0" w:after="120"/>
      </w:pPr>
      <w:r>
        <w:rPr>
          <w:rFonts w:ascii="Times New Roman" w:hAnsi="Times New Roman"/>
          <w:b w:val="0"/>
          <w:i w:val="0"/>
          <w:color w:val="000000"/>
          <w:sz w:val="22"/>
        </w:rPr>
        <w:t>Status: Verified &amp; Operational</w:t>
      </w:r>
    </w:p>
    <w:p>
      <w:pPr>
        <w:spacing w:line="276" w:lineRule="auto" w:before="0" w:after="120"/>
      </w:pPr>
      <w:r>
        <w:rPr>
          <w:rFonts w:ascii="Times New Roman" w:hAnsi="Times New Roman"/>
          <w:b w:val="0"/>
          <w:i w:val="0"/>
          <w:color w:val="000000"/>
          <w:sz w:val="22"/>
        </w:rPr>
        <w:t>Classification: Technical Document</w:t>
      </w:r>
    </w:p>
    <w:p>
      <w:pPr>
        <w:spacing w:after="480"/>
      </w:pPr>
      <w:r>
        <w:rPr>
          <w:rFonts w:ascii="Times New Roman" w:hAnsi="Times New Roman"/>
          <w:b/>
          <w:i w:val="0"/>
          <w:color w:val="000000"/>
          <w:sz w:val="24"/>
        </w:rPr>
        <w:t>―――――――――――――――――――――――――――――――――――――――――――――</w:t>
      </w:r>
    </w:p>
    <w:p>
      <w:pPr>
        <w:keepNext/>
        <w:spacing w:before="360" w:after="120"/>
      </w:pPr>
      <w:r>
        <w:rPr>
          <w:rFonts w:ascii="Times New Roman" w:hAnsi="Times New Roman"/>
          <w:b/>
          <w:i w:val="0"/>
          <w:color w:val="000000"/>
          <w:sz w:val="28"/>
        </w:rPr>
        <w:t>1. Executive Summary</w:t>
      </w:r>
    </w:p>
    <w:p>
      <w:pPr>
        <w:spacing w:line="276" w:lineRule="auto" w:before="0" w:after="120"/>
      </w:pPr>
      <w:r>
        <w:rPr>
          <w:rFonts w:ascii="Times New Roman" w:hAnsi="Times New Roman"/>
          <w:b w:val="0"/>
          <w:sz w:val="22"/>
        </w:rPr>
        <w:t>This specification details the design, implementation, and verification protocols of the Natural Language to SQL (NL2SQL) translation engine developed for student dropout risk analysis. The system provides interfaces to convert user queries regarding student demographics, school characteristics, academic performance, attendance, and welfare benefit disbursements into optimized, syntactically valid SQL queries. The primary design objective is to enable natural language interaction with structured database systems while mitigating common LLM failure modes such as schema hallucination, invalid column joins, and structural errors [1], [6].</w:t>
      </w:r>
    </w:p>
    <w:p>
      <w:pPr>
        <w:keepNext/>
        <w:spacing w:before="360" w:after="120"/>
      </w:pPr>
      <w:r>
        <w:rPr>
          <w:rFonts w:ascii="Times New Roman" w:hAnsi="Times New Roman"/>
          <w:b/>
          <w:i w:val="0"/>
          <w:color w:val="000000"/>
          <w:sz w:val="28"/>
        </w:rPr>
        <w:t>2. Reference Architecture</w:t>
      </w:r>
    </w:p>
    <w:p>
      <w:pPr>
        <w:spacing w:line="276" w:lineRule="auto" w:before="0" w:after="120"/>
      </w:pPr>
      <w:r>
        <w:rPr>
          <w:rFonts w:ascii="Times New Roman" w:hAnsi="Times New Roman"/>
          <w:b w:val="0"/>
          <w:i w:val="0"/>
          <w:color w:val="000000"/>
          <w:sz w:val="22"/>
        </w:rPr>
        <w:t>The system follows a modular, reasoning-first paradigm where retrieval, orchestration, and execution are strictly separated. This design ensures that the Large Language Model (LLM) is not forced to rely on unstructured parametric memory for physical table layouts, and is instead heavily anchored via retrieved context.</w:t>
      </w:r>
    </w:p>
    <w:p>
      <w:pPr>
        <w:spacing w:line="240" w:lineRule="auto" w:before="0" w:after="0"/>
      </w:pPr>
      <w:r>
        <w:rPr>
          <w:rFonts w:ascii="Consolas" w:hAnsi="Consolas"/>
          <w:b w:val="0"/>
          <w:sz w:val="19"/>
        </w:rPr>
      </w:r>
    </w:p>
    <w:p>
      <w:pPr>
        <w:spacing w:line="240" w:lineRule="auto" w:before="0" w:after="0"/>
      </w:pPr>
      <w:r>
        <w:rPr>
          <w:rFonts w:ascii="Consolas" w:hAnsi="Consolas"/>
          <w:b w:val="0"/>
          <w:sz w:val="19"/>
        </w:rPr>
        <w:t xml:space="preserve">                 User Query</w:t>
      </w:r>
    </w:p>
    <w:p>
      <w:pPr>
        <w:spacing w:line="240" w:lineRule="auto" w:before="0" w:after="0"/>
      </w:pPr>
      <w:r>
        <w:rPr>
          <w:rFonts w:ascii="Consolas" w:hAnsi="Consolas"/>
          <w:b w:val="0"/>
          <w:sz w:val="19"/>
        </w:rPr>
        <w:t xml:space="preserve">                     │</w:t>
      </w:r>
    </w:p>
    <w:p>
      <w:pPr>
        <w:spacing w:line="240" w:lineRule="auto" w:before="0" w:after="0"/>
      </w:pPr>
      <w:r>
        <w:rPr>
          <w:rFonts w:ascii="Consolas" w:hAnsi="Consolas"/>
          <w:b w:val="0"/>
          <w:sz w:val="19"/>
        </w:rPr>
        <w:t xml:space="preserve">                     ▼</w:t>
      </w:r>
    </w:p>
    <w:p>
      <w:pPr>
        <w:spacing w:line="240" w:lineRule="auto" w:before="0" w:after="0"/>
      </w:pPr>
      <w:r>
        <w:rPr>
          <w:rFonts w:ascii="Consolas" w:hAnsi="Consolas"/>
          <w:b w:val="0"/>
          <w:sz w:val="19"/>
        </w:rPr>
        <w:t xml:space="preserve">           ┌───────────────────┐</w:t>
      </w:r>
    </w:p>
    <w:p>
      <w:pPr>
        <w:spacing w:line="240" w:lineRule="auto" w:before="0" w:after="0"/>
      </w:pPr>
      <w:r>
        <w:rPr>
          <w:rFonts w:ascii="Consolas" w:hAnsi="Consolas"/>
          <w:b w:val="0"/>
          <w:sz w:val="19"/>
        </w:rPr>
        <w:t xml:space="preserve">           │  FastAPI Gateway  │</w:t>
      </w:r>
    </w:p>
    <w:p>
      <w:pPr>
        <w:spacing w:line="240" w:lineRule="auto" w:before="0" w:after="0"/>
      </w:pPr>
      <w:r>
        <w:rPr>
          <w:rFonts w:ascii="Consolas" w:hAnsi="Consolas"/>
          <w:b w:val="0"/>
          <w:sz w:val="19"/>
        </w:rPr>
        <w:t xml:space="preserve">           └─────────┬─────────┘</w:t>
      </w:r>
    </w:p>
    <w:p>
      <w:pPr>
        <w:spacing w:line="240" w:lineRule="auto" w:before="0" w:after="0"/>
      </w:pPr>
      <w:r>
        <w:rPr>
          <w:rFonts w:ascii="Consolas" w:hAnsi="Consolas"/>
          <w:b w:val="0"/>
          <w:sz w:val="19"/>
        </w:rPr>
        <w:t xml:space="preserve">                     │</w:t>
      </w:r>
    </w:p>
    <w:p>
      <w:pPr>
        <w:spacing w:line="240" w:lineRule="auto" w:before="0" w:after="0"/>
      </w:pPr>
      <w:r>
        <w:rPr>
          <w:rFonts w:ascii="Consolas" w:hAnsi="Consolas"/>
          <w:b w:val="0"/>
          <w:sz w:val="19"/>
        </w:rPr>
        <w:t xml:space="preserve">                     ▼</w:t>
      </w:r>
    </w:p>
    <w:p>
      <w:pPr>
        <w:spacing w:line="240" w:lineRule="auto" w:before="0" w:after="0"/>
      </w:pPr>
      <w:r>
        <w:rPr>
          <w:rFonts w:ascii="Consolas" w:hAnsi="Consolas"/>
          <w:b w:val="0"/>
          <w:sz w:val="19"/>
        </w:rPr>
        <w:t>┌────────────────────┼──────────────────────────────────┐</w:t>
      </w:r>
    </w:p>
    <w:p>
      <w:pPr>
        <w:spacing w:line="240" w:lineRule="auto" w:before="0" w:after="0"/>
      </w:pPr>
      <w:r>
        <w:rPr>
          <w:rFonts w:ascii="Consolas" w:hAnsi="Consolas"/>
          <w:b w:val="0"/>
          <w:sz w:val="19"/>
        </w:rPr>
        <w:t>│ LangGraph Agent    │                                  │</w:t>
      </w:r>
    </w:p>
    <w:p>
      <w:pPr>
        <w:spacing w:line="240" w:lineRule="auto" w:before="0" w:after="0"/>
      </w:pPr>
      <w:r>
        <w:rPr>
          <w:rFonts w:ascii="Consolas" w:hAnsi="Consolas"/>
          <w:b w:val="0"/>
          <w:sz w:val="19"/>
        </w:rPr>
        <w:t>│                    ▼                                  │</w:t>
      </w:r>
    </w:p>
    <w:p>
      <w:pPr>
        <w:spacing w:line="240" w:lineRule="auto" w:before="0" w:after="0"/>
      </w:pPr>
      <w:r>
        <w:rPr>
          <w:rFonts w:ascii="Consolas" w:hAnsi="Consolas"/>
          <w:b w:val="0"/>
          <w:sz w:val="19"/>
        </w:rPr>
        <w:t>│            [Initialize Node]                          │</w:t>
      </w:r>
    </w:p>
    <w:p>
      <w:pPr>
        <w:spacing w:line="240" w:lineRule="auto" w:before="0" w:after="0"/>
      </w:pPr>
      <w:r>
        <w:rPr>
          <w:rFonts w:ascii="Consolas" w:hAnsi="Consolas"/>
          <w:b w:val="0"/>
          <w:sz w:val="19"/>
        </w:rPr>
        <w:t>│                    │                                  │</w:t>
      </w:r>
    </w:p>
    <w:p>
      <w:pPr>
        <w:spacing w:line="240" w:lineRule="auto" w:before="0" w:after="0"/>
      </w:pPr>
      <w:r>
        <w:rPr>
          <w:rFonts w:ascii="Consolas" w:hAnsi="Consolas"/>
          <w:b w:val="0"/>
          <w:sz w:val="19"/>
        </w:rPr>
        <w:t>│                    ▼ (calls retrieve_schema_rag)      │</w:t>
      </w:r>
    </w:p>
    <w:p>
      <w:pPr>
        <w:spacing w:line="240" w:lineRule="auto" w:before="0" w:after="0"/>
      </w:pPr>
      <w:r>
        <w:rPr>
          <w:rFonts w:ascii="Consolas" w:hAnsi="Consolas"/>
          <w:b w:val="0"/>
          <w:sz w:val="19"/>
        </w:rPr>
        <w:t>│            ┌───────────────┐                          │</w:t>
      </w:r>
    </w:p>
    <w:p>
      <w:pPr>
        <w:spacing w:line="240" w:lineRule="auto" w:before="0" w:after="0"/>
      </w:pPr>
      <w:r>
        <w:rPr>
          <w:rFonts w:ascii="Consolas" w:hAnsi="Consolas"/>
          <w:b w:val="0"/>
          <w:sz w:val="19"/>
        </w:rPr>
        <w:t>│            │  Schema RAG   │ ──► Milvus Vector DB     │</w:t>
      </w:r>
    </w:p>
    <w:p>
      <w:pPr>
        <w:spacing w:line="240" w:lineRule="auto" w:before="0" w:after="0"/>
      </w:pPr>
      <w:r>
        <w:rPr>
          <w:rFonts w:ascii="Consolas" w:hAnsi="Consolas"/>
          <w:b w:val="0"/>
          <w:sz w:val="19"/>
        </w:rPr>
        <w:t>│            └───────┬───────┘                          │</w:t>
      </w:r>
    </w:p>
    <w:p>
      <w:pPr>
        <w:spacing w:line="240" w:lineRule="auto" w:before="0" w:after="0"/>
      </w:pPr>
      <w:r>
        <w:rPr>
          <w:rFonts w:ascii="Consolas" w:hAnsi="Consolas"/>
          <w:b w:val="0"/>
          <w:sz w:val="19"/>
        </w:rPr>
        <w:t>│                    │                                  │</w:t>
      </w:r>
    </w:p>
    <w:p>
      <w:pPr>
        <w:spacing w:line="240" w:lineRule="auto" w:before="0" w:after="0"/>
      </w:pPr>
      <w:r>
        <w:rPr>
          <w:rFonts w:ascii="Consolas" w:hAnsi="Consolas"/>
          <w:b w:val="0"/>
          <w:sz w:val="19"/>
        </w:rPr>
        <w:t>│                    ▼ (retrieved schema contexts)      │</w:t>
      </w:r>
    </w:p>
    <w:p>
      <w:pPr>
        <w:spacing w:line="240" w:lineRule="auto" w:before="0" w:after="0"/>
      </w:pPr>
      <w:r>
        <w:rPr>
          <w:rFonts w:ascii="Consolas" w:hAnsi="Consolas"/>
          <w:b w:val="0"/>
          <w:sz w:val="19"/>
        </w:rPr>
        <w:t>│             [LLM Node] ◄─────────────────┐            │</w:t>
      </w:r>
    </w:p>
    <w:p>
      <w:pPr>
        <w:spacing w:line="240" w:lineRule="auto" w:before="0" w:after="0"/>
      </w:pPr>
      <w:r>
        <w:rPr>
          <w:rFonts w:ascii="Consolas" w:hAnsi="Consolas"/>
          <w:b w:val="0"/>
          <w:sz w:val="19"/>
        </w:rPr>
        <w:t>│                    │                     │            │</w:t>
      </w:r>
    </w:p>
    <w:p>
      <w:pPr>
        <w:spacing w:line="240" w:lineRule="auto" w:before="0" w:after="0"/>
      </w:pPr>
      <w:r>
        <w:rPr>
          <w:rFonts w:ascii="Consolas" w:hAnsi="Consolas"/>
          <w:b w:val="0"/>
          <w:sz w:val="19"/>
        </w:rPr>
        <w:t>│                    ▼ (calls execute_sql) │            │</w:t>
      </w:r>
    </w:p>
    <w:p>
      <w:pPr>
        <w:spacing w:line="240" w:lineRule="auto" w:before="0" w:after="0"/>
      </w:pPr>
      <w:r>
        <w:rPr>
          <w:rFonts w:ascii="Consolas" w:hAnsi="Consolas"/>
          <w:b w:val="0"/>
          <w:sz w:val="19"/>
        </w:rPr>
        <w:t>│             [Tool Node]                  │ (Retry)    │</w:t>
      </w:r>
    </w:p>
    <w:p>
      <w:pPr>
        <w:spacing w:line="240" w:lineRule="auto" w:before="0" w:after="0"/>
      </w:pPr>
      <w:r>
        <w:rPr>
          <w:rFonts w:ascii="Consolas" w:hAnsi="Consolas"/>
          <w:b w:val="0"/>
          <w:sz w:val="19"/>
        </w:rPr>
        <w:t>│                    │                     │            │</w:t>
      </w:r>
    </w:p>
    <w:p>
      <w:pPr>
        <w:spacing w:line="240" w:lineRule="auto" w:before="0" w:after="0"/>
      </w:pPr>
      <w:r>
        <w:rPr>
          <w:rFonts w:ascii="Consolas" w:hAnsi="Consolas"/>
          <w:b w:val="0"/>
          <w:sz w:val="19"/>
        </w:rPr>
        <w:t>│                    ▼ (runs on DB)        │            │</w:t>
      </w:r>
    </w:p>
    <w:p>
      <w:pPr>
        <w:spacing w:line="240" w:lineRule="auto" w:before="0" w:after="0"/>
      </w:pPr>
      <w:r>
        <w:rPr>
          <w:rFonts w:ascii="Consolas" w:hAnsi="Consolas"/>
          <w:b w:val="0"/>
          <w:sz w:val="19"/>
        </w:rPr>
        <w:t>│            ┌───────────────┐             │            │</w:t>
      </w:r>
    </w:p>
    <w:p>
      <w:pPr>
        <w:spacing w:line="240" w:lineRule="auto" w:before="0" w:after="0"/>
      </w:pPr>
      <w:r>
        <w:rPr>
          <w:rFonts w:ascii="Consolas" w:hAnsi="Consolas"/>
          <w:b w:val="0"/>
          <w:sz w:val="19"/>
        </w:rPr>
        <w:t>│            │ Hive / Impala │             │            │</w:t>
      </w:r>
    </w:p>
    <w:p>
      <w:pPr>
        <w:spacing w:line="240" w:lineRule="auto" w:before="0" w:after="0"/>
      </w:pPr>
      <w:r>
        <w:rPr>
          <w:rFonts w:ascii="Consolas" w:hAnsi="Consolas"/>
          <w:b w:val="0"/>
          <w:sz w:val="19"/>
        </w:rPr>
        <w:t>│            └───────┬───────┘             │            │</w:t>
      </w:r>
    </w:p>
    <w:p>
      <w:pPr>
        <w:spacing w:line="240" w:lineRule="auto" w:before="0" w:after="0"/>
      </w:pPr>
      <w:r>
        <w:rPr>
          <w:rFonts w:ascii="Consolas" w:hAnsi="Consolas"/>
          <w:b w:val="0"/>
          <w:sz w:val="19"/>
        </w:rPr>
        <w:t>│                    │                     │            │</w:t>
      </w:r>
    </w:p>
    <w:p>
      <w:pPr>
        <w:spacing w:line="240" w:lineRule="auto" w:before="0" w:after="0"/>
      </w:pPr>
      <w:r>
        <w:rPr>
          <w:rFonts w:ascii="Consolas" w:hAnsi="Consolas"/>
          <w:b w:val="0"/>
          <w:sz w:val="19"/>
        </w:rPr>
        <w:t>│                    ▼                     │            │</w:t>
      </w:r>
    </w:p>
    <w:p>
      <w:pPr>
        <w:spacing w:line="240" w:lineRule="auto" w:before="0" w:after="0"/>
      </w:pPr>
      <w:r>
        <w:rPr>
          <w:rFonts w:ascii="Consolas" w:hAnsi="Consolas"/>
          <w:b w:val="0"/>
          <w:sz w:val="19"/>
        </w:rPr>
        <w:t>│             [Verify Node] ───────────────┘            │</w:t>
      </w:r>
    </w:p>
    <w:p>
      <w:pPr>
        <w:spacing w:line="240" w:lineRule="auto" w:before="0" w:after="0"/>
      </w:pPr>
      <w:r>
        <w:rPr>
          <w:rFonts w:ascii="Consolas" w:hAnsi="Consolas"/>
          <w:b w:val="0"/>
          <w:sz w:val="19"/>
        </w:rPr>
        <w:t>│                    │ (Graded Correct)                 │</w:t>
      </w:r>
    </w:p>
    <w:p>
      <w:pPr>
        <w:spacing w:line="240" w:lineRule="auto" w:before="0" w:after="0"/>
      </w:pPr>
      <w:r>
        <w:rPr>
          <w:rFonts w:ascii="Consolas" w:hAnsi="Consolas"/>
          <w:b w:val="0"/>
          <w:sz w:val="19"/>
        </w:rPr>
        <w:t>│                    ▼                                  │</w:t>
      </w:r>
    </w:p>
    <w:p>
      <w:pPr>
        <w:spacing w:line="240" w:lineRule="auto" w:before="0" w:after="0"/>
      </w:pPr>
      <w:r>
        <w:rPr>
          <w:rFonts w:ascii="Consolas" w:hAnsi="Consolas"/>
          <w:b w:val="0"/>
          <w:sz w:val="19"/>
        </w:rPr>
        <w:t>│                   END ──► Final Response to User      │</w:t>
      </w:r>
    </w:p>
    <w:p>
      <w:pPr>
        <w:spacing w:line="240" w:lineRule="auto" w:before="0" w:after="0"/>
      </w:pPr>
      <w:r>
        <w:rPr>
          <w:rFonts w:ascii="Consolas" w:hAnsi="Consolas"/>
          <w:b w:val="0"/>
          <w:sz w:val="19"/>
        </w:rPr>
        <w:t>└───────────────────────────────────────────────────────┘</w:t>
      </w:r>
    </w:p>
    <w:p>
      <w:pPr>
        <w:spacing w:line="240" w:lineRule="auto" w:before="0" w:after="0"/>
      </w:pPr>
      <w:r>
        <w:rPr>
          <w:rFonts w:ascii="Consolas" w:hAnsi="Consolas"/>
          <w:b w:val="0"/>
          <w:sz w:val="19"/>
        </w:rPr>
      </w:r>
    </w:p>
    <w:p>
      <w:pPr>
        <w:keepNext/>
        <w:spacing w:before="240" w:after="80"/>
      </w:pPr>
      <w:r>
        <w:rPr>
          <w:rFonts w:ascii="Times New Roman" w:hAnsi="Times New Roman"/>
          <w:b/>
          <w:i w:val="0"/>
          <w:color w:val="000000"/>
          <w:sz w:val="24"/>
        </w:rPr>
        <w:t>2.1. Structural Component Breakdown</w:t>
      </w:r>
    </w:p>
    <w:p>
      <w:pPr>
        <w:pStyle w:val="ListBullet"/>
        <w:spacing w:line="276" w:lineRule="auto" w:before="0" w:after="60"/>
      </w:pPr>
      <w:r>
        <w:rPr>
          <w:rFonts w:ascii="Times New Roman" w:hAnsi="Times New Roman"/>
          <w:b/>
          <w:i w:val="0"/>
          <w:color w:val="000000"/>
          <w:sz w:val="22"/>
        </w:rPr>
        <w:t xml:space="preserve">LangGraph Orchestrator: </w:t>
      </w:r>
      <w:r>
        <w:rPr>
          <w:rFonts w:ascii="Times New Roman" w:hAnsi="Times New Roman"/>
          <w:b w:val="0"/>
          <w:i w:val="0"/>
          <w:color w:val="000000"/>
          <w:sz w:val="22"/>
        </w:rPr>
        <w:t>Orchestration Framework: Managed using LangGraph (StateGraph) to structure the execution pipeline as a series of state-dependent nodes, enabling robust routing and self-correction loops.</w:t>
      </w:r>
    </w:p>
    <w:p>
      <w:pPr>
        <w:pStyle w:val="ListBullet"/>
        <w:spacing w:line="276" w:lineRule="auto" w:before="0" w:after="60"/>
      </w:pPr>
      <w:r>
        <w:rPr>
          <w:rFonts w:ascii="Times New Roman" w:hAnsi="Times New Roman"/>
          <w:b/>
          <w:sz w:val="22"/>
        </w:rPr>
        <w:t xml:space="preserve">Semantic Retrieval Layer: </w:t>
      </w:r>
      <w:r>
        <w:rPr>
          <w:rFonts w:ascii="Times New Roman" w:hAnsi="Times New Roman"/>
          <w:b w:val="0"/>
          <w:sz w:val="22"/>
        </w:rPr>
        <w:t>Context Retrieval (Schema RAG): Utilizes Milvus-lite (local vector database) or ChromaDB as a semantic index. The repository DDLs, relationships, and business rules are chunked and indexed to support real-time context injection [4].</w:t>
      </w:r>
    </w:p>
    <w:p>
      <w:pPr>
        <w:pStyle w:val="ListBullet"/>
      </w:pPr>
      <w:r>
        <w:rPr>
          <w:rFonts w:ascii="Times New Roman" w:hAnsi="Times New Roman"/>
          <w:b/>
          <w:sz w:val="22"/>
        </w:rPr>
        <w:t xml:space="preserve">SQL Generation Layer: </w:t>
      </w:r>
      <w:r>
        <w:rPr>
          <w:rFonts w:ascii="Times New Roman" w:hAnsi="Times New Roman"/>
          <w:b w:val="0"/>
          <w:sz w:val="22"/>
        </w:rPr>
        <w:t>LLM Reasoning &amp; SQL Synthesis: Powered by ChatOllama running the qwen3.5 model. It acts as the core decision-making brain of the agent, consuming retrieved schema metadata to synthesize valid SQL SELECT queries and format the final answer. It communicates with the database layer using execution tools in a closed-loop trajectory.</w:t>
      </w:r>
    </w:p>
    <w:p>
      <w:pPr>
        <w:pStyle w:val="ListBullet"/>
        <w:spacing w:line="276" w:lineRule="auto" w:before="0" w:after="60"/>
      </w:pPr>
      <w:r>
        <w:rPr>
          <w:rFonts w:ascii="Times New Roman" w:hAnsi="Times New Roman"/>
          <w:b/>
          <w:i w:val="0"/>
          <w:color w:val="000000"/>
          <w:sz w:val="22"/>
        </w:rPr>
        <w:t xml:space="preserve">Application Gateway (FastAPI): </w:t>
      </w:r>
      <w:r>
        <w:rPr>
          <w:rFonts w:ascii="Times New Roman" w:hAnsi="Times New Roman"/>
          <w:b w:val="0"/>
          <w:i w:val="0"/>
          <w:color w:val="000000"/>
          <w:sz w:val="22"/>
        </w:rPr>
        <w:t>Execution Interface: Employs FastAPI to expose a single POST /ask endpoint, which accepts human questions, orchestrates the LangGraph agent, and returns the generated SQL alongside execution rows.</w:t>
      </w:r>
    </w:p>
    <w:p>
      <w:pPr>
        <w:pStyle w:val="ListBullet"/>
        <w:spacing w:line="276" w:lineRule="auto" w:before="0" w:after="60"/>
      </w:pPr>
      <w:r>
        <w:rPr>
          <w:rFonts w:ascii="Times New Roman" w:hAnsi="Times New Roman"/>
          <w:b/>
          <w:sz w:val="22"/>
        </w:rPr>
        <w:t xml:space="preserve">Database Layer: </w:t>
      </w:r>
      <w:r>
        <w:rPr>
          <w:rFonts w:ascii="Times New Roman" w:hAnsi="Times New Roman"/>
          <w:b w:val="0"/>
          <w:sz w:val="22"/>
        </w:rPr>
        <w:t>Execution Engines: Integrates with a Cloudera Data Platform (CDP) Impala VM running Apache Hive for execution workloads.</w:t>
      </w:r>
    </w:p>
    <w:p>
      <w:pPr>
        <w:keepNext/>
        <w:spacing w:before="240" w:after="80"/>
      </w:pPr>
      <w:r>
        <w:rPr>
          <w:rFonts w:ascii="Times New Roman" w:hAnsi="Times New Roman"/>
          <w:b/>
          <w:i w:val="0"/>
          <w:color w:val="000000"/>
          <w:sz w:val="24"/>
        </w:rPr>
        <w:t>2.2. Retrieval and Generation Boundaries</w:t>
      </w:r>
    </w:p>
    <w:p>
      <w:pPr>
        <w:spacing w:line="276" w:lineRule="auto" w:before="0" w:after="120"/>
      </w:pPr>
      <w:r>
        <w:rPr>
          <w:rFonts w:ascii="Times New Roman" w:hAnsi="Times New Roman"/>
          <w:b w:val="0"/>
          <w:i w:val="0"/>
          <w:color w:val="000000"/>
          <w:sz w:val="22"/>
        </w:rPr>
        <w:t>The design enforces a strict separation boundary between retrieval and code generation. The semantic search index is used strictly to retrieve relevant DDL statements, join relations, and business logic. It does not perform SQL generation directly. This division ensures that the LLM performs reasoning over a controlled, minimal subset of table DDLs rather than attempting to parse the full database schema, reducing the context window size and minimizing token expenditure.</w:t>
      </w:r>
    </w:p>
    <w:p>
      <w:pPr>
        <w:keepNext/>
        <w:spacing w:before="360" w:after="120"/>
      </w:pPr>
      <w:r>
        <w:rPr>
          <w:rFonts w:ascii="Times New Roman" w:hAnsi="Times New Roman"/>
          <w:b/>
          <w:i w:val="0"/>
          <w:color w:val="000000"/>
          <w:sz w:val="28"/>
        </w:rPr>
        <w:t>3. Detailed Algorithmic Flows</w:t>
      </w:r>
    </w:p>
    <w:p>
      <w:pPr>
        <w:spacing w:line="276" w:lineRule="auto" w:before="0" w:after="120"/>
      </w:pPr>
      <w:r>
        <w:rPr>
          <w:rFonts w:ascii="Times New Roman" w:hAnsi="Times New Roman"/>
          <w:b w:val="0"/>
          <w:i w:val="0"/>
          <w:color w:val="000000"/>
          <w:sz w:val="22"/>
        </w:rPr>
        <w:t>The system logic is represented as a state machine managed via a LangGraph StateGraph, allowing iterative execution, tool-use calls, and strict verification.</w:t>
      </w:r>
    </w:p>
    <w:p>
      <w:pPr>
        <w:keepNext/>
        <w:spacing w:before="240" w:after="80"/>
      </w:pPr>
      <w:r>
        <w:rPr>
          <w:rFonts w:ascii="Times New Roman" w:hAnsi="Times New Roman"/>
          <w:b/>
          <w:i w:val="0"/>
          <w:color w:val="000000"/>
          <w:sz w:val="24"/>
        </w:rPr>
        <w:t>3.1. Node Trajectory and State Transition Logic</w:t>
      </w:r>
    </w:p>
    <w:p>
      <w:pPr>
        <w:spacing w:line="276" w:lineRule="auto" w:before="0" w:after="120"/>
      </w:pPr>
      <w:r>
        <w:rPr>
          <w:rFonts w:ascii="Times New Roman" w:hAnsi="Times New Roman"/>
          <w:b w:val="0"/>
          <w:i w:val="0"/>
          <w:color w:val="000000"/>
          <w:sz w:val="22"/>
        </w:rPr>
        <w:t>The graph progresses through the following deterministic and conditional nodes:</w:t>
      </w:r>
    </w:p>
    <w:p>
      <w:pPr>
        <w:pStyle w:val="ListBullet"/>
        <w:spacing w:line="276" w:lineRule="auto" w:before="0" w:after="60"/>
      </w:pPr>
      <w:r>
        <w:rPr>
          <w:rFonts w:ascii="Times New Roman" w:hAnsi="Times New Roman"/>
          <w:b/>
          <w:i w:val="0"/>
          <w:color w:val="000000"/>
          <w:sz w:val="22"/>
        </w:rPr>
        <w:t xml:space="preserve">1. Entry Point: </w:t>
      </w:r>
      <w:r>
        <w:rPr>
          <w:rFonts w:ascii="Times New Roman" w:hAnsi="Times New Roman"/>
          <w:b w:val="0"/>
          <w:i w:val="0"/>
          <w:color w:val="000000"/>
          <w:sz w:val="22"/>
        </w:rPr>
        <w:t>Transition: START -&gt; Initialize Node.</w:t>
      </w:r>
    </w:p>
    <w:p>
      <w:pPr>
        <w:pStyle w:val="ListBullet"/>
        <w:spacing w:line="276" w:lineRule="auto" w:before="0" w:after="60"/>
      </w:pPr>
      <w:r>
        <w:rPr>
          <w:rFonts w:ascii="Times New Roman" w:hAnsi="Times New Roman"/>
          <w:b/>
          <w:i w:val="0"/>
          <w:color w:val="000000"/>
          <w:sz w:val="22"/>
        </w:rPr>
        <w:t xml:space="preserve">2. Initialize Node: </w:t>
      </w:r>
      <w:r>
        <w:rPr>
          <w:rFonts w:ascii="Times New Roman" w:hAnsi="Times New Roman"/>
          <w:b w:val="0"/>
          <w:i w:val="0"/>
          <w:color w:val="000000"/>
          <w:sz w:val="22"/>
        </w:rPr>
        <w:t>Forces a retrieval call using the tool `retrive_schema_rag` on the raw user query. This returns a structured context containing table metadata, column definitions, and primary keys. Transition: Initialize Node -&gt; Tool Node.</w:t>
      </w:r>
    </w:p>
    <w:p>
      <w:pPr>
        <w:pStyle w:val="ListBullet"/>
        <w:spacing w:line="276" w:lineRule="auto" w:before="0" w:after="60"/>
      </w:pPr>
      <w:r>
        <w:rPr>
          <w:rFonts w:ascii="Times New Roman" w:hAnsi="Times New Roman"/>
          <w:b/>
          <w:i w:val="0"/>
          <w:color w:val="000000"/>
          <w:sz w:val="22"/>
        </w:rPr>
        <w:t xml:space="preserve">3. Tool Node: </w:t>
      </w:r>
      <w:r>
        <w:rPr>
          <w:rFonts w:ascii="Times New Roman" w:hAnsi="Times New Roman"/>
          <w:b w:val="0"/>
          <w:i w:val="0"/>
          <w:color w:val="000000"/>
          <w:sz w:val="22"/>
        </w:rPr>
        <w:t>Executes the scheduled tool calls. If `execute_sql` is invoked, the state transitions to `verify_node`. If only `retrive_schema_rag` is called, it returns back to the `llm_node` to synthesize the SQL using the retrieved context. Transition: Tool Node -&gt; Verify Node OR LLM Node.</w:t>
      </w:r>
    </w:p>
    <w:p>
      <w:pPr>
        <w:pStyle w:val="ListBullet"/>
        <w:spacing w:line="276" w:lineRule="auto" w:before="0" w:after="60"/>
      </w:pPr>
      <w:r>
        <w:rPr>
          <w:rFonts w:ascii="Times New Roman" w:hAnsi="Times New Roman"/>
          <w:b/>
          <w:sz w:val="22"/>
        </w:rPr>
        <w:t xml:space="preserve">4. LLM Node: </w:t>
      </w:r>
      <w:r>
        <w:rPr>
          <w:rFonts w:ascii="Times New Roman" w:hAnsi="Times New Roman"/>
          <w:b w:val="0"/>
          <w:sz w:val="22"/>
        </w:rPr>
        <w:t>Invokes the LLM using the current chat history, retrieved schema contexts, and system prompts. The LLM performs decomposed reasoning and in-context learning to synthesize SQL queries [1], [2]. If the LLM generates a tool call, the state transitions back to tool_node. Otherwise, the graph ends.</w:t>
      </w:r>
    </w:p>
    <w:p>
      <w:pPr>
        <w:pStyle w:val="ListBullet"/>
        <w:spacing w:line="276" w:lineRule="auto" w:before="0" w:after="60"/>
      </w:pPr>
      <w:r>
        <w:rPr>
          <w:rFonts w:ascii="Times New Roman" w:hAnsi="Times New Roman"/>
          <w:b/>
          <w:i w:val="0"/>
          <w:color w:val="000000"/>
          <w:sz w:val="22"/>
        </w:rPr>
        <w:t xml:space="preserve">5. Verify Node: </w:t>
      </w:r>
      <w:r>
        <w:rPr>
          <w:rFonts w:ascii="Times New Roman" w:hAnsi="Times New Roman"/>
          <w:b w:val="0"/>
          <w:i w:val="0"/>
          <w:color w:val="000000"/>
          <w:sz w:val="22"/>
        </w:rPr>
        <w:t>Performs strict post-execution verification. It uses a secondary LLM instance to evaluate the SQL structure and the returned result. If verified as CORRECT, the loop terminates. If graded as RETRY, the verifier injects a detailed correction message into the chat history and loops back to the LLM node. Transition: Verify Node -&gt; LLM Node OR END.</w:t>
      </w:r>
    </w:p>
    <w:p>
      <w:pPr/>
      <w:r>
        <w:rPr>
          <w:rFonts w:ascii="Times New Roman" w:hAnsi="Times New Roman"/>
          <w:b/>
          <w:sz w:val="24"/>
        </w:rPr>
        <w:t>3.2. Transition from Schema Linking to SQL Synthesis</w:t>
      </w:r>
    </w:p>
    <w:p>
      <w:pPr/>
      <w:r>
        <w:rPr>
          <w:rFonts w:ascii="Times New Roman" w:hAnsi="Times New Roman"/>
          <w:b w:val="0"/>
          <w:sz w:val="22"/>
        </w:rPr>
        <w:t>Following the schema linking and retrieval phase, the orchestrator routes control to the SQL Generation Layer (LLM Node). The system prompts are dynamically populated with the retrieved DDLs, key constraints, and relevant few-shot SQL query examples returned by the Schema RAG. The LLM (qwen3.5) performs logical reasoning to bind the user's intent to the database physical schema, resolving join paths and formatting functions. To guarantee robust execution, the model binds directly to tool definitions, generating structured tool calls (e.g., execute_sql) rather than unstructured text [5]. If the model attempts to bypass database execution or generates invalid joins, prompt constraints nudge the model back to correct tool calls before a final answer can be synthesized.</w:t>
      </w:r>
    </w:p>
    <w:p>
      <w:pPr>
        <w:keepNext/>
        <w:spacing w:before="240" w:after="80"/>
      </w:pPr>
      <w:r>
        <w:rPr>
          <w:rFonts w:ascii="Times New Roman" w:hAnsi="Times New Roman"/>
          <w:b/>
          <w:i w:val="0"/>
          <w:color w:val="000000"/>
          <w:sz w:val="24"/>
        </w:rPr>
        <w:t>3.3. Verification and Self-Healing Algorithmic Protocol</w:t>
      </w:r>
    </w:p>
    <w:p>
      <w:pPr>
        <w:spacing w:line="276" w:lineRule="auto" w:before="0" w:after="120"/>
      </w:pPr>
      <w:r>
        <w:rPr>
          <w:rFonts w:ascii="Times New Roman" w:hAnsi="Times New Roman"/>
          <w:b w:val="0"/>
          <w:sz w:val="22"/>
        </w:rPr>
        <w:t>The self-healing cycle is one of the core mechanisms ensuring database stability on the production server. When a SQL execution fails due to a database exception (such as a misspelled column name or syntax error), the verify_node catches the exception and intercepts the flow. Instead of returning an error to the user, the node constructs a human-readable corrective prompt [1]. This prompt includes the original query, the exact database error message, and a directive to correct the query based on the retrieved schema. This feedback loop runs up to a maximum limit (default: 10 verify loops) to prevent run-away token execution.</w:t>
      </w:r>
    </w:p>
    <w:p>
      <w:pPr>
        <w:keepNext/>
        <w:spacing w:before="360" w:after="120"/>
      </w:pPr>
      <w:r>
        <w:rPr>
          <w:rFonts w:ascii="Times New Roman" w:hAnsi="Times New Roman"/>
          <w:b/>
          <w:i w:val="0"/>
          <w:color w:val="000000"/>
          <w:sz w:val="28"/>
        </w:rPr>
        <w:t>4. Physical Schema Mapping and JOIN Constraints</w:t>
      </w:r>
    </w:p>
    <w:p>
      <w:pPr>
        <w:spacing w:line="276" w:lineRule="auto" w:before="0" w:after="120"/>
      </w:pPr>
      <w:r>
        <w:rPr>
          <w:rFonts w:ascii="Times New Roman" w:hAnsi="Times New Roman"/>
          <w:b w:val="0"/>
          <w:i w:val="0"/>
          <w:color w:val="000000"/>
          <w:sz w:val="22"/>
        </w:rPr>
        <w:t>To prevent the LLM from making incorrect join decisions (especially for complex tables), the system prompt in `my_agent/utils/nodes.py` anchors the column names and join paths. The core schema mappings are defined as follows:</w:t>
      </w:r>
    </w:p>
    <w:p>
      <w:pPr>
        <w:pStyle w:val="ListBullet"/>
        <w:spacing w:line="276" w:lineRule="auto" w:before="0" w:after="60"/>
      </w:pPr>
      <w:r>
        <w:rPr>
          <w:rFonts w:ascii="Times New Roman" w:hAnsi="Times New Roman"/>
          <w:b/>
          <w:i w:val="0"/>
          <w:color w:val="000000"/>
          <w:sz w:val="22"/>
        </w:rPr>
        <w:t xml:space="preserve">Student Master Table (citizen_student): </w:t>
      </w:r>
      <w:r>
        <w:rPr>
          <w:rFonts w:ascii="Times New Roman" w:hAnsi="Times New Roman"/>
          <w:b w:val="0"/>
          <w:i w:val="0"/>
          <w:color w:val="000000"/>
          <w:sz w:val="22"/>
        </w:rPr>
        <w:t>citizen_student_id_pk, student_name, gender, date_of_birth, social_category, current_grade, address, email_id, primary_mobile_no, citizen_school_id_fk, is_current, student_citizen_master_id_fk.</w:t>
      </w:r>
    </w:p>
    <w:p>
      <w:pPr>
        <w:pStyle w:val="ListBullet"/>
        <w:spacing w:line="276" w:lineRule="auto" w:before="0" w:after="60"/>
      </w:pPr>
      <w:r>
        <w:rPr>
          <w:rFonts w:ascii="Times New Roman" w:hAnsi="Times New Roman"/>
          <w:b/>
          <w:i w:val="0"/>
          <w:color w:val="000000"/>
          <w:sz w:val="22"/>
        </w:rPr>
        <w:t xml:space="preserve">School Master Table (citizen_school): </w:t>
      </w:r>
      <w:r>
        <w:rPr>
          <w:rFonts w:ascii="Times New Roman" w:hAnsi="Times New Roman"/>
          <w:b w:val="0"/>
          <w:i w:val="0"/>
          <w:color w:val="000000"/>
          <w:sz w:val="22"/>
        </w:rPr>
        <w:t>citizen_school_id_pk, school_name, district_name, mandal_name, village_name, urban_rural_flag, functional_status, min_class, max_class, head_master_name.</w:t>
      </w:r>
    </w:p>
    <w:p>
      <w:pPr>
        <w:pStyle w:val="ListBullet"/>
        <w:spacing w:line="276" w:lineRule="auto" w:before="0" w:after="60"/>
      </w:pPr>
      <w:r>
        <w:rPr>
          <w:rFonts w:ascii="Times New Roman" w:hAnsi="Times New Roman"/>
          <w:b/>
          <w:i w:val="0"/>
          <w:color w:val="000000"/>
          <w:sz w:val="22"/>
        </w:rPr>
        <w:t xml:space="preserve">Attendance Fact (school_student_attendance_fact): </w:t>
      </w:r>
      <w:r>
        <w:rPr>
          <w:rFonts w:ascii="Times New Roman" w:hAnsi="Times New Roman"/>
          <w:b w:val="0"/>
          <w:i w:val="0"/>
          <w:color w:val="000000"/>
          <w:sz w:val="22"/>
        </w:rPr>
        <w:t>citizen_student_id_fk, student_school_id_fk, academic_year, present_flag, absent_flag, attendance_status_code.</w:t>
      </w:r>
    </w:p>
    <w:p>
      <w:pPr>
        <w:pStyle w:val="ListBullet"/>
        <w:spacing w:line="276" w:lineRule="auto" w:before="0" w:after="60"/>
      </w:pPr>
      <w:r>
        <w:rPr>
          <w:rFonts w:ascii="Times New Roman" w:hAnsi="Times New Roman"/>
          <w:b/>
          <w:i w:val="0"/>
          <w:color w:val="000000"/>
          <w:sz w:val="22"/>
        </w:rPr>
        <w:t xml:space="preserve">Welfare Schemes (citizen_welfare_schemes): </w:t>
      </w:r>
      <w:r>
        <w:rPr>
          <w:rFonts w:ascii="Times New Roman" w:hAnsi="Times New Roman"/>
          <w:b w:val="0"/>
          <w:i w:val="0"/>
          <w:color w:val="000000"/>
          <w:sz w:val="22"/>
        </w:rPr>
        <w:t>citizen_welfare_schemes_pk, citizen_welfare_schemes_master_fk, citizen_master_fk, house_hold_id, ration_card_no, scheme_approved_date, scheme_amount.</w:t>
      </w:r>
    </w:p>
    <w:p>
      <w:pPr>
        <w:pStyle w:val="ListBullet"/>
        <w:spacing w:line="276" w:lineRule="auto" w:before="0" w:after="60"/>
      </w:pPr>
      <w:r>
        <w:rPr>
          <w:rFonts w:ascii="Times New Roman" w:hAnsi="Times New Roman"/>
          <w:b/>
          <w:i w:val="0"/>
          <w:color w:val="000000"/>
          <w:sz w:val="22"/>
        </w:rPr>
        <w:t xml:space="preserve">Health Schemes (citizen_health_schemes): </w:t>
      </w:r>
      <w:r>
        <w:rPr>
          <w:rFonts w:ascii="Times New Roman" w:hAnsi="Times New Roman"/>
          <w:b w:val="0"/>
          <w:i w:val="0"/>
          <w:color w:val="000000"/>
          <w:sz w:val="22"/>
        </w:rPr>
        <w:t>citizen_health_schemes_pk, citizen_health_schemes_master_fk, citizen_master_fk, house_hold_id, ration_card_no, scheme_approved_date, scheme_amount.</w:t>
      </w:r>
    </w:p>
    <w:p>
      <w:pPr>
        <w:keepNext/>
        <w:spacing w:before="240" w:after="80"/>
      </w:pPr>
      <w:r>
        <w:rPr>
          <w:rFonts w:ascii="Times New Roman" w:hAnsi="Times New Roman"/>
          <w:b/>
          <w:i w:val="0"/>
          <w:color w:val="000000"/>
          <w:sz w:val="24"/>
        </w:rPr>
        <w:t>4.1. Formal Join Rules</w:t>
      </w:r>
    </w:p>
    <w:p>
      <w:pPr>
        <w:spacing w:line="276" w:lineRule="auto" w:before="0" w:after="120"/>
      </w:pPr>
      <w:r>
        <w:rPr>
          <w:rFonts w:ascii="Times New Roman" w:hAnsi="Times New Roman"/>
          <w:b w:val="0"/>
          <w:i w:val="0"/>
          <w:color w:val="000000"/>
          <w:sz w:val="22"/>
        </w:rPr>
        <w:t>The model must follow strict join pathways. Joins on welfare and health schemes must resolve to the citizen master registry, which is mapped in the student table via `student_citizen_master_id_fk`. The join paths are:</w:t>
      </w:r>
    </w:p>
    <w:p>
      <w:pPr>
        <w:pStyle w:val="ListBullet"/>
        <w:spacing w:line="276" w:lineRule="auto" w:before="0" w:after="60"/>
      </w:pPr>
      <w:r>
        <w:rPr>
          <w:rFonts w:ascii="Times New Roman" w:hAnsi="Times New Roman"/>
          <w:b/>
          <w:i w:val="0"/>
          <w:color w:val="000000"/>
          <w:sz w:val="22"/>
        </w:rPr>
        <w:t xml:space="preserve">Student to School: </w:t>
      </w:r>
      <w:r>
        <w:rPr>
          <w:rFonts w:ascii="Times New Roman" w:hAnsi="Times New Roman"/>
          <w:b w:val="0"/>
          <w:i w:val="0"/>
          <w:color w:val="000000"/>
          <w:sz w:val="22"/>
        </w:rPr>
        <w:t>citizen_student.citizen_school_id_fk = citizen_school.citizen_school_id_pk</w:t>
      </w:r>
    </w:p>
    <w:p>
      <w:pPr>
        <w:pStyle w:val="ListBullet"/>
        <w:spacing w:line="276" w:lineRule="auto" w:before="0" w:after="60"/>
      </w:pPr>
      <w:r>
        <w:rPr>
          <w:rFonts w:ascii="Times New Roman" w:hAnsi="Times New Roman"/>
          <w:b/>
          <w:i w:val="0"/>
          <w:color w:val="000000"/>
          <w:sz w:val="22"/>
        </w:rPr>
        <w:t xml:space="preserve">Attendance to Student: </w:t>
      </w:r>
      <w:r>
        <w:rPr>
          <w:rFonts w:ascii="Times New Roman" w:hAnsi="Times New Roman"/>
          <w:b w:val="0"/>
          <w:i w:val="0"/>
          <w:color w:val="000000"/>
          <w:sz w:val="22"/>
        </w:rPr>
        <w:t>school_student_attendance_fact.citizen_student_id_fk = citizen_student.citizen_student_id_pk</w:t>
      </w:r>
    </w:p>
    <w:p>
      <w:pPr>
        <w:pStyle w:val="ListBullet"/>
        <w:spacing w:line="276" w:lineRule="auto" w:before="0" w:after="60"/>
      </w:pPr>
      <w:r>
        <w:rPr>
          <w:rFonts w:ascii="Times New Roman" w:hAnsi="Times New Roman"/>
          <w:b/>
          <w:i w:val="0"/>
          <w:color w:val="000000"/>
          <w:sz w:val="22"/>
        </w:rPr>
        <w:t xml:space="preserve">Welfare to Student: </w:t>
      </w:r>
      <w:r>
        <w:rPr>
          <w:rFonts w:ascii="Times New Roman" w:hAnsi="Times New Roman"/>
          <w:b w:val="0"/>
          <w:i w:val="0"/>
          <w:color w:val="000000"/>
          <w:sz w:val="22"/>
        </w:rPr>
        <w:t>citizen_welfare_schemes.citizen_master_fk = citizen_student.student_citizen_master_id_fk</w:t>
      </w:r>
    </w:p>
    <w:p>
      <w:pPr>
        <w:pStyle w:val="ListBullet"/>
        <w:spacing w:line="276" w:lineRule="auto" w:before="0" w:after="60"/>
      </w:pPr>
      <w:r>
        <w:rPr>
          <w:rFonts w:ascii="Times New Roman" w:hAnsi="Times New Roman"/>
          <w:b/>
          <w:i w:val="0"/>
          <w:color w:val="000000"/>
          <w:sz w:val="22"/>
        </w:rPr>
        <w:t xml:space="preserve">Health to Student: </w:t>
      </w:r>
      <w:r>
        <w:rPr>
          <w:rFonts w:ascii="Times New Roman" w:hAnsi="Times New Roman"/>
          <w:b w:val="0"/>
          <w:i w:val="0"/>
          <w:color w:val="000000"/>
          <w:sz w:val="22"/>
        </w:rPr>
        <w:t>citizen_health_schemes.citizen_master_fk = citizen_student.student_citizen_master_id_fk</w:t>
      </w:r>
    </w:p>
    <w:p>
      <w:pPr>
        <w:keepNext/>
        <w:spacing w:before="360" w:after="120"/>
      </w:pPr>
      <w:r>
        <w:rPr>
          <w:rFonts w:ascii="Times New Roman" w:hAnsi="Times New Roman"/>
          <w:b/>
          <w:i w:val="0"/>
          <w:color w:val="000000"/>
          <w:sz w:val="28"/>
        </w:rPr>
        <w:t>5. Verification &amp; Benchmark Protocol</w:t>
      </w:r>
    </w:p>
    <w:p>
      <w:pPr>
        <w:spacing w:line="276" w:lineRule="auto" w:before="0" w:after="120"/>
      </w:pPr>
      <w:r>
        <w:rPr>
          <w:rFonts w:ascii="Times New Roman" w:hAnsi="Times New Roman"/>
          <w:b w:val="0"/>
          <w:i w:val="0"/>
          <w:color w:val="000000"/>
          <w:sz w:val="22"/>
        </w:rPr>
        <w:t>To guarantee translation accuracy, a regression benchmark script is deployed in the workspace: `benchmark_ask.py`. This script reads a benchmark test set containing 200 gold-standard natural language queries across multiple complexity levels. It sends requests sequentially to the application gateway and tracks execution times and response statuses.</w:t>
      </w:r>
    </w:p>
    <w:p>
      <w:pPr>
        <w:spacing w:line="276" w:lineRule="auto" w:before="0" w:after="120"/>
      </w:pPr>
      <w:r>
        <w:rPr>
          <w:rFonts w:ascii="Times New Roman" w:hAnsi="Times New Roman"/>
          <w:b w:val="0"/>
          <w:i w:val="0"/>
          <w:color w:val="000000"/>
          <w:sz w:val="22"/>
        </w:rPr>
        <w:t>This testing strategy ensures that any modification to the underlying prompts, graph transition rules, or vector database records is automatically verified against a diverse regression suite. The output reports averages, success counts, and highlights specific query failures to isolate structural regression immediately.</w:t>
      </w:r>
    </w:p>
    <w:p>
      <w:pPr>
        <w:keepNext/>
        <w:spacing w:before="360" w:after="120"/>
      </w:pPr>
      <w:r>
        <w:rPr>
          <w:rFonts w:ascii="Times New Roman" w:hAnsi="Times New Roman"/>
          <w:b/>
          <w:i w:val="0"/>
          <w:color w:val="000000"/>
          <w:sz w:val="28"/>
        </w:rPr>
        <w:t>6. Performance Benchmark Analysis</w:t>
      </w:r>
    </w:p>
    <w:p>
      <w:pPr>
        <w:spacing w:line="276" w:lineRule="auto" w:before="0" w:after="120"/>
      </w:pPr>
      <w:r>
        <w:rPr>
          <w:rFonts w:ascii="Times New Roman" w:hAnsi="Times New Roman"/>
          <w:b w:val="0"/>
          <w:i w:val="0"/>
          <w:color w:val="000000"/>
          <w:sz w:val="22"/>
        </w:rPr>
        <w:t>Empirical benchmarks were executed against the FastAPI application gateway running on the remote server (rtgs-cl-ai-srv3, port 8001). The dataset represents actual test results run against the 200 few-shots questions extracted from the chronic absence and student dropout metadata. Below is the latency and throughput profile.</w:t>
      </w:r>
    </w:p>
    <w:tbl>
      <w:tblPr>
        <w:tblW w:type="auto" w:w="0"/>
        <w:tblLook w:firstColumn="1" w:firstRow="1" w:lastColumn="0" w:lastRow="0" w:noHBand="0" w:noVBand="1" w:val="04A0"/>
      </w:tblPr>
      <w:tblGrid>
        <w:gridCol w:w="1872"/>
        <w:gridCol w:w="1872"/>
        <w:gridCol w:w="1872"/>
        <w:gridCol w:w="1872"/>
        <w:gridCol w:w="1872"/>
      </w:tblGrid>
      <w:tr>
        <w:tc>
          <w:tcPr>
            <w:tcW w:type="dxa" w:w="1872"/>
          </w:tcPr>
          <w:p>
            <w:pPr>
              <w:spacing w:line="276" w:lineRule="auto" w:before="40" w:after="40"/>
            </w:pPr>
            <w:r>
              <w:rPr>
                <w:rFonts w:ascii="Times New Roman" w:hAnsi="Times New Roman"/>
                <w:b/>
                <w:i w:val="0"/>
                <w:color w:val="000000"/>
                <w:sz w:val="22"/>
              </w:rPr>
              <w:t>Complexity Level</w:t>
            </w:r>
          </w:p>
        </w:tc>
        <w:tc>
          <w:tcPr>
            <w:tcW w:type="dxa" w:w="1872"/>
          </w:tcPr>
          <w:p>
            <w:pPr>
              <w:spacing w:line="276" w:lineRule="auto" w:before="40" w:after="40"/>
            </w:pPr>
            <w:r>
              <w:rPr>
                <w:rFonts w:ascii="Times New Roman" w:hAnsi="Times New Roman"/>
                <w:b/>
                <w:i w:val="0"/>
                <w:color w:val="000000"/>
                <w:sz w:val="22"/>
              </w:rPr>
              <w:t>Query Count</w:t>
            </w:r>
          </w:p>
        </w:tc>
        <w:tc>
          <w:tcPr>
            <w:tcW w:type="dxa" w:w="1872"/>
          </w:tcPr>
          <w:p>
            <w:pPr>
              <w:spacing w:line="276" w:lineRule="auto" w:before="40" w:after="40"/>
            </w:pPr>
            <w:r>
              <w:rPr>
                <w:rFonts w:ascii="Times New Roman" w:hAnsi="Times New Roman"/>
                <w:b/>
                <w:i w:val="0"/>
                <w:color w:val="000000"/>
                <w:sz w:val="22"/>
              </w:rPr>
              <w:t>Minimum Latency</w:t>
            </w:r>
          </w:p>
        </w:tc>
        <w:tc>
          <w:tcPr>
            <w:tcW w:type="dxa" w:w="1872"/>
          </w:tcPr>
          <w:p>
            <w:pPr>
              <w:spacing w:line="276" w:lineRule="auto" w:before="40" w:after="40"/>
            </w:pPr>
            <w:r>
              <w:rPr>
                <w:rFonts w:ascii="Times New Roman" w:hAnsi="Times New Roman"/>
                <w:b/>
                <w:i w:val="0"/>
                <w:color w:val="000000"/>
                <w:sz w:val="22"/>
              </w:rPr>
              <w:t>Maximum Latency</w:t>
            </w:r>
          </w:p>
        </w:tc>
        <w:tc>
          <w:tcPr>
            <w:tcW w:type="dxa" w:w="1872"/>
          </w:tcPr>
          <w:p>
            <w:pPr>
              <w:spacing w:line="276" w:lineRule="auto" w:before="40" w:after="40"/>
            </w:pPr>
            <w:r>
              <w:rPr>
                <w:rFonts w:ascii="Times New Roman" w:hAnsi="Times New Roman"/>
                <w:b/>
                <w:i w:val="0"/>
                <w:color w:val="000000"/>
                <w:sz w:val="22"/>
              </w:rPr>
              <w:t>Average Latency</w:t>
            </w:r>
          </w:p>
        </w:tc>
      </w:tr>
      <w:tr>
        <w:tc>
          <w:tcPr>
            <w:tcW w:type="dxa" w:w="1872"/>
          </w:tcPr>
          <w:p>
            <w:pPr>
              <w:spacing w:line="276" w:lineRule="auto" w:before="40" w:after="40"/>
            </w:pPr>
            <w:r>
              <w:rPr>
                <w:rFonts w:ascii="Times New Roman" w:hAnsi="Times New Roman"/>
                <w:b w:val="0"/>
                <w:i w:val="0"/>
                <w:color w:val="000000"/>
                <w:sz w:val="22"/>
              </w:rPr>
              <w:t>Medium</w:t>
            </w:r>
          </w:p>
        </w:tc>
        <w:tc>
          <w:tcPr>
            <w:tcW w:type="dxa" w:w="1872"/>
          </w:tcPr>
          <w:p>
            <w:pPr>
              <w:spacing w:line="276" w:lineRule="auto" w:before="40" w:after="40"/>
            </w:pPr>
            <w:r>
              <w:rPr>
                <w:rFonts w:ascii="Times New Roman" w:hAnsi="Times New Roman"/>
                <w:b w:val="0"/>
                <w:i w:val="0"/>
                <w:color w:val="000000"/>
                <w:sz w:val="22"/>
              </w:rPr>
              <w:t>39</w:t>
            </w:r>
          </w:p>
        </w:tc>
        <w:tc>
          <w:tcPr>
            <w:tcW w:type="dxa" w:w="1872"/>
          </w:tcPr>
          <w:p>
            <w:pPr>
              <w:spacing w:line="276" w:lineRule="auto" w:before="40" w:after="40"/>
            </w:pPr>
            <w:r>
              <w:rPr>
                <w:rFonts w:ascii="Times New Roman" w:hAnsi="Times New Roman"/>
                <w:b w:val="0"/>
                <w:i w:val="0"/>
                <w:color w:val="000000"/>
                <w:sz w:val="22"/>
              </w:rPr>
              <w:t>19.31s</w:t>
            </w:r>
          </w:p>
        </w:tc>
        <w:tc>
          <w:tcPr>
            <w:tcW w:type="dxa" w:w="1872"/>
          </w:tcPr>
          <w:p>
            <w:pPr>
              <w:spacing w:line="276" w:lineRule="auto" w:before="40" w:after="40"/>
            </w:pPr>
            <w:r>
              <w:rPr>
                <w:rFonts w:ascii="Times New Roman" w:hAnsi="Times New Roman"/>
                <w:b w:val="0"/>
                <w:i w:val="0"/>
                <w:color w:val="000000"/>
                <w:sz w:val="22"/>
              </w:rPr>
              <w:t>102.45s</w:t>
            </w:r>
          </w:p>
        </w:tc>
        <w:tc>
          <w:tcPr>
            <w:tcW w:type="dxa" w:w="1872"/>
          </w:tcPr>
          <w:p>
            <w:pPr>
              <w:spacing w:line="276" w:lineRule="auto" w:before="40" w:after="40"/>
            </w:pPr>
            <w:r>
              <w:rPr>
                <w:rFonts w:ascii="Times New Roman" w:hAnsi="Times New Roman"/>
                <w:b w:val="0"/>
                <w:i w:val="0"/>
                <w:color w:val="000000"/>
                <w:sz w:val="22"/>
              </w:rPr>
              <w:t>35.06s</w:t>
            </w:r>
          </w:p>
        </w:tc>
      </w:tr>
      <w:tr>
        <w:tc>
          <w:tcPr>
            <w:tcW w:type="dxa" w:w="1872"/>
          </w:tcPr>
          <w:p>
            <w:pPr>
              <w:spacing w:line="276" w:lineRule="auto" w:before="40" w:after="40"/>
            </w:pPr>
            <w:r>
              <w:rPr>
                <w:rFonts w:ascii="Times New Roman" w:hAnsi="Times New Roman"/>
                <w:b w:val="0"/>
                <w:i w:val="0"/>
                <w:color w:val="000000"/>
                <w:sz w:val="22"/>
              </w:rPr>
              <w:t>Hard</w:t>
            </w:r>
          </w:p>
        </w:tc>
        <w:tc>
          <w:tcPr>
            <w:tcW w:type="dxa" w:w="1872"/>
          </w:tcPr>
          <w:p>
            <w:pPr>
              <w:spacing w:line="276" w:lineRule="auto" w:before="40" w:after="40"/>
            </w:pPr>
            <w:r>
              <w:rPr>
                <w:rFonts w:ascii="Times New Roman" w:hAnsi="Times New Roman"/>
                <w:b w:val="0"/>
                <w:i w:val="0"/>
                <w:color w:val="000000"/>
                <w:sz w:val="22"/>
              </w:rPr>
              <w:t>13</w:t>
            </w:r>
          </w:p>
        </w:tc>
        <w:tc>
          <w:tcPr>
            <w:tcW w:type="dxa" w:w="1872"/>
          </w:tcPr>
          <w:p>
            <w:pPr>
              <w:spacing w:line="276" w:lineRule="auto" w:before="40" w:after="40"/>
            </w:pPr>
            <w:r>
              <w:rPr>
                <w:rFonts w:ascii="Times New Roman" w:hAnsi="Times New Roman"/>
                <w:b w:val="0"/>
                <w:i w:val="0"/>
                <w:color w:val="000000"/>
                <w:sz w:val="22"/>
              </w:rPr>
              <w:t>62.37s</w:t>
            </w:r>
          </w:p>
        </w:tc>
        <w:tc>
          <w:tcPr>
            <w:tcW w:type="dxa" w:w="1872"/>
          </w:tcPr>
          <w:p>
            <w:pPr>
              <w:spacing w:line="276" w:lineRule="auto" w:before="40" w:after="40"/>
            </w:pPr>
            <w:r>
              <w:rPr>
                <w:rFonts w:ascii="Times New Roman" w:hAnsi="Times New Roman"/>
                <w:b w:val="0"/>
                <w:i w:val="0"/>
                <w:color w:val="000000"/>
                <w:sz w:val="22"/>
              </w:rPr>
              <w:t>141.82s</w:t>
            </w:r>
          </w:p>
        </w:tc>
        <w:tc>
          <w:tcPr>
            <w:tcW w:type="dxa" w:w="1872"/>
          </w:tcPr>
          <w:p>
            <w:pPr>
              <w:spacing w:line="276" w:lineRule="auto" w:before="40" w:after="40"/>
            </w:pPr>
            <w:r>
              <w:rPr>
                <w:rFonts w:ascii="Times New Roman" w:hAnsi="Times New Roman"/>
                <w:b w:val="0"/>
                <w:i w:val="0"/>
                <w:color w:val="000000"/>
                <w:sz w:val="22"/>
              </w:rPr>
              <w:t>90.68s</w:t>
            </w:r>
          </w:p>
        </w:tc>
      </w:tr>
    </w:tbl>
    <w:p>
      <w:pPr>
        <w:spacing w:after="120"/>
      </w:pPr>
    </w:p>
    <w:p>
      <w:pPr>
        <w:keepNext/>
        <w:spacing w:before="240" w:after="80"/>
      </w:pPr>
      <w:r>
        <w:rPr>
          <w:rFonts w:ascii="Times New Roman" w:hAnsi="Times New Roman"/>
          <w:b/>
          <w:i w:val="0"/>
          <w:color w:val="000000"/>
          <w:sz w:val="24"/>
        </w:rPr>
        <w:t>6.1. Latency Distribution Analysis</w:t>
      </w:r>
    </w:p>
    <w:p>
      <w:pPr>
        <w:spacing w:line="276" w:lineRule="auto" w:before="0" w:after="120"/>
      </w:pPr>
      <w:r>
        <w:rPr>
          <w:rFonts w:ascii="Times New Roman" w:hAnsi="Times New Roman"/>
          <w:b w:val="0"/>
          <w:i w:val="0"/>
          <w:color w:val="000000"/>
          <w:sz w:val="22"/>
        </w:rPr>
        <w:t>Medium-complexity queries recorded an average execution duration of 35.06 seconds. The fastest medium query finished in 19.31 seconds, while the slowest required 102.45 seconds. The variation in medium query latency is primarily driven by whether the orchestrator completes the request in a single round or falls into a multi-turn self-healing cycle (for example, to correct column names or aliases).</w:t>
      </w:r>
    </w:p>
    <w:p>
      <w:pPr>
        <w:spacing w:line="276" w:lineRule="auto" w:before="0" w:after="120"/>
      </w:pPr>
      <w:r>
        <w:rPr>
          <w:rFonts w:ascii="Times New Roman" w:hAnsi="Times New Roman"/>
          <w:b w:val="0"/>
          <w:i w:val="0"/>
          <w:color w:val="000000"/>
          <w:sz w:val="22"/>
        </w:rPr>
        <w:t>Hard-complexity queries recorded an average execution duration of 90.68 seconds. The fastest hard query completed in 62.37 seconds, while the slowest required 141.82 seconds. This elevated latency is caused by the increased complexity of the reasoning required to construct multi-table joins, nested Common Table Expressions (CTEs), and aggregation filters. These operations frequently trigger verification retries in the verify_node, adding reasoning overhead and token processing cycles.</w:t>
      </w:r>
    </w:p>
    <w:p>
      <w:pPr>
        <w:keepNext/>
        <w:spacing w:before="240" w:after="80"/>
      </w:pPr>
      <w:r>
        <w:rPr>
          <w:rFonts w:ascii="Times New Roman" w:hAnsi="Times New Roman"/>
          <w:b/>
          <w:i w:val="0"/>
          <w:color w:val="000000"/>
          <w:sz w:val="24"/>
        </w:rPr>
        <w:t>6.2. Exceptional Latencies and Failure Modes</w:t>
      </w:r>
    </w:p>
    <w:p>
      <w:pPr>
        <w:spacing w:line="276" w:lineRule="auto" w:before="0" w:after="120"/>
      </w:pPr>
      <w:r>
        <w:rPr>
          <w:rFonts w:ascii="Times New Roman" w:hAnsi="Times New Roman"/>
          <w:b w:val="0"/>
          <w:i w:val="0"/>
          <w:color w:val="000000"/>
          <w:sz w:val="22"/>
        </w:rPr>
        <w:t>During the benchmark execution, query `school_dropout_014` encountered a Connection Read Timeout error after 180.00 seconds. This exception was triggered due to port socket exhaustion on the local HTTP pool while communicating with the Ollama background service during an intensive verification loop. This highlights the need for a solid connection pool manager and appropriate rate limits on concurrent inference operations.</w:t>
      </w:r>
    </w:p>
    <w:p>
      <w:pPr/>
    </w:p>
    <w:p>
      <w:pPr/>
      <w:r>
        <w:rPr>
          <w:rFonts w:ascii="Times New Roman" w:hAnsi="Times New Roman"/>
          <w:b/>
          <w:sz w:val="24"/>
        </w:rPr>
        <w:t>7. References</w:t>
      </w:r>
    </w:p>
    <w:p>
      <w:pPr>
        <w:spacing w:line="276" w:lineRule="auto" w:after="80"/>
      </w:pPr>
      <w:r>
        <w:rPr>
          <w:rFonts w:ascii="Times New Roman" w:hAnsi="Times New Roman"/>
          <w:b w:val="0"/>
          <w:sz w:val="22"/>
        </w:rPr>
        <w:t>[1] N. Pourreza and D. Rafiei, "DIN-SQL: Decomposed In-Context Learning of Text-to-SQL with Self-Correction," in Proceedings of the 37th Conference on Neural Information Processing Systems (NeurIPS), Dec. 2023.</w:t>
      </w:r>
    </w:p>
    <w:p>
      <w:pPr>
        <w:spacing w:line="276" w:lineRule="auto" w:after="80"/>
      </w:pPr>
      <w:r>
        <w:rPr>
          <w:rFonts w:ascii="Times New Roman" w:hAnsi="Times New Roman"/>
          <w:b w:val="0"/>
          <w:sz w:val="22"/>
        </w:rPr>
        <w:t>[2] L. Dou, X. Gao, and J.-R. Wen, "DAIL-SQL: Towards Efficient and Effective Text-to-SQL with In-Context Learning," in Proceedings of the VLDB Endowment, vol. 17, no. 3, pp. 488-501, Nov. 2023.</w:t>
      </w:r>
    </w:p>
    <w:p>
      <w:pPr>
        <w:spacing w:line="276" w:lineRule="auto" w:after="80"/>
      </w:pPr>
      <w:r>
        <w:rPr>
          <w:rFonts w:ascii="Times New Roman" w:hAnsi="Times New Roman"/>
          <w:b w:val="0"/>
          <w:sz w:val="22"/>
        </w:rPr>
        <w:t>[3] T. Yu, R. Zhang, K. Yasunaga, Y. C. Tan, A. Novikova, and D. Radev, "Spider: A Large-Scale Human-Labeled Dataset for Complex and Cross-Domain Semantic Parsing and Text-to-SQL," in Proceedings of the 2018 Conference on Empirical Methods in Natural Language Processing (EMNLP), Nov. 2018, pp. 3911-3921.</w:t>
      </w:r>
    </w:p>
    <w:p>
      <w:pPr>
        <w:spacing w:line="276" w:lineRule="auto" w:after="80"/>
      </w:pPr>
      <w:r>
        <w:rPr>
          <w:rFonts w:ascii="Times New Roman" w:hAnsi="Times New Roman"/>
          <w:b w:val="0"/>
          <w:sz w:val="22"/>
        </w:rPr>
        <w:t>[4] P. Lewis et al., "Retrieval-Augmented Generation for Knowledge-Intensive NLP Tasks," in Proceedings of the 34th International Conference on Neural Information Processing Systems (NeurIPS), Dec. 2020.</w:t>
      </w:r>
    </w:p>
    <w:p>
      <w:pPr>
        <w:spacing w:line="276" w:lineRule="auto" w:after="80"/>
      </w:pPr>
      <w:r>
        <w:rPr>
          <w:rFonts w:ascii="Times New Roman" w:hAnsi="Times New Roman"/>
          <w:b w:val="0"/>
          <w:sz w:val="22"/>
        </w:rPr>
        <w:t>[5] S. Yao, J. Zhao, D. Yu, N. Du, I. Shafran, K. Narasimhan, and Y. Cao, "ReAct: Synergizing Reasoning and Acting in Language Models," in International Conference on Learning Representations (ICLR), May 2023.</w:t>
      </w:r>
    </w:p>
    <w:p>
      <w:pPr>
        <w:spacing w:line="276" w:lineRule="auto" w:after="80"/>
      </w:pPr>
      <w:r>
        <w:rPr>
          <w:rFonts w:ascii="Times New Roman" w:hAnsi="Times New Roman"/>
          <w:b w:val="0"/>
          <w:sz w:val="22"/>
        </w:rPr>
        <w:t>[6] C. Lei et al., "NL2SQL in Practice: Building and Deploying Semantic Parsing Systems for Enterprise Databases," IEEE Transactions on Knowledge and Data Engineering, vol. 35, no. 8, pp. 7845-7859, Aug.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