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 Contingent Valuation Study of Students' Willingness to Pay for a Plastic-Free Campus Initiative</w:t>
      </w:r>
    </w:p>
    <w:p>
      <w:pPr>
        <w:spacing w:after="400"/>
      </w:pPr>
      <w:r>
        <w:rPr>
          <w:i/>
          <w:iCs/>
          <w:color w:val="555555"/>
          <w:sz w:val="24"/>
          <w:szCs w:val="24"/>
        </w:rPr>
        <w:t xml:space="preserve">Chapter 3 (Methodology) and Chapter 4 (Descriptive Analysis and Results)</w:t>
      </w:r>
    </w:p>
    <w:p>
      <w:pPr>
        <w:pStyle w:val="Heading1"/>
        <w:spacing w:after="200" w:before="400"/>
      </w:pPr>
      <w:r>
        <w:t xml:space="preserve">Chapter 3: Methodology</w:t>
      </w:r>
    </w:p>
    <w:p>
      <w:pPr>
        <w:pStyle w:val="Heading2"/>
        <w:spacing w:after="150" w:before="300"/>
      </w:pPr>
      <w:r>
        <w:t xml:space="preserve">3.1 Study Area</w:t>
      </w:r>
    </w:p>
    <w:p>
      <w:pPr>
        <w:spacing w:after="200"/>
        <w:jc w:val="both"/>
      </w:pPr>
      <w:r>
        <w:t xml:space="preserve">This study was conducted at North South University (NSU), a private university located in Dhaka, Bangladesh. NSU was selected as the study area because it hosts a large, diverse undergraduate student population with varying levels of exposure to campus sustainability initiatives, and because the university's cafeteria and food-stall system — identified by respondents as a major source of single-use plastic — provided a concrete institutional context for evaluating a hypothetical plastic-free campus initiative. Data collection was carried out among students actively attending the NSU campus, ensuring that respondents had first-hand experience with the plastic waste generated by cafeteria vendors, food stalls, and everyday campus activities.</w:t>
      </w:r>
    </w:p>
    <w:p>
      <w:pPr>
        <w:pStyle w:val="Heading2"/>
        <w:spacing w:after="150" w:before="300"/>
      </w:pPr>
      <w:r>
        <w:t xml:space="preserve">3.2 Research Design</w:t>
      </w:r>
    </w:p>
    <w:p>
      <w:pPr>
        <w:spacing w:after="200"/>
        <w:jc w:val="both"/>
      </w:pPr>
      <w:r>
        <w:t xml:space="preserve">The study adopted a quantitative, cross-sectional survey research design employing the Contingent Valuation Method (CVM), a stated-preference technique widely used in environmental and non-market valuation research. This design was chosen because it allows researchers to elicit respondents' hypothetical Willingness to Pay (WTP) for an environmental good or policy — in this case, a plastic-free campus initiative — that does not currently have an observable market price. The design combines descriptive analysis of respondent characteristics and attitudes with inferential statistical techniques (chi-square tests and binary logistic regression) to examine the determinants of WTP.</w:t>
      </w:r>
    </w:p>
    <w:p>
      <w:pPr>
        <w:pStyle w:val="Heading2"/>
        <w:spacing w:after="150" w:before="300"/>
      </w:pPr>
      <w:r>
        <w:t xml:space="preserve">3.3 Study Population</w:t>
      </w:r>
    </w:p>
    <w:p>
      <w:pPr>
        <w:spacing w:after="200"/>
        <w:jc w:val="both"/>
      </w:pPr>
      <w:r>
        <w:t xml:space="preserve">The target population comprised undergraduate students currently enrolled at North South University. All 60 respondents captured in the dataset self-identified as undergraduate students, drawn primarily from the Department of Environmental Science and Management and the Department of Business Administration, with smaller numbers from Electronics and Communication Engineering, Microbiology, Economics, and English and Modern Language. This population was considered appropriate because undergraduate students are the primary daily users of campus cafeterias and food stalls and are therefore the group most directly affected by, and most likely to bear the cost of, a plastic-free campus policy.</w:t>
      </w:r>
    </w:p>
    <w:p>
      <w:pPr>
        <w:pStyle w:val="Heading2"/>
        <w:spacing w:after="150" w:before="300"/>
      </w:pPr>
      <w:r>
        <w:t xml:space="preserve">3.4 Sampling Method</w:t>
      </w:r>
    </w:p>
    <w:p>
      <w:pPr>
        <w:spacing w:after="200"/>
        <w:jc w:val="both"/>
      </w:pPr>
      <w:r>
        <w:t xml:space="preserve">A non-probability convenience sampling method was used to recruit respondents. Students who were present on campus and willing to participate were invited to complete a self-administered structured questionnaire. Convenience sampling was selected due to time and resource constraints typical of a student-level research project, and because it enabled efficient access to students who could speak directly to their current campus experience with plastic waste. While this approach limits the statistical generalizability of findings to the wider NSU student population, it is a commonly accepted approach in exploratory contingent valuation studies of this scale.</w:t>
      </w:r>
    </w:p>
    <w:p>
      <w:pPr>
        <w:pStyle w:val="Heading2"/>
        <w:spacing w:after="150" w:before="300"/>
      </w:pPr>
      <w:r>
        <w:t xml:space="preserve">3.5 Sample Size</w:t>
      </w:r>
    </w:p>
    <w:p>
      <w:pPr>
        <w:spacing w:after="200"/>
        <w:jc w:val="both"/>
      </w:pPr>
      <w:r>
        <w:t xml:space="preserve">A total of 60 valid responses were collected and retained for analysis after data cleaning. Although this sample size is modest relative to large-scale CVM studies, it is consistent with exploratory, single-institution surveys and was sufficient to compute descriptive statistics, cross-tabulations, chi-square tests of association, and a binary logistic regression model with six predictors, while acknowledging the resulting constraints on statistical power (discussed further in Sections 3.13 and 3.14).</w:t>
      </w:r>
    </w:p>
    <w:p>
      <w:pPr>
        <w:pStyle w:val="Heading2"/>
        <w:spacing w:after="150" w:before="300"/>
      </w:pPr>
      <w:r>
        <w:t xml:space="preserve">3.6 Data Collection</w:t>
      </w:r>
    </w:p>
    <w:p>
      <w:pPr>
        <w:spacing w:after="200"/>
        <w:jc w:val="both"/>
      </w:pPr>
      <w:r>
        <w:t xml:space="preserve">Data were collected using a self-administered, structured online questionnaire distributed to NSU undergraduate students. Each respondent was assigned a unique Respondent ID (1–60) to preserve anonymity while allowing individual-level analysis. The questionnaire was designed to be completed in a single sitting and used skip logic (e.g., respondents who answered "Yes" to the core WTP question were routed past the follow-up question asking for their reason for refusal) to reduce respondent burden and minimize irrelevant or contradictory responses.</w:t>
      </w:r>
    </w:p>
    <w:p>
      <w:pPr>
        <w:pStyle w:val="Heading2"/>
        <w:spacing w:after="150" w:before="300"/>
      </w:pPr>
      <w:r>
        <w:t xml:space="preserve">3.7 Questionnaire Design</w:t>
      </w:r>
    </w:p>
    <w:p>
      <w:pPr>
        <w:spacing w:after="200"/>
        <w:jc w:val="both"/>
      </w:pPr>
      <w:r>
        <w:t xml:space="preserve">The questionnaire was organized into five thematic blocks:</w:t>
      </w:r>
    </w:p>
    <w:p>
      <w:pPr>
        <w:pStyle w:val="ListParagraph"/>
        <w:numPr>
          <w:ilvl w:val="0"/>
          <w:numId w:val="1"/>
        </w:numPr>
        <w:spacing w:after="100"/>
      </w:pPr>
      <w:r>
        <w:t xml:space="preserve">Demographic and background information: gender, academic level, department/academic school, campus attendance frequency, and monthly allowance.</w:t>
      </w:r>
    </w:p>
    <w:p>
      <w:pPr>
        <w:pStyle w:val="ListParagraph"/>
        <w:numPr>
          <w:ilvl w:val="0"/>
          <w:numId w:val="1"/>
        </w:numPr>
        <w:spacing w:after="100"/>
      </w:pPr>
      <w:r>
        <w:t xml:space="preserve">Attitudinal and behavioural items: concern about plastic waste, frequency of single-use plastic consumption, and perceived responsibility for plastic waste on campus.</w:t>
      </w:r>
    </w:p>
    <w:p>
      <w:pPr>
        <w:pStyle w:val="ListParagraph"/>
        <w:numPr>
          <w:ilvl w:val="0"/>
          <w:numId w:val="1"/>
        </w:numPr>
        <w:spacing w:after="100"/>
      </w:pPr>
      <w:r>
        <w:t xml:space="preserve">Policy perception items: support for a plastic-free campus initiative and perceived effectiveness of such an initiative.</w:t>
      </w:r>
    </w:p>
    <w:p>
      <w:pPr>
        <w:pStyle w:val="ListParagraph"/>
        <w:numPr>
          <w:ilvl w:val="0"/>
          <w:numId w:val="1"/>
        </w:numPr>
        <w:spacing w:after="100"/>
      </w:pPr>
      <w:r>
        <w:t xml:space="preserve">The contingent valuation scenario and core WTP elicitation question (Yes/No), followed by a conditional reason-for-refusal item or a payment-card WTP amount item.</w:t>
      </w:r>
    </w:p>
    <w:p>
      <w:pPr>
        <w:pStyle w:val="ListParagraph"/>
        <w:numPr>
          <w:ilvl w:val="0"/>
          <w:numId w:val="1"/>
        </w:numPr>
        <w:spacing w:after="100"/>
      </w:pPr>
      <w:r>
        <w:t xml:space="preserve">Supplementary willingness items: willingness to pay through cafeteria charges specifically, and willingness to undertake non-monetary pro-environmental actions.</w:t>
      </w:r>
    </w:p>
    <w:p>
      <w:pPr>
        <w:spacing w:after="200"/>
        <w:jc w:val="both"/>
      </w:pPr>
      <w:r>
        <w:t xml:space="preserve">Closed-ended, categorical response formats (single-select and multi-select) were used throughout to standardize responses and facilitate quantitative analysis.</w:t>
      </w:r>
    </w:p>
    <w:p>
      <w:pPr>
        <w:pStyle w:val="Heading2"/>
        <w:spacing w:after="150" w:before="300"/>
      </w:pPr>
      <w:r>
        <w:t xml:space="preserve">3.8 Contingent Valuation Scenario</w:t>
      </w:r>
    </w:p>
    <w:p>
      <w:pPr>
        <w:spacing w:after="200"/>
        <w:jc w:val="both"/>
      </w:pPr>
      <w:r>
        <w:t xml:space="preserve">Respondents were presented with a hypothetical scenario describing a proposed plastic-free campus initiative at NSU, under which single-use plastics supplied by cafeteria vendors and food stalls would be phased out and replaced with sustainable alternatives (e.g., reusable containers, biodegradable packaging, and expanded recycling infrastructure). The scenario explained that implementing and maintaining the initiative would require additional funding, which could plausibly be financed through a small, incremental charge added to cafeteria purchases. Respondents were then asked whether they would be willing to pay this additional charge to support the initiative, establishing the hypothetical market required for CVM elicitation.</w:t>
      </w:r>
    </w:p>
    <w:p>
      <w:pPr>
        <w:pStyle w:val="Heading2"/>
        <w:spacing w:after="150" w:before="300"/>
      </w:pPr>
      <w:r>
        <w:t xml:space="preserve">3.9 WTP Elicitation Method</w:t>
      </w:r>
    </w:p>
    <w:p>
      <w:pPr>
        <w:spacing w:after="200"/>
        <w:jc w:val="both"/>
      </w:pPr>
      <w:r>
        <w:t xml:space="preserve">WTP was elicited using a two-stage, dichotomous-choice-with-payment-card approach. First, respondents answered a single dichotomous (Yes/No) question on whether they were willing to pay anything at all toward the plastic-free campus initiative (WTP_yesno). Respondents who answered "No" were routed to a follow-up question asking their primary reason for refusal (primaryreason_yesno), while respondents who answered "Yes" skipped this item. Second, all respondents were asked to select their maximum WTP from a set of pre-defined bid ranges (a payment-card format: BDT 0, BDT 50–100, BDT 100–200, BDT 200–450, BDT 450–500), which was used to estimate the magnitude of WTP among willing payers and to cross-validate the dichotomous response. A separate, related item asked specifically about willingness to pay through an added cafeteria charge (extra_pay), and a further item captured willingness to substitute monetary payment with non-monetary pro-environmental actions (nonmonetory_actions).</w:t>
      </w:r>
    </w:p>
    <w:p>
      <w:pPr>
        <w:pStyle w:val="Heading2"/>
        <w:spacing w:after="150" w:before="300"/>
      </w:pPr>
      <w:r>
        <w:t xml:space="preserve">3.10 Variables and Coding</w:t>
      </w:r>
    </w:p>
    <w:p>
      <w:pPr>
        <w:spacing w:after="200"/>
        <w:jc w:val="both"/>
      </w:pPr>
      <w:r>
        <w:t xml:space="preserve">The table below summarizes the variables retained for analysis, their type, and the coding scheme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60"/>
      </w:tblGrid>
      <w:tr>
        <w:trPr>
          <w:tblHeader/>
        </w:trPr>
        <w:tc>
          <w:tcPr>
            <w:tcW w:type="dxa" w:w="2200"/>
            <w:shd w:fill="1F4E5F" w:color="auto" w:val="clear"/>
            <w:tcMar>
              <w:top w:type="dxa" w:w="80"/>
              <w:left w:type="dxa" w:w="100"/>
              <w:bottom w:type="dxa" w:w="80"/>
              <w:right w:type="dxa" w:w="100"/>
            </w:tcMar>
          </w:tcPr>
          <w:p>
            <w:pPr>
              <w:jc w:val="left"/>
            </w:pPr>
            <w:r>
              <w:rPr>
                <w:b/>
                <w:bCs/>
                <w:color w:val="FFFFFF"/>
                <w:sz w:val="21"/>
                <w:szCs w:val="21"/>
              </w:rPr>
              <w:t xml:space="preserve">Variable</w:t>
            </w:r>
          </w:p>
        </w:tc>
        <w:tc>
          <w:tcPr>
            <w:tcW w:type="dxa" w:w="4200"/>
            <w:shd w:fill="1F4E5F" w:color="auto" w:val="clear"/>
            <w:tcMar>
              <w:top w:type="dxa" w:w="80"/>
              <w:left w:type="dxa" w:w="100"/>
              <w:bottom w:type="dxa" w:w="80"/>
              <w:right w:type="dxa" w:w="100"/>
            </w:tcMar>
          </w:tcPr>
          <w:p>
            <w:pPr>
              <w:jc w:val="left"/>
            </w:pPr>
            <w:r>
              <w:rPr>
                <w:b/>
                <w:bCs/>
                <w:color w:val="FFFFFF"/>
                <w:sz w:val="21"/>
                <w:szCs w:val="21"/>
              </w:rPr>
              <w:t xml:space="preserve">Description</w:t>
            </w:r>
          </w:p>
        </w:tc>
        <w:tc>
          <w:tcPr>
            <w:tcW w:type="dxa" w:w="3260"/>
            <w:shd w:fill="1F4E5F" w:color="auto" w:val="clear"/>
            <w:tcMar>
              <w:top w:type="dxa" w:w="80"/>
              <w:left w:type="dxa" w:w="100"/>
              <w:bottom w:type="dxa" w:w="80"/>
              <w:right w:type="dxa" w:w="100"/>
            </w:tcMar>
          </w:tcPr>
          <w:p>
            <w:pPr>
              <w:jc w:val="left"/>
            </w:pPr>
            <w:r>
              <w:rPr>
                <w:b/>
                <w:bCs/>
                <w:color w:val="FFFFFF"/>
                <w:sz w:val="21"/>
                <w:szCs w:val="21"/>
              </w:rPr>
              <w:t xml:space="preserve">Type / Coding</w:t>
            </w:r>
          </w:p>
        </w:tc>
      </w:tr>
      <w:tr>
        <w:tc>
          <w:tcPr>
            <w:tcW w:type="dxa" w:w="2200"/>
            <w:tcMar>
              <w:top w:type="dxa" w:w="80"/>
              <w:left w:type="dxa" w:w="100"/>
              <w:bottom w:type="dxa" w:w="80"/>
              <w:right w:type="dxa" w:w="100"/>
            </w:tcMar>
          </w:tcPr>
          <w:p>
            <w:pPr>
              <w:jc w:val="left"/>
            </w:pPr>
            <w:r>
              <w:rPr>
                <w:b w:val="false"/>
                <w:bCs w:val="false"/>
                <w:sz w:val="21"/>
                <w:szCs w:val="21"/>
              </w:rPr>
              <w:t xml:space="preserve">Rspondent_ID</w:t>
            </w:r>
          </w:p>
        </w:tc>
        <w:tc>
          <w:tcPr>
            <w:tcW w:type="dxa" w:w="4200"/>
            <w:tcMar>
              <w:top w:type="dxa" w:w="80"/>
              <w:left w:type="dxa" w:w="100"/>
              <w:bottom w:type="dxa" w:w="80"/>
              <w:right w:type="dxa" w:w="100"/>
            </w:tcMar>
          </w:tcPr>
          <w:p>
            <w:pPr>
              <w:jc w:val="left"/>
            </w:pPr>
            <w:r>
              <w:rPr>
                <w:b w:val="false"/>
                <w:bCs w:val="false"/>
                <w:sz w:val="21"/>
                <w:szCs w:val="21"/>
              </w:rPr>
              <w:t xml:space="preserve">Unique respondent identifier</w:t>
            </w:r>
          </w:p>
        </w:tc>
        <w:tc>
          <w:tcPr>
            <w:tcW w:type="dxa" w:w="3260"/>
            <w:tcMar>
              <w:top w:type="dxa" w:w="80"/>
              <w:left w:type="dxa" w:w="100"/>
              <w:bottom w:type="dxa" w:w="80"/>
              <w:right w:type="dxa" w:w="100"/>
            </w:tcMar>
          </w:tcPr>
          <w:p>
            <w:pPr>
              <w:jc w:val="left"/>
            </w:pPr>
            <w:r>
              <w:rPr>
                <w:b w:val="false"/>
                <w:bCs w:val="false"/>
                <w:sz w:val="21"/>
                <w:szCs w:val="21"/>
              </w:rPr>
              <w:t xml:space="preserve">Nominal, 1–60</w:t>
            </w:r>
          </w:p>
        </w:tc>
      </w:tr>
      <w:tr>
        <w:tc>
          <w:tcPr>
            <w:tcW w:type="dxa" w:w="2200"/>
            <w:tcMar>
              <w:top w:type="dxa" w:w="80"/>
              <w:left w:type="dxa" w:w="100"/>
              <w:bottom w:type="dxa" w:w="80"/>
              <w:right w:type="dxa" w:w="100"/>
            </w:tcMar>
          </w:tcPr>
          <w:p>
            <w:pPr>
              <w:jc w:val="left"/>
            </w:pPr>
            <w:r>
              <w:rPr>
                <w:b w:val="false"/>
                <w:bCs w:val="false"/>
                <w:sz w:val="21"/>
                <w:szCs w:val="21"/>
              </w:rPr>
              <w:t xml:space="preserve">gender</w:t>
            </w:r>
          </w:p>
        </w:tc>
        <w:tc>
          <w:tcPr>
            <w:tcW w:type="dxa" w:w="4200"/>
            <w:tcMar>
              <w:top w:type="dxa" w:w="80"/>
              <w:left w:type="dxa" w:w="100"/>
              <w:bottom w:type="dxa" w:w="80"/>
              <w:right w:type="dxa" w:w="100"/>
            </w:tcMar>
          </w:tcPr>
          <w:p>
            <w:pPr>
              <w:jc w:val="left"/>
            </w:pPr>
            <w:r>
              <w:rPr>
                <w:b w:val="false"/>
                <w:bCs w:val="false"/>
                <w:sz w:val="21"/>
                <w:szCs w:val="21"/>
              </w:rPr>
              <w:t xml:space="preserve">Respondent gender</w:t>
            </w:r>
          </w:p>
        </w:tc>
        <w:tc>
          <w:tcPr>
            <w:tcW w:type="dxa" w:w="3260"/>
            <w:tcMar>
              <w:top w:type="dxa" w:w="80"/>
              <w:left w:type="dxa" w:w="100"/>
              <w:bottom w:type="dxa" w:w="80"/>
              <w:right w:type="dxa" w:w="100"/>
            </w:tcMar>
          </w:tcPr>
          <w:p>
            <w:pPr>
              <w:jc w:val="left"/>
            </w:pPr>
            <w:r>
              <w:rPr>
                <w:b w:val="false"/>
                <w:bCs w:val="false"/>
                <w:sz w:val="21"/>
                <w:szCs w:val="21"/>
              </w:rPr>
              <w:t xml:space="preserve">Categorical: Male / Female / Prefer not to say</w:t>
            </w:r>
          </w:p>
        </w:tc>
      </w:tr>
      <w:tr>
        <w:tc>
          <w:tcPr>
            <w:tcW w:type="dxa" w:w="2200"/>
            <w:tcMar>
              <w:top w:type="dxa" w:w="80"/>
              <w:left w:type="dxa" w:w="100"/>
              <w:bottom w:type="dxa" w:w="80"/>
              <w:right w:type="dxa" w:w="100"/>
            </w:tcMar>
          </w:tcPr>
          <w:p>
            <w:pPr>
              <w:jc w:val="left"/>
            </w:pPr>
            <w:r>
              <w:rPr>
                <w:b w:val="false"/>
                <w:bCs w:val="false"/>
                <w:sz w:val="21"/>
                <w:szCs w:val="21"/>
              </w:rPr>
              <w:t xml:space="preserve">academic_level</w:t>
            </w:r>
          </w:p>
        </w:tc>
        <w:tc>
          <w:tcPr>
            <w:tcW w:type="dxa" w:w="4200"/>
            <w:tcMar>
              <w:top w:type="dxa" w:w="80"/>
              <w:left w:type="dxa" w:w="100"/>
              <w:bottom w:type="dxa" w:w="80"/>
              <w:right w:type="dxa" w:w="100"/>
            </w:tcMar>
          </w:tcPr>
          <w:p>
            <w:pPr>
              <w:jc w:val="left"/>
            </w:pPr>
            <w:r>
              <w:rPr>
                <w:b w:val="false"/>
                <w:bCs w:val="false"/>
                <w:sz w:val="21"/>
                <w:szCs w:val="21"/>
              </w:rPr>
              <w:t xml:space="preserve">Academic level</w:t>
            </w:r>
          </w:p>
        </w:tc>
        <w:tc>
          <w:tcPr>
            <w:tcW w:type="dxa" w:w="3260"/>
            <w:tcMar>
              <w:top w:type="dxa" w:w="80"/>
              <w:left w:type="dxa" w:w="100"/>
              <w:bottom w:type="dxa" w:w="80"/>
              <w:right w:type="dxa" w:w="100"/>
            </w:tcMar>
          </w:tcPr>
          <w:p>
            <w:pPr>
              <w:jc w:val="left"/>
            </w:pPr>
            <w:r>
              <w:rPr>
                <w:b w:val="false"/>
                <w:bCs w:val="false"/>
                <w:sz w:val="21"/>
                <w:szCs w:val="21"/>
              </w:rPr>
              <w:t xml:space="preserve">Categorical (constant: Undergraduate)</w:t>
            </w:r>
          </w:p>
        </w:tc>
      </w:tr>
      <w:tr>
        <w:tc>
          <w:tcPr>
            <w:tcW w:type="dxa" w:w="2200"/>
            <w:tcMar>
              <w:top w:type="dxa" w:w="80"/>
              <w:left w:type="dxa" w:w="100"/>
              <w:bottom w:type="dxa" w:w="80"/>
              <w:right w:type="dxa" w:w="100"/>
            </w:tcMar>
          </w:tcPr>
          <w:p>
            <w:pPr>
              <w:jc w:val="left"/>
            </w:pPr>
            <w:r>
              <w:rPr>
                <w:b w:val="false"/>
                <w:bCs w:val="false"/>
                <w:sz w:val="21"/>
                <w:szCs w:val="21"/>
              </w:rPr>
              <w:t xml:space="preserve">department</w:t>
            </w:r>
          </w:p>
        </w:tc>
        <w:tc>
          <w:tcPr>
            <w:tcW w:type="dxa" w:w="4200"/>
            <w:tcMar>
              <w:top w:type="dxa" w:w="80"/>
              <w:left w:type="dxa" w:w="100"/>
              <w:bottom w:type="dxa" w:w="80"/>
              <w:right w:type="dxa" w:w="100"/>
            </w:tcMar>
          </w:tcPr>
          <w:p>
            <w:pPr>
              <w:jc w:val="left"/>
            </w:pPr>
            <w:r>
              <w:rPr>
                <w:b w:val="false"/>
                <w:bCs w:val="false"/>
                <w:sz w:val="21"/>
                <w:szCs w:val="21"/>
              </w:rPr>
              <w:t xml:space="preserve">Department/academic school</w:t>
            </w:r>
          </w:p>
        </w:tc>
        <w:tc>
          <w:tcPr>
            <w:tcW w:type="dxa" w:w="3260"/>
            <w:tcMar>
              <w:top w:type="dxa" w:w="80"/>
              <w:left w:type="dxa" w:w="100"/>
              <w:bottom w:type="dxa" w:w="80"/>
              <w:right w:type="dxa" w:w="100"/>
            </w:tcMar>
          </w:tcPr>
          <w:p>
            <w:pPr>
              <w:jc w:val="left"/>
            </w:pPr>
            <w:r>
              <w:rPr>
                <w:b w:val="false"/>
                <w:bCs w:val="false"/>
                <w:sz w:val="21"/>
                <w:szCs w:val="21"/>
              </w:rPr>
              <w:t xml:space="preserve">Categorical, cleaned into consistent labels</w:t>
            </w:r>
          </w:p>
        </w:tc>
      </w:tr>
      <w:tr>
        <w:tc>
          <w:tcPr>
            <w:tcW w:type="dxa" w:w="2200"/>
            <w:tcMar>
              <w:top w:type="dxa" w:w="80"/>
              <w:left w:type="dxa" w:w="100"/>
              <w:bottom w:type="dxa" w:w="80"/>
              <w:right w:type="dxa" w:w="100"/>
            </w:tcMar>
          </w:tcPr>
          <w:p>
            <w:pPr>
              <w:jc w:val="left"/>
            </w:pPr>
            <w:r>
              <w:rPr>
                <w:b w:val="false"/>
                <w:bCs w:val="false"/>
                <w:sz w:val="21"/>
                <w:szCs w:val="21"/>
              </w:rPr>
              <w:t xml:space="preserve">campus_visit</w:t>
            </w:r>
          </w:p>
        </w:tc>
        <w:tc>
          <w:tcPr>
            <w:tcW w:type="dxa" w:w="4200"/>
            <w:tcMar>
              <w:top w:type="dxa" w:w="80"/>
              <w:left w:type="dxa" w:w="100"/>
              <w:bottom w:type="dxa" w:w="80"/>
              <w:right w:type="dxa" w:w="100"/>
            </w:tcMar>
          </w:tcPr>
          <w:p>
            <w:pPr>
              <w:jc w:val="left"/>
            </w:pPr>
            <w:r>
              <w:rPr>
                <w:b w:val="false"/>
                <w:bCs w:val="false"/>
                <w:sz w:val="21"/>
                <w:szCs w:val="21"/>
              </w:rPr>
              <w:t xml:space="preserve">Weekly campus attendance frequency</w:t>
            </w:r>
          </w:p>
        </w:tc>
        <w:tc>
          <w:tcPr>
            <w:tcW w:type="dxa" w:w="3260"/>
            <w:tcMar>
              <w:top w:type="dxa" w:w="80"/>
              <w:left w:type="dxa" w:w="100"/>
              <w:bottom w:type="dxa" w:w="80"/>
              <w:right w:type="dxa" w:w="100"/>
            </w:tcMar>
          </w:tcPr>
          <w:p>
            <w:pPr>
              <w:jc w:val="left"/>
            </w:pPr>
            <w:r>
              <w:rPr>
                <w:b w:val="false"/>
                <w:bCs w:val="false"/>
                <w:sz w:val="21"/>
                <w:szCs w:val="21"/>
              </w:rPr>
              <w:t xml:space="preserve">Ordinal: 1–2 days / 3–4 days / 5+ days</w:t>
            </w:r>
          </w:p>
        </w:tc>
      </w:tr>
      <w:tr>
        <w:tc>
          <w:tcPr>
            <w:tcW w:type="dxa" w:w="2200"/>
            <w:tcMar>
              <w:top w:type="dxa" w:w="80"/>
              <w:left w:type="dxa" w:w="100"/>
              <w:bottom w:type="dxa" w:w="80"/>
              <w:right w:type="dxa" w:w="100"/>
            </w:tcMar>
          </w:tcPr>
          <w:p>
            <w:pPr>
              <w:jc w:val="left"/>
            </w:pPr>
            <w:r>
              <w:rPr>
                <w:b w:val="false"/>
                <w:bCs w:val="false"/>
                <w:sz w:val="21"/>
                <w:szCs w:val="21"/>
              </w:rPr>
              <w:t xml:space="preserve">monthly_allowance</w:t>
            </w:r>
          </w:p>
        </w:tc>
        <w:tc>
          <w:tcPr>
            <w:tcW w:type="dxa" w:w="4200"/>
            <w:tcMar>
              <w:top w:type="dxa" w:w="80"/>
              <w:left w:type="dxa" w:w="100"/>
              <w:bottom w:type="dxa" w:w="80"/>
              <w:right w:type="dxa" w:w="100"/>
            </w:tcMar>
          </w:tcPr>
          <w:p>
            <w:pPr>
              <w:jc w:val="left"/>
            </w:pPr>
            <w:r>
              <w:rPr>
                <w:b w:val="false"/>
                <w:bCs w:val="false"/>
                <w:sz w:val="21"/>
                <w:szCs w:val="21"/>
              </w:rPr>
              <w:t xml:space="preserve">Monthly personal allowance (BDT)</w:t>
            </w:r>
          </w:p>
        </w:tc>
        <w:tc>
          <w:tcPr>
            <w:tcW w:type="dxa" w:w="3260"/>
            <w:tcMar>
              <w:top w:type="dxa" w:w="80"/>
              <w:left w:type="dxa" w:w="100"/>
              <w:bottom w:type="dxa" w:w="80"/>
              <w:right w:type="dxa" w:w="100"/>
            </w:tcMar>
          </w:tcPr>
          <w:p>
            <w:pPr>
              <w:jc w:val="left"/>
            </w:pPr>
            <w:r>
              <w:rPr>
                <w:b w:val="false"/>
                <w:bCs w:val="false"/>
                <w:sz w:val="21"/>
                <w:szCs w:val="21"/>
              </w:rPr>
              <w:t xml:space="preserve">Ordinal, recoded 1 (lowest) – 4 (highest)</w:t>
            </w:r>
          </w:p>
        </w:tc>
      </w:tr>
      <w:tr>
        <w:tc>
          <w:tcPr>
            <w:tcW w:type="dxa" w:w="2200"/>
            <w:tcMar>
              <w:top w:type="dxa" w:w="80"/>
              <w:left w:type="dxa" w:w="100"/>
              <w:bottom w:type="dxa" w:w="80"/>
              <w:right w:type="dxa" w:w="100"/>
            </w:tcMar>
          </w:tcPr>
          <w:p>
            <w:pPr>
              <w:jc w:val="left"/>
            </w:pPr>
            <w:r>
              <w:rPr>
                <w:b w:val="false"/>
                <w:bCs w:val="false"/>
                <w:sz w:val="21"/>
                <w:szCs w:val="21"/>
              </w:rPr>
              <w:t xml:space="preserve">concern_plastic_waste</w:t>
            </w:r>
          </w:p>
        </w:tc>
        <w:tc>
          <w:tcPr>
            <w:tcW w:type="dxa" w:w="4200"/>
            <w:tcMar>
              <w:top w:type="dxa" w:w="80"/>
              <w:left w:type="dxa" w:w="100"/>
              <w:bottom w:type="dxa" w:w="80"/>
              <w:right w:type="dxa" w:w="100"/>
            </w:tcMar>
          </w:tcPr>
          <w:p>
            <w:pPr>
              <w:jc w:val="left"/>
            </w:pPr>
            <w:r>
              <w:rPr>
                <w:b w:val="false"/>
                <w:bCs w:val="false"/>
                <w:sz w:val="21"/>
                <w:szCs w:val="21"/>
              </w:rPr>
              <w:t xml:space="preserve">Concern about plastic waste</w:t>
            </w:r>
          </w:p>
        </w:tc>
        <w:tc>
          <w:tcPr>
            <w:tcW w:type="dxa" w:w="3260"/>
            <w:tcMar>
              <w:top w:type="dxa" w:w="80"/>
              <w:left w:type="dxa" w:w="100"/>
              <w:bottom w:type="dxa" w:w="80"/>
              <w:right w:type="dxa" w:w="100"/>
            </w:tcMar>
          </w:tcPr>
          <w:p>
            <w:pPr>
              <w:jc w:val="left"/>
            </w:pPr>
            <w:r>
              <w:rPr>
                <w:b w:val="false"/>
                <w:bCs w:val="false"/>
                <w:sz w:val="21"/>
                <w:szCs w:val="21"/>
              </w:rPr>
              <w:t xml:space="preserve">Ordinal, recoded 1 (not concerned) – 4 (very concerned)</w:t>
            </w:r>
          </w:p>
        </w:tc>
      </w:tr>
      <w:tr>
        <w:tc>
          <w:tcPr>
            <w:tcW w:type="dxa" w:w="2200"/>
            <w:tcMar>
              <w:top w:type="dxa" w:w="80"/>
              <w:left w:type="dxa" w:w="100"/>
              <w:bottom w:type="dxa" w:w="80"/>
              <w:right w:type="dxa" w:w="100"/>
            </w:tcMar>
          </w:tcPr>
          <w:p>
            <w:pPr>
              <w:jc w:val="left"/>
            </w:pPr>
            <w:r>
              <w:rPr>
                <w:b w:val="false"/>
                <w:bCs w:val="false"/>
                <w:sz w:val="21"/>
                <w:szCs w:val="21"/>
              </w:rPr>
              <w:t xml:space="preserve">plastic_use</w:t>
            </w:r>
          </w:p>
        </w:tc>
        <w:tc>
          <w:tcPr>
            <w:tcW w:type="dxa" w:w="4200"/>
            <w:tcMar>
              <w:top w:type="dxa" w:w="80"/>
              <w:left w:type="dxa" w:w="100"/>
              <w:bottom w:type="dxa" w:w="80"/>
              <w:right w:type="dxa" w:w="100"/>
            </w:tcMar>
          </w:tcPr>
          <w:p>
            <w:pPr>
              <w:jc w:val="left"/>
            </w:pPr>
            <w:r>
              <w:rPr>
                <w:b w:val="false"/>
                <w:bCs w:val="false"/>
                <w:sz w:val="21"/>
                <w:szCs w:val="21"/>
              </w:rPr>
              <w:t xml:space="preserve">Frequency of single-use plastic consumption</w:t>
            </w:r>
          </w:p>
        </w:tc>
        <w:tc>
          <w:tcPr>
            <w:tcW w:type="dxa" w:w="3260"/>
            <w:tcMar>
              <w:top w:type="dxa" w:w="80"/>
              <w:left w:type="dxa" w:w="100"/>
              <w:bottom w:type="dxa" w:w="80"/>
              <w:right w:type="dxa" w:w="100"/>
            </w:tcMar>
          </w:tcPr>
          <w:p>
            <w:pPr>
              <w:jc w:val="left"/>
            </w:pPr>
            <w:r>
              <w:rPr>
                <w:b w:val="false"/>
                <w:bCs w:val="false"/>
                <w:sz w:val="21"/>
                <w:szCs w:val="21"/>
              </w:rPr>
              <w:t xml:space="preserve">Ordinal, recoded 1 (never) – 4 (daily)</w:t>
            </w:r>
          </w:p>
        </w:tc>
      </w:tr>
      <w:tr>
        <w:tc>
          <w:tcPr>
            <w:tcW w:type="dxa" w:w="2200"/>
            <w:tcMar>
              <w:top w:type="dxa" w:w="80"/>
              <w:left w:type="dxa" w:w="100"/>
              <w:bottom w:type="dxa" w:w="80"/>
              <w:right w:type="dxa" w:w="100"/>
            </w:tcMar>
          </w:tcPr>
          <w:p>
            <w:pPr>
              <w:jc w:val="left"/>
            </w:pPr>
            <w:r>
              <w:rPr>
                <w:b w:val="false"/>
                <w:bCs w:val="false"/>
                <w:sz w:val="21"/>
                <w:szCs w:val="21"/>
              </w:rPr>
              <w:t xml:space="preserve">responsibility</w:t>
            </w:r>
          </w:p>
        </w:tc>
        <w:tc>
          <w:tcPr>
            <w:tcW w:type="dxa" w:w="4200"/>
            <w:tcMar>
              <w:top w:type="dxa" w:w="80"/>
              <w:left w:type="dxa" w:w="100"/>
              <w:bottom w:type="dxa" w:w="80"/>
              <w:right w:type="dxa" w:w="100"/>
            </w:tcMar>
          </w:tcPr>
          <w:p>
            <w:pPr>
              <w:jc w:val="left"/>
            </w:pPr>
            <w:r>
              <w:rPr>
                <w:b w:val="false"/>
                <w:bCs w:val="false"/>
                <w:sz w:val="21"/>
                <w:szCs w:val="21"/>
              </w:rPr>
              <w:t xml:space="preserve">Perceived responsibility for plastic waste</w:t>
            </w:r>
          </w:p>
        </w:tc>
        <w:tc>
          <w:tcPr>
            <w:tcW w:type="dxa" w:w="3260"/>
            <w:tcMar>
              <w:top w:type="dxa" w:w="80"/>
              <w:left w:type="dxa" w:w="100"/>
              <w:bottom w:type="dxa" w:w="80"/>
              <w:right w:type="dxa" w:w="100"/>
            </w:tcMar>
          </w:tcPr>
          <w:p>
            <w:pPr>
              <w:jc w:val="left"/>
            </w:pPr>
            <w:r>
              <w:rPr>
                <w:b w:val="false"/>
                <w:bCs w:val="false"/>
                <w:sz w:val="21"/>
                <w:szCs w:val="21"/>
              </w:rPr>
              <w:t xml:space="preserve">Nominal categorical</w:t>
            </w:r>
          </w:p>
        </w:tc>
      </w:tr>
      <w:tr>
        <w:tc>
          <w:tcPr>
            <w:tcW w:type="dxa" w:w="2200"/>
            <w:tcMar>
              <w:top w:type="dxa" w:w="80"/>
              <w:left w:type="dxa" w:w="100"/>
              <w:bottom w:type="dxa" w:w="80"/>
              <w:right w:type="dxa" w:w="100"/>
            </w:tcMar>
          </w:tcPr>
          <w:p>
            <w:pPr>
              <w:jc w:val="left"/>
            </w:pPr>
            <w:r>
              <w:rPr>
                <w:b w:val="false"/>
                <w:bCs w:val="false"/>
                <w:sz w:val="21"/>
                <w:szCs w:val="21"/>
              </w:rPr>
              <w:t xml:space="preserve">support_plastic_free_campus_initiative</w:t>
            </w:r>
          </w:p>
        </w:tc>
        <w:tc>
          <w:tcPr>
            <w:tcW w:type="dxa" w:w="4200"/>
            <w:tcMar>
              <w:top w:type="dxa" w:w="80"/>
              <w:left w:type="dxa" w:w="100"/>
              <w:bottom w:type="dxa" w:w="80"/>
              <w:right w:type="dxa" w:w="100"/>
            </w:tcMar>
          </w:tcPr>
          <w:p>
            <w:pPr>
              <w:jc w:val="left"/>
            </w:pPr>
            <w:r>
              <w:rPr>
                <w:b w:val="false"/>
                <w:bCs w:val="false"/>
                <w:sz w:val="21"/>
                <w:szCs w:val="21"/>
              </w:rPr>
              <w:t xml:space="preserve">Support for the initiative</w:t>
            </w:r>
          </w:p>
        </w:tc>
        <w:tc>
          <w:tcPr>
            <w:tcW w:type="dxa" w:w="3260"/>
            <w:tcMar>
              <w:top w:type="dxa" w:w="80"/>
              <w:left w:type="dxa" w:w="100"/>
              <w:bottom w:type="dxa" w:w="80"/>
              <w:right w:type="dxa" w:w="100"/>
            </w:tcMar>
          </w:tcPr>
          <w:p>
            <w:pPr>
              <w:jc w:val="left"/>
            </w:pPr>
            <w:r>
              <w:rPr>
                <w:b w:val="false"/>
                <w:bCs w:val="false"/>
                <w:sz w:val="21"/>
                <w:szCs w:val="21"/>
              </w:rPr>
              <w:t xml:space="preserve">Ordinal, recoded 1 (strongly oppose) – 4 (strongly support)</w:t>
            </w:r>
          </w:p>
        </w:tc>
      </w:tr>
      <w:tr>
        <w:tc>
          <w:tcPr>
            <w:tcW w:type="dxa" w:w="2200"/>
            <w:tcMar>
              <w:top w:type="dxa" w:w="80"/>
              <w:left w:type="dxa" w:w="100"/>
              <w:bottom w:type="dxa" w:w="80"/>
              <w:right w:type="dxa" w:w="100"/>
            </w:tcMar>
          </w:tcPr>
          <w:p>
            <w:pPr>
              <w:jc w:val="left"/>
            </w:pPr>
            <w:r>
              <w:rPr>
                <w:b w:val="false"/>
                <w:bCs w:val="false"/>
                <w:sz w:val="21"/>
                <w:szCs w:val="21"/>
              </w:rPr>
              <w:t xml:space="preserve">effectiveness_initiative</w:t>
            </w:r>
          </w:p>
        </w:tc>
        <w:tc>
          <w:tcPr>
            <w:tcW w:type="dxa" w:w="4200"/>
            <w:tcMar>
              <w:top w:type="dxa" w:w="80"/>
              <w:left w:type="dxa" w:w="100"/>
              <w:bottom w:type="dxa" w:w="80"/>
              <w:right w:type="dxa" w:w="100"/>
            </w:tcMar>
          </w:tcPr>
          <w:p>
            <w:pPr>
              <w:jc w:val="left"/>
            </w:pPr>
            <w:r>
              <w:rPr>
                <w:b w:val="false"/>
                <w:bCs w:val="false"/>
                <w:sz w:val="21"/>
                <w:szCs w:val="21"/>
              </w:rPr>
              <w:t xml:space="preserve">Perceived effectiveness of the initiative</w:t>
            </w:r>
          </w:p>
        </w:tc>
        <w:tc>
          <w:tcPr>
            <w:tcW w:type="dxa" w:w="3260"/>
            <w:tcMar>
              <w:top w:type="dxa" w:w="80"/>
              <w:left w:type="dxa" w:w="100"/>
              <w:bottom w:type="dxa" w:w="80"/>
              <w:right w:type="dxa" w:w="100"/>
            </w:tcMar>
          </w:tcPr>
          <w:p>
            <w:pPr>
              <w:jc w:val="left"/>
            </w:pPr>
            <w:r>
              <w:rPr>
                <w:b w:val="false"/>
                <w:bCs w:val="false"/>
                <w:sz w:val="21"/>
                <w:szCs w:val="21"/>
              </w:rPr>
              <w:t xml:space="preserve">Ordinal, recoded 1 (not effective) – 4 (extremely effective)</w:t>
            </w:r>
          </w:p>
        </w:tc>
      </w:tr>
      <w:tr>
        <w:tc>
          <w:tcPr>
            <w:tcW w:type="dxa" w:w="2200"/>
            <w:tcMar>
              <w:top w:type="dxa" w:w="80"/>
              <w:left w:type="dxa" w:w="100"/>
              <w:bottom w:type="dxa" w:w="80"/>
              <w:right w:type="dxa" w:w="100"/>
            </w:tcMar>
          </w:tcPr>
          <w:p>
            <w:pPr>
              <w:jc w:val="left"/>
            </w:pPr>
            <w:r>
              <w:rPr>
                <w:b w:val="false"/>
                <w:bCs w:val="false"/>
                <w:sz w:val="21"/>
                <w:szCs w:val="21"/>
              </w:rPr>
              <w:t xml:space="preserve">WTP_yesno</w:t>
            </w:r>
          </w:p>
        </w:tc>
        <w:tc>
          <w:tcPr>
            <w:tcW w:type="dxa" w:w="4200"/>
            <w:tcMar>
              <w:top w:type="dxa" w:w="80"/>
              <w:left w:type="dxa" w:w="100"/>
              <w:bottom w:type="dxa" w:w="80"/>
              <w:right w:type="dxa" w:w="100"/>
            </w:tcMar>
          </w:tcPr>
          <w:p>
            <w:pPr>
              <w:jc w:val="left"/>
            </w:pPr>
            <w:r>
              <w:rPr>
                <w:b w:val="false"/>
                <w:bCs w:val="false"/>
                <w:sz w:val="21"/>
                <w:szCs w:val="21"/>
              </w:rPr>
              <w:t xml:space="preserve">Core dichotomous WTP response</w:t>
            </w:r>
          </w:p>
        </w:tc>
        <w:tc>
          <w:tcPr>
            <w:tcW w:type="dxa" w:w="3260"/>
            <w:tcMar>
              <w:top w:type="dxa" w:w="80"/>
              <w:left w:type="dxa" w:w="100"/>
              <w:bottom w:type="dxa" w:w="80"/>
              <w:right w:type="dxa" w:w="100"/>
            </w:tcMar>
          </w:tcPr>
          <w:p>
            <w:pPr>
              <w:jc w:val="left"/>
            </w:pPr>
            <w:r>
              <w:rPr>
                <w:b w:val="false"/>
                <w:bCs w:val="false"/>
                <w:sz w:val="21"/>
                <w:szCs w:val="21"/>
              </w:rPr>
              <w:t xml:space="preserve">Binary, recoded 1 = Yes, 0 = No (WTP_bin)</w:t>
            </w:r>
          </w:p>
        </w:tc>
      </w:tr>
      <w:tr>
        <w:tc>
          <w:tcPr>
            <w:tcW w:type="dxa" w:w="2200"/>
            <w:tcMar>
              <w:top w:type="dxa" w:w="80"/>
              <w:left w:type="dxa" w:w="100"/>
              <w:bottom w:type="dxa" w:w="80"/>
              <w:right w:type="dxa" w:w="100"/>
            </w:tcMar>
          </w:tcPr>
          <w:p>
            <w:pPr>
              <w:jc w:val="left"/>
            </w:pPr>
            <w:r>
              <w:rPr>
                <w:b w:val="false"/>
                <w:bCs w:val="false"/>
                <w:sz w:val="21"/>
                <w:szCs w:val="21"/>
              </w:rPr>
              <w:t xml:space="preserve">primaryreason_yesno</w:t>
            </w:r>
          </w:p>
        </w:tc>
        <w:tc>
          <w:tcPr>
            <w:tcW w:type="dxa" w:w="4200"/>
            <w:tcMar>
              <w:top w:type="dxa" w:w="80"/>
              <w:left w:type="dxa" w:w="100"/>
              <w:bottom w:type="dxa" w:w="80"/>
              <w:right w:type="dxa" w:w="100"/>
            </w:tcMar>
          </w:tcPr>
          <w:p>
            <w:pPr>
              <w:jc w:val="left"/>
            </w:pPr>
            <w:r>
              <w:rPr>
                <w:b w:val="false"/>
                <w:bCs w:val="false"/>
                <w:sz w:val="21"/>
                <w:szCs w:val="21"/>
              </w:rPr>
              <w:t xml:space="preserve">Reason for unwillingness to pay</w:t>
            </w:r>
          </w:p>
        </w:tc>
        <w:tc>
          <w:tcPr>
            <w:tcW w:type="dxa" w:w="3260"/>
            <w:tcMar>
              <w:top w:type="dxa" w:w="80"/>
              <w:left w:type="dxa" w:w="100"/>
              <w:bottom w:type="dxa" w:w="80"/>
              <w:right w:type="dxa" w:w="100"/>
            </w:tcMar>
          </w:tcPr>
          <w:p>
            <w:pPr>
              <w:jc w:val="left"/>
            </w:pPr>
            <w:r>
              <w:rPr>
                <w:b w:val="false"/>
                <w:bCs w:val="false"/>
                <w:sz w:val="21"/>
                <w:szCs w:val="21"/>
              </w:rPr>
              <w:t xml:space="preserve">Categorical (conditional on WTP_bin = 0); "Skipped" if WTP_bin = 1</w:t>
            </w:r>
          </w:p>
        </w:tc>
      </w:tr>
      <w:tr>
        <w:tc>
          <w:tcPr>
            <w:tcW w:type="dxa" w:w="2200"/>
            <w:tcMar>
              <w:top w:type="dxa" w:w="80"/>
              <w:left w:type="dxa" w:w="100"/>
              <w:bottom w:type="dxa" w:w="80"/>
              <w:right w:type="dxa" w:w="100"/>
            </w:tcMar>
          </w:tcPr>
          <w:p>
            <w:pPr>
              <w:jc w:val="left"/>
            </w:pPr>
            <w:r>
              <w:rPr>
                <w:b w:val="false"/>
                <w:bCs w:val="false"/>
                <w:sz w:val="21"/>
                <w:szCs w:val="21"/>
              </w:rPr>
              <w:t xml:space="preserve">wtp_amount</w:t>
            </w:r>
          </w:p>
        </w:tc>
        <w:tc>
          <w:tcPr>
            <w:tcW w:type="dxa" w:w="4200"/>
            <w:tcMar>
              <w:top w:type="dxa" w:w="80"/>
              <w:left w:type="dxa" w:w="100"/>
              <w:bottom w:type="dxa" w:w="80"/>
              <w:right w:type="dxa" w:w="100"/>
            </w:tcMar>
          </w:tcPr>
          <w:p>
            <w:pPr>
              <w:jc w:val="left"/>
            </w:pPr>
            <w:r>
              <w:rPr>
                <w:b w:val="false"/>
                <w:bCs w:val="false"/>
                <w:sz w:val="21"/>
                <w:szCs w:val="21"/>
              </w:rPr>
              <w:t xml:space="preserve">Maximum WTP bid range (payment card)</w:t>
            </w:r>
          </w:p>
        </w:tc>
        <w:tc>
          <w:tcPr>
            <w:tcW w:type="dxa" w:w="3260"/>
            <w:tcMar>
              <w:top w:type="dxa" w:w="80"/>
              <w:left w:type="dxa" w:w="100"/>
              <w:bottom w:type="dxa" w:w="80"/>
              <w:right w:type="dxa" w:w="100"/>
            </w:tcMar>
          </w:tcPr>
          <w:p>
            <w:pPr>
              <w:jc w:val="left"/>
            </w:pPr>
            <w:r>
              <w:rPr>
                <w:b w:val="false"/>
                <w:bCs w:val="false"/>
                <w:sz w:val="21"/>
                <w:szCs w:val="21"/>
              </w:rPr>
              <w:t xml:space="preserve">Ordinal categorical, converted to interval midpoints (BDT)</w:t>
            </w:r>
          </w:p>
        </w:tc>
      </w:tr>
      <w:tr>
        <w:tc>
          <w:tcPr>
            <w:tcW w:type="dxa" w:w="2200"/>
            <w:tcMar>
              <w:top w:type="dxa" w:w="80"/>
              <w:left w:type="dxa" w:w="100"/>
              <w:bottom w:type="dxa" w:w="80"/>
              <w:right w:type="dxa" w:w="100"/>
            </w:tcMar>
          </w:tcPr>
          <w:p>
            <w:pPr>
              <w:jc w:val="left"/>
            </w:pPr>
            <w:r>
              <w:rPr>
                <w:b w:val="false"/>
                <w:bCs w:val="false"/>
                <w:sz w:val="21"/>
                <w:szCs w:val="21"/>
              </w:rPr>
              <w:t xml:space="preserve">extra_pay</w:t>
            </w:r>
          </w:p>
        </w:tc>
        <w:tc>
          <w:tcPr>
            <w:tcW w:type="dxa" w:w="4200"/>
            <w:tcMar>
              <w:top w:type="dxa" w:w="80"/>
              <w:left w:type="dxa" w:w="100"/>
              <w:bottom w:type="dxa" w:w="80"/>
              <w:right w:type="dxa" w:w="100"/>
            </w:tcMar>
          </w:tcPr>
          <w:p>
            <w:pPr>
              <w:jc w:val="left"/>
            </w:pPr>
            <w:r>
              <w:rPr>
                <w:b w:val="false"/>
                <w:bCs w:val="false"/>
                <w:sz w:val="21"/>
                <w:szCs w:val="21"/>
              </w:rPr>
              <w:t xml:space="preserve">Willingness to accept a cafeteria surcharge</w:t>
            </w:r>
          </w:p>
        </w:tc>
        <w:tc>
          <w:tcPr>
            <w:tcW w:type="dxa" w:w="3260"/>
            <w:tcMar>
              <w:top w:type="dxa" w:w="80"/>
              <w:left w:type="dxa" w:w="100"/>
              <w:bottom w:type="dxa" w:w="80"/>
              <w:right w:type="dxa" w:w="100"/>
            </w:tcMar>
          </w:tcPr>
          <w:p>
            <w:pPr>
              <w:jc w:val="left"/>
            </w:pPr>
            <w:r>
              <w:rPr>
                <w:b w:val="false"/>
                <w:bCs w:val="false"/>
                <w:sz w:val="21"/>
                <w:szCs w:val="21"/>
              </w:rPr>
              <w:t xml:space="preserve">Categorical: Yes / No / Undecided</w:t>
            </w:r>
          </w:p>
        </w:tc>
      </w:tr>
      <w:tr>
        <w:tc>
          <w:tcPr>
            <w:tcW w:type="dxa" w:w="2200"/>
            <w:tcMar>
              <w:top w:type="dxa" w:w="80"/>
              <w:left w:type="dxa" w:w="100"/>
              <w:bottom w:type="dxa" w:w="80"/>
              <w:right w:type="dxa" w:w="100"/>
            </w:tcMar>
          </w:tcPr>
          <w:p>
            <w:pPr>
              <w:jc w:val="left"/>
            </w:pPr>
            <w:r>
              <w:rPr>
                <w:b w:val="false"/>
                <w:bCs w:val="false"/>
                <w:sz w:val="21"/>
                <w:szCs w:val="21"/>
              </w:rPr>
              <w:t xml:space="preserve">nonmonetory_actions</w:t>
            </w:r>
          </w:p>
        </w:tc>
        <w:tc>
          <w:tcPr>
            <w:tcW w:type="dxa" w:w="4200"/>
            <w:tcMar>
              <w:top w:type="dxa" w:w="80"/>
              <w:left w:type="dxa" w:w="100"/>
              <w:bottom w:type="dxa" w:w="80"/>
              <w:right w:type="dxa" w:w="100"/>
            </w:tcMar>
          </w:tcPr>
          <w:p>
            <w:pPr>
              <w:jc w:val="left"/>
            </w:pPr>
            <w:r>
              <w:rPr>
                <w:b w:val="false"/>
                <w:bCs w:val="false"/>
                <w:sz w:val="21"/>
                <w:szCs w:val="21"/>
              </w:rPr>
              <w:t xml:space="preserve">Non-monetary actions respondent is willing to take</w:t>
            </w:r>
          </w:p>
        </w:tc>
        <w:tc>
          <w:tcPr>
            <w:tcW w:type="dxa" w:w="3260"/>
            <w:tcMar>
              <w:top w:type="dxa" w:w="80"/>
              <w:left w:type="dxa" w:w="100"/>
              <w:bottom w:type="dxa" w:w="80"/>
              <w:right w:type="dxa" w:w="100"/>
            </w:tcMar>
          </w:tcPr>
          <w:p>
            <w:pPr>
              <w:jc w:val="left"/>
            </w:pPr>
            <w:r>
              <w:rPr>
                <w:b w:val="false"/>
                <w:bCs w:val="false"/>
                <w:sz w:val="21"/>
                <w:szCs w:val="21"/>
              </w:rPr>
              <w:t xml:space="preserve">Multi-select categorical, decomposed into binary indicators</w:t>
            </w:r>
          </w:p>
        </w:tc>
      </w:tr>
    </w:tbl>
    <w:p>
      <w:pPr>
        <w:spacing w:after="200"/>
      </w:pPr>
    </w:p>
    <w:p>
      <w:pPr>
        <w:pStyle w:val="Heading2"/>
        <w:spacing w:after="150" w:before="300"/>
      </w:pPr>
      <w:r>
        <w:t xml:space="preserve">3.11 Data Cleaning and Preparation</w:t>
      </w:r>
    </w:p>
    <w:p>
      <w:pPr>
        <w:spacing w:after="200"/>
        <w:jc w:val="both"/>
      </w:pPr>
      <w:r>
        <w:t xml:space="preserve">The raw dataset (60 rows × 16 columns) was cleaned prior to analysis using Python (pandas). The following steps were applied:</w:t>
      </w:r>
    </w:p>
    <w:p>
      <w:pPr>
        <w:pStyle w:val="ListParagraph"/>
        <w:numPr>
          <w:ilvl w:val="0"/>
          <w:numId w:val="1"/>
        </w:numPr>
        <w:spacing w:after="100"/>
      </w:pPr>
      <w:r>
        <w:t xml:space="preserve">Whitespace and duplicate-label inconsistencies in the department field (e.g., "Environmental Science and Management" appearing with trailing spaces as a distinct category) were standardized into single consistent categories.</w:t>
      </w:r>
    </w:p>
    <w:p>
      <w:pPr>
        <w:pStyle w:val="ListParagraph"/>
        <w:numPr>
          <w:ilvl w:val="0"/>
          <w:numId w:val="1"/>
        </w:numPr>
        <w:spacing w:after="100"/>
      </w:pPr>
      <w:r>
        <w:t xml:space="preserve">One respondent's extra_pay field contained the literal placeholder text "extra_pay" (a data-entry artifact) rather than a valid response; this observation was flagged as missing/invalid for that variable and excluded from the extra_pay frequency analysis rather than being recoded arbitrarily.</w:t>
      </w:r>
    </w:p>
    <w:p>
      <w:pPr>
        <w:pStyle w:val="ListParagraph"/>
        <w:numPr>
          <w:ilvl w:val="0"/>
          <w:numId w:val="1"/>
        </w:numPr>
        <w:spacing w:after="100"/>
      </w:pPr>
      <w:r>
        <w:t xml:space="preserve">Three respondents listed department as "No response/unclear" and were retained in the dataset but excluded from department-specific breakdowns.</w:t>
      </w:r>
    </w:p>
    <w:p>
      <w:pPr>
        <w:pStyle w:val="ListParagraph"/>
        <w:numPr>
          <w:ilvl w:val="0"/>
          <w:numId w:val="1"/>
        </w:numPr>
        <w:spacing w:after="100"/>
      </w:pPr>
      <w:r>
        <w:t xml:space="preserve">The wtp_amount payment-card bands were converted to numeric interval midpoints (e.g., BDT 50–100 → BDT 75) to allow mean WTP to be estimated (Section 3.15).</w:t>
      </w:r>
    </w:p>
    <w:p>
      <w:pPr>
        <w:pStyle w:val="ListParagraph"/>
        <w:numPr>
          <w:ilvl w:val="0"/>
          <w:numId w:val="1"/>
        </w:numPr>
        <w:spacing w:after="100"/>
      </w:pPr>
      <w:r>
        <w:t xml:space="preserve">A logical consistency check was run between WTP_yesno and wtp_amount. Because the payment-card item was administered to all respondents regardless of skip logic, a subset of respondents who answered "No" to the core WTP question nonetheless selected a non-zero bid band; these cases were retained as-is (rather than dropped) but are flagged as a data-quality limitation, since they may reflect either genuine conditional willingness or a survey navigation error.</w:t>
      </w:r>
    </w:p>
    <w:p>
      <w:pPr>
        <w:pStyle w:val="ListParagraph"/>
        <w:numPr>
          <w:ilvl w:val="0"/>
          <w:numId w:val="1"/>
        </w:numPr>
        <w:spacing w:after="100"/>
      </w:pPr>
      <w:r>
        <w:t xml:space="preserve">Ordinal attitudinal variables were numerically recoded (see Section 3.10) to enable their use as continuous predictors in the logistic regression model.</w:t>
      </w:r>
    </w:p>
    <w:p>
      <w:pPr>
        <w:pStyle w:val="ListParagraph"/>
        <w:numPr>
          <w:ilvl w:val="0"/>
          <w:numId w:val="1"/>
        </w:numPr>
        <w:spacing w:after="100"/>
      </w:pPr>
      <w:r>
        <w:t xml:space="preserve">No respondents had missing data on the core WTP_yesno variable, so all 60 cases were retained for the primary WTP analysis.</w:t>
      </w:r>
    </w:p>
    <w:p>
      <w:pPr>
        <w:pStyle w:val="Heading2"/>
        <w:spacing w:after="150" w:before="300"/>
      </w:pPr>
      <w:r>
        <w:t xml:space="preserve">3.12 Descriptive Statistical Analysis</w:t>
      </w:r>
    </w:p>
    <w:p>
      <w:pPr>
        <w:spacing w:after="200"/>
        <w:jc w:val="both"/>
      </w:pPr>
      <w:r>
        <w:t xml:space="preserve">Descriptive statistics — frequencies, percentages, and (where applicable) means — were computed for all demographic, attitudinal, and WTP-related variables using Python. Descriptive analysis was used to profile the sample (Chapter 4, Sections 4.1–4.10), summarize overall WTP and its magnitude (Sections 4.11–4.13), and characterize supplementary willingness measures (Sections 4.14–4.15). These statistics form the descriptive foundation on which the inferential tests in Sections 3.13–3.15 are built.</w:t>
      </w:r>
    </w:p>
    <w:p>
      <w:pPr>
        <w:pStyle w:val="Heading2"/>
        <w:spacing w:after="150" w:before="300"/>
      </w:pPr>
      <w:r>
        <w:t xml:space="preserve">3.13 Chi-Square Test</w:t>
      </w:r>
    </w:p>
    <w:p>
      <w:pPr>
        <w:spacing w:after="200"/>
        <w:jc w:val="both"/>
      </w:pPr>
      <w:r>
        <w:t xml:space="preserve">Pearson's chi-square test of independence was used to examine whether the dichotomous WTP decision (WTP_yesno) was associated with categorical demographic and attitudinal variables, including gender, campus attendance frequency, monthly allowance, concern about plastic waste, plastic use frequency, perceived responsibility, support for the initiative, and perceived effectiveness. For each variable, a contingency table was cross-tabulated against WTP_yesno and the chi-square statistic, degrees of freedom, and p-value were computed at the conventional 5% significance level. Given the modest sample size (n = 60), several contingency tables contained cells with expected counts below 5, which is noted as a limitation on the reliability of the chi-square approximation for those variables; results should therefore be interpreted as indicative rather than confirmatory.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200"/>
        <w:gridCol w:w="900"/>
        <w:gridCol w:w="1600"/>
        <w:gridCol w:w="2000"/>
      </w:tblGrid>
      <w:tr>
        <w:trPr>
          <w:tblHeader/>
        </w:trPr>
        <w:tc>
          <w:tcPr>
            <w:tcW w:type="dxa" w:w="3760"/>
            <w:shd w:fill="1F4E5F" w:color="auto" w:val="clear"/>
            <w:tcMar>
              <w:top w:type="dxa" w:w="80"/>
              <w:left w:type="dxa" w:w="100"/>
              <w:bottom w:type="dxa" w:w="80"/>
              <w:right w:type="dxa" w:w="100"/>
            </w:tcMar>
          </w:tcPr>
          <w:p>
            <w:pPr>
              <w:jc w:val="left"/>
            </w:pPr>
            <w:r>
              <w:rPr>
                <w:b/>
                <w:bCs/>
                <w:color w:val="FFFFFF"/>
                <w:sz w:val="21"/>
                <w:szCs w:val="21"/>
              </w:rPr>
              <w:t xml:space="preserve">Variable tested against WTP_yesno</w:t>
            </w:r>
          </w:p>
        </w:tc>
        <w:tc>
          <w:tcPr>
            <w:tcW w:type="dxa" w:w="1200"/>
            <w:shd w:fill="1F4E5F" w:color="auto" w:val="clear"/>
            <w:tcMar>
              <w:top w:type="dxa" w:w="80"/>
              <w:left w:type="dxa" w:w="100"/>
              <w:bottom w:type="dxa" w:w="80"/>
              <w:right w:type="dxa" w:w="100"/>
            </w:tcMar>
          </w:tcPr>
          <w:p>
            <w:pPr>
              <w:jc w:val="left"/>
            </w:pPr>
            <w:r>
              <w:rPr>
                <w:b/>
                <w:bCs/>
                <w:color w:val="FFFFFF"/>
                <w:sz w:val="21"/>
                <w:szCs w:val="21"/>
              </w:rPr>
              <w:t xml:space="preserve">χ²</w:t>
            </w:r>
          </w:p>
        </w:tc>
        <w:tc>
          <w:tcPr>
            <w:tcW w:type="dxa" w:w="900"/>
            <w:shd w:fill="1F4E5F" w:color="auto" w:val="clear"/>
            <w:tcMar>
              <w:top w:type="dxa" w:w="80"/>
              <w:left w:type="dxa" w:w="100"/>
              <w:bottom w:type="dxa" w:w="80"/>
              <w:right w:type="dxa" w:w="100"/>
            </w:tcMar>
          </w:tcPr>
          <w:p>
            <w:pPr>
              <w:jc w:val="left"/>
            </w:pPr>
            <w:r>
              <w:rPr>
                <w:b/>
                <w:bCs/>
                <w:color w:val="FFFFFF"/>
                <w:sz w:val="21"/>
                <w:szCs w:val="21"/>
              </w:rPr>
              <w:t xml:space="preserve">df</w:t>
            </w:r>
          </w:p>
        </w:tc>
        <w:tc>
          <w:tcPr>
            <w:tcW w:type="dxa" w:w="1600"/>
            <w:shd w:fill="1F4E5F" w:color="auto" w:val="clear"/>
            <w:tcMar>
              <w:top w:type="dxa" w:w="80"/>
              <w:left w:type="dxa" w:w="100"/>
              <w:bottom w:type="dxa" w:w="80"/>
              <w:right w:type="dxa" w:w="100"/>
            </w:tcMar>
          </w:tcPr>
          <w:p>
            <w:pPr>
              <w:jc w:val="left"/>
            </w:pPr>
            <w:r>
              <w:rPr>
                <w:b/>
                <w:bCs/>
                <w:color w:val="FFFFFF"/>
                <w:sz w:val="21"/>
                <w:szCs w:val="21"/>
              </w:rPr>
              <w:t xml:space="preserve">p-value</w:t>
            </w:r>
          </w:p>
        </w:tc>
        <w:tc>
          <w:tcPr>
            <w:tcW w:type="dxa" w:w="2000"/>
            <w:shd w:fill="1F4E5F" w:color="auto" w:val="clear"/>
            <w:tcMar>
              <w:top w:type="dxa" w:w="80"/>
              <w:left w:type="dxa" w:w="100"/>
              <w:bottom w:type="dxa" w:w="80"/>
              <w:right w:type="dxa" w:w="100"/>
            </w:tcMar>
          </w:tcPr>
          <w:p>
            <w:pPr>
              <w:jc w:val="left"/>
            </w:pPr>
            <w:r>
              <w:rPr>
                <w:b/>
                <w:bCs/>
                <w:color w:val="FFFFFF"/>
                <w:sz w:val="21"/>
                <w:szCs w:val="21"/>
              </w:rPr>
              <w:t xml:space="preserve">Sig. (p&lt;0.05)</w:t>
            </w:r>
          </w:p>
        </w:tc>
      </w:tr>
      <w:tr>
        <w:tc>
          <w:tcPr>
            <w:tcW w:type="dxa" w:w="3760"/>
            <w:tcMar>
              <w:top w:type="dxa" w:w="80"/>
              <w:left w:type="dxa" w:w="100"/>
              <w:bottom w:type="dxa" w:w="80"/>
              <w:right w:type="dxa" w:w="100"/>
            </w:tcMar>
          </w:tcPr>
          <w:p>
            <w:pPr>
              <w:jc w:val="left"/>
            </w:pPr>
            <w:r>
              <w:rPr>
                <w:b w:val="false"/>
                <w:bCs w:val="false"/>
                <w:sz w:val="21"/>
                <w:szCs w:val="21"/>
              </w:rPr>
              <w:t xml:space="preserve">Gender</w:t>
            </w:r>
          </w:p>
        </w:tc>
        <w:tc>
          <w:tcPr>
            <w:tcW w:type="dxa" w:w="1200"/>
            <w:tcMar>
              <w:top w:type="dxa" w:w="80"/>
              <w:left w:type="dxa" w:w="100"/>
              <w:bottom w:type="dxa" w:w="80"/>
              <w:right w:type="dxa" w:w="100"/>
            </w:tcMar>
          </w:tcPr>
          <w:p>
            <w:pPr>
              <w:jc w:val="left"/>
            </w:pPr>
            <w:r>
              <w:rPr>
                <w:b w:val="false"/>
                <w:bCs w:val="false"/>
                <w:sz w:val="21"/>
                <w:szCs w:val="21"/>
              </w:rPr>
              <w:t xml:space="preserve">1.403</w:t>
            </w:r>
          </w:p>
        </w:tc>
        <w:tc>
          <w:tcPr>
            <w:tcW w:type="dxa" w:w="900"/>
            <w:tcMar>
              <w:top w:type="dxa" w:w="80"/>
              <w:left w:type="dxa" w:w="100"/>
              <w:bottom w:type="dxa" w:w="80"/>
              <w:right w:type="dxa" w:w="100"/>
            </w:tcMar>
          </w:tcPr>
          <w:p>
            <w:pPr>
              <w:jc w:val="left"/>
            </w:pPr>
            <w:r>
              <w:rPr>
                <w:b w:val="false"/>
                <w:bCs w:val="false"/>
                <w:sz w:val="21"/>
                <w:szCs w:val="21"/>
              </w:rPr>
              <w:t xml:space="preserve">2</w:t>
            </w:r>
          </w:p>
        </w:tc>
        <w:tc>
          <w:tcPr>
            <w:tcW w:type="dxa" w:w="1600"/>
            <w:tcMar>
              <w:top w:type="dxa" w:w="80"/>
              <w:left w:type="dxa" w:w="100"/>
              <w:bottom w:type="dxa" w:w="80"/>
              <w:right w:type="dxa" w:w="100"/>
            </w:tcMar>
          </w:tcPr>
          <w:p>
            <w:pPr>
              <w:jc w:val="left"/>
            </w:pPr>
            <w:r>
              <w:rPr>
                <w:b w:val="false"/>
                <w:bCs w:val="false"/>
                <w:sz w:val="21"/>
                <w:szCs w:val="21"/>
              </w:rPr>
              <w:t xml:space="preserve">0.496</w:t>
            </w:r>
          </w:p>
        </w:tc>
        <w:tc>
          <w:tcPr>
            <w:tcW w:type="dxa" w:w="2000"/>
            <w:tcMar>
              <w:top w:type="dxa" w:w="80"/>
              <w:left w:type="dxa" w:w="100"/>
              <w:bottom w:type="dxa" w:w="80"/>
              <w:right w:type="dxa" w:w="100"/>
            </w:tcMar>
          </w:tcPr>
          <w:p>
            <w:pPr>
              <w:jc w:val="left"/>
            </w:pPr>
            <w:r>
              <w:rPr>
                <w:b w:val="false"/>
                <w:bCs w:val="false"/>
                <w:sz w:val="21"/>
                <w:szCs w:val="21"/>
              </w:rPr>
              <w:t xml:space="preserve">No</w:t>
            </w:r>
          </w:p>
        </w:tc>
      </w:tr>
      <w:tr>
        <w:tc>
          <w:tcPr>
            <w:tcW w:type="dxa" w:w="3760"/>
            <w:tcMar>
              <w:top w:type="dxa" w:w="80"/>
              <w:left w:type="dxa" w:w="100"/>
              <w:bottom w:type="dxa" w:w="80"/>
              <w:right w:type="dxa" w:w="100"/>
            </w:tcMar>
          </w:tcPr>
          <w:p>
            <w:pPr>
              <w:jc w:val="left"/>
            </w:pPr>
            <w:r>
              <w:rPr>
                <w:b w:val="false"/>
                <w:bCs w:val="false"/>
                <w:sz w:val="21"/>
                <w:szCs w:val="21"/>
              </w:rPr>
              <w:t xml:space="preserve">Campus attendance frequency</w:t>
            </w:r>
          </w:p>
        </w:tc>
        <w:tc>
          <w:tcPr>
            <w:tcW w:type="dxa" w:w="1200"/>
            <w:tcMar>
              <w:top w:type="dxa" w:w="80"/>
              <w:left w:type="dxa" w:w="100"/>
              <w:bottom w:type="dxa" w:w="80"/>
              <w:right w:type="dxa" w:w="100"/>
            </w:tcMar>
          </w:tcPr>
          <w:p>
            <w:pPr>
              <w:jc w:val="left"/>
            </w:pPr>
            <w:r>
              <w:rPr>
                <w:b w:val="false"/>
                <w:bCs w:val="false"/>
                <w:sz w:val="21"/>
                <w:szCs w:val="21"/>
              </w:rPr>
              <w:t xml:space="preserve">2.766</w:t>
            </w:r>
          </w:p>
        </w:tc>
        <w:tc>
          <w:tcPr>
            <w:tcW w:type="dxa" w:w="900"/>
            <w:tcMar>
              <w:top w:type="dxa" w:w="80"/>
              <w:left w:type="dxa" w:w="100"/>
              <w:bottom w:type="dxa" w:w="80"/>
              <w:right w:type="dxa" w:w="100"/>
            </w:tcMar>
          </w:tcPr>
          <w:p>
            <w:pPr>
              <w:jc w:val="left"/>
            </w:pPr>
            <w:r>
              <w:rPr>
                <w:b w:val="false"/>
                <w:bCs w:val="false"/>
                <w:sz w:val="21"/>
                <w:szCs w:val="21"/>
              </w:rPr>
              <w:t xml:space="preserve">2</w:t>
            </w:r>
          </w:p>
        </w:tc>
        <w:tc>
          <w:tcPr>
            <w:tcW w:type="dxa" w:w="1600"/>
            <w:tcMar>
              <w:top w:type="dxa" w:w="80"/>
              <w:left w:type="dxa" w:w="100"/>
              <w:bottom w:type="dxa" w:w="80"/>
              <w:right w:type="dxa" w:w="100"/>
            </w:tcMar>
          </w:tcPr>
          <w:p>
            <w:pPr>
              <w:jc w:val="left"/>
            </w:pPr>
            <w:r>
              <w:rPr>
                <w:b w:val="false"/>
                <w:bCs w:val="false"/>
                <w:sz w:val="21"/>
                <w:szCs w:val="21"/>
              </w:rPr>
              <w:t xml:space="preserve">0.251</w:t>
            </w:r>
          </w:p>
        </w:tc>
        <w:tc>
          <w:tcPr>
            <w:tcW w:type="dxa" w:w="2000"/>
            <w:tcMar>
              <w:top w:type="dxa" w:w="80"/>
              <w:left w:type="dxa" w:w="100"/>
              <w:bottom w:type="dxa" w:w="80"/>
              <w:right w:type="dxa" w:w="100"/>
            </w:tcMar>
          </w:tcPr>
          <w:p>
            <w:pPr>
              <w:jc w:val="left"/>
            </w:pPr>
            <w:r>
              <w:rPr>
                <w:b w:val="false"/>
                <w:bCs w:val="false"/>
                <w:sz w:val="21"/>
                <w:szCs w:val="21"/>
              </w:rPr>
              <w:t xml:space="preserve">No</w:t>
            </w:r>
          </w:p>
        </w:tc>
      </w:tr>
      <w:tr>
        <w:tc>
          <w:tcPr>
            <w:tcW w:type="dxa" w:w="3760"/>
            <w:tcMar>
              <w:top w:type="dxa" w:w="80"/>
              <w:left w:type="dxa" w:w="100"/>
              <w:bottom w:type="dxa" w:w="80"/>
              <w:right w:type="dxa" w:w="100"/>
            </w:tcMar>
          </w:tcPr>
          <w:p>
            <w:pPr>
              <w:jc w:val="left"/>
            </w:pPr>
            <w:r>
              <w:rPr>
                <w:b w:val="false"/>
                <w:bCs w:val="false"/>
                <w:sz w:val="21"/>
                <w:szCs w:val="21"/>
              </w:rPr>
              <w:t xml:space="preserve">Monthly allowance</w:t>
            </w:r>
          </w:p>
        </w:tc>
        <w:tc>
          <w:tcPr>
            <w:tcW w:type="dxa" w:w="1200"/>
            <w:tcMar>
              <w:top w:type="dxa" w:w="80"/>
              <w:left w:type="dxa" w:w="100"/>
              <w:bottom w:type="dxa" w:w="80"/>
              <w:right w:type="dxa" w:w="100"/>
            </w:tcMar>
          </w:tcPr>
          <w:p>
            <w:pPr>
              <w:jc w:val="left"/>
            </w:pPr>
            <w:r>
              <w:rPr>
                <w:b w:val="false"/>
                <w:bCs w:val="false"/>
                <w:sz w:val="21"/>
                <w:szCs w:val="21"/>
              </w:rPr>
              <w:t xml:space="preserve">4.103</w:t>
            </w:r>
          </w:p>
        </w:tc>
        <w:tc>
          <w:tcPr>
            <w:tcW w:type="dxa" w:w="900"/>
            <w:tcMar>
              <w:top w:type="dxa" w:w="80"/>
              <w:left w:type="dxa" w:w="100"/>
              <w:bottom w:type="dxa" w:w="80"/>
              <w:right w:type="dxa" w:w="100"/>
            </w:tcMar>
          </w:tcPr>
          <w:p>
            <w:pPr>
              <w:jc w:val="left"/>
            </w:pPr>
            <w:r>
              <w:rPr>
                <w:b w:val="false"/>
                <w:bCs w:val="false"/>
                <w:sz w:val="21"/>
                <w:szCs w:val="21"/>
              </w:rPr>
              <w:t xml:space="preserve">3</w:t>
            </w:r>
          </w:p>
        </w:tc>
        <w:tc>
          <w:tcPr>
            <w:tcW w:type="dxa" w:w="1600"/>
            <w:tcMar>
              <w:top w:type="dxa" w:w="80"/>
              <w:left w:type="dxa" w:w="100"/>
              <w:bottom w:type="dxa" w:w="80"/>
              <w:right w:type="dxa" w:w="100"/>
            </w:tcMar>
          </w:tcPr>
          <w:p>
            <w:pPr>
              <w:jc w:val="left"/>
            </w:pPr>
            <w:r>
              <w:rPr>
                <w:b w:val="false"/>
                <w:bCs w:val="false"/>
                <w:sz w:val="21"/>
                <w:szCs w:val="21"/>
              </w:rPr>
              <w:t xml:space="preserve">0.251</w:t>
            </w:r>
          </w:p>
        </w:tc>
        <w:tc>
          <w:tcPr>
            <w:tcW w:type="dxa" w:w="2000"/>
            <w:tcMar>
              <w:top w:type="dxa" w:w="80"/>
              <w:left w:type="dxa" w:w="100"/>
              <w:bottom w:type="dxa" w:w="80"/>
              <w:right w:type="dxa" w:w="100"/>
            </w:tcMar>
          </w:tcPr>
          <w:p>
            <w:pPr>
              <w:jc w:val="left"/>
            </w:pPr>
            <w:r>
              <w:rPr>
                <w:b w:val="false"/>
                <w:bCs w:val="false"/>
                <w:sz w:val="21"/>
                <w:szCs w:val="21"/>
              </w:rPr>
              <w:t xml:space="preserve">No</w:t>
            </w:r>
          </w:p>
        </w:tc>
      </w:tr>
      <w:tr>
        <w:tc>
          <w:tcPr>
            <w:tcW w:type="dxa" w:w="3760"/>
            <w:tcMar>
              <w:top w:type="dxa" w:w="80"/>
              <w:left w:type="dxa" w:w="100"/>
              <w:bottom w:type="dxa" w:w="80"/>
              <w:right w:type="dxa" w:w="100"/>
            </w:tcMar>
          </w:tcPr>
          <w:p>
            <w:pPr>
              <w:jc w:val="left"/>
            </w:pPr>
            <w:r>
              <w:rPr>
                <w:b w:val="false"/>
                <w:bCs w:val="false"/>
                <w:sz w:val="21"/>
                <w:szCs w:val="21"/>
              </w:rPr>
              <w:t xml:space="preserve">Concern about plastic waste</w:t>
            </w:r>
          </w:p>
        </w:tc>
        <w:tc>
          <w:tcPr>
            <w:tcW w:type="dxa" w:w="1200"/>
            <w:tcMar>
              <w:top w:type="dxa" w:w="80"/>
              <w:left w:type="dxa" w:w="100"/>
              <w:bottom w:type="dxa" w:w="80"/>
              <w:right w:type="dxa" w:w="100"/>
            </w:tcMar>
          </w:tcPr>
          <w:p>
            <w:pPr>
              <w:jc w:val="left"/>
            </w:pPr>
            <w:r>
              <w:rPr>
                <w:b w:val="false"/>
                <w:bCs w:val="false"/>
                <w:sz w:val="21"/>
                <w:szCs w:val="21"/>
              </w:rPr>
              <w:t xml:space="preserve">3.400</w:t>
            </w:r>
          </w:p>
        </w:tc>
        <w:tc>
          <w:tcPr>
            <w:tcW w:type="dxa" w:w="900"/>
            <w:tcMar>
              <w:top w:type="dxa" w:w="80"/>
              <w:left w:type="dxa" w:w="100"/>
              <w:bottom w:type="dxa" w:w="80"/>
              <w:right w:type="dxa" w:w="100"/>
            </w:tcMar>
          </w:tcPr>
          <w:p>
            <w:pPr>
              <w:jc w:val="left"/>
            </w:pPr>
            <w:r>
              <w:rPr>
                <w:b w:val="false"/>
                <w:bCs w:val="false"/>
                <w:sz w:val="21"/>
                <w:szCs w:val="21"/>
              </w:rPr>
              <w:t xml:space="preserve">3</w:t>
            </w:r>
          </w:p>
        </w:tc>
        <w:tc>
          <w:tcPr>
            <w:tcW w:type="dxa" w:w="1600"/>
            <w:tcMar>
              <w:top w:type="dxa" w:w="80"/>
              <w:left w:type="dxa" w:w="100"/>
              <w:bottom w:type="dxa" w:w="80"/>
              <w:right w:type="dxa" w:w="100"/>
            </w:tcMar>
          </w:tcPr>
          <w:p>
            <w:pPr>
              <w:jc w:val="left"/>
            </w:pPr>
            <w:r>
              <w:rPr>
                <w:b w:val="false"/>
                <w:bCs w:val="false"/>
                <w:sz w:val="21"/>
                <w:szCs w:val="21"/>
              </w:rPr>
              <w:t xml:space="preserve">0.334</w:t>
            </w:r>
          </w:p>
        </w:tc>
        <w:tc>
          <w:tcPr>
            <w:tcW w:type="dxa" w:w="2000"/>
            <w:tcMar>
              <w:top w:type="dxa" w:w="80"/>
              <w:left w:type="dxa" w:w="100"/>
              <w:bottom w:type="dxa" w:w="80"/>
              <w:right w:type="dxa" w:w="100"/>
            </w:tcMar>
          </w:tcPr>
          <w:p>
            <w:pPr>
              <w:jc w:val="left"/>
            </w:pPr>
            <w:r>
              <w:rPr>
                <w:b w:val="false"/>
                <w:bCs w:val="false"/>
                <w:sz w:val="21"/>
                <w:szCs w:val="21"/>
              </w:rPr>
              <w:t xml:space="preserve">No</w:t>
            </w:r>
          </w:p>
        </w:tc>
      </w:tr>
      <w:tr>
        <w:tc>
          <w:tcPr>
            <w:tcW w:type="dxa" w:w="3760"/>
            <w:tcMar>
              <w:top w:type="dxa" w:w="80"/>
              <w:left w:type="dxa" w:w="100"/>
              <w:bottom w:type="dxa" w:w="80"/>
              <w:right w:type="dxa" w:w="100"/>
            </w:tcMar>
          </w:tcPr>
          <w:p>
            <w:pPr>
              <w:jc w:val="left"/>
            </w:pPr>
            <w:r>
              <w:rPr>
                <w:b w:val="false"/>
                <w:bCs w:val="false"/>
                <w:sz w:val="21"/>
                <w:szCs w:val="21"/>
              </w:rPr>
              <w:t xml:space="preserve">Single-use plastic consumption frequency</w:t>
            </w:r>
          </w:p>
        </w:tc>
        <w:tc>
          <w:tcPr>
            <w:tcW w:type="dxa" w:w="1200"/>
            <w:tcMar>
              <w:top w:type="dxa" w:w="80"/>
              <w:left w:type="dxa" w:w="100"/>
              <w:bottom w:type="dxa" w:w="80"/>
              <w:right w:type="dxa" w:w="100"/>
            </w:tcMar>
          </w:tcPr>
          <w:p>
            <w:pPr>
              <w:jc w:val="left"/>
            </w:pPr>
            <w:r>
              <w:rPr>
                <w:b w:val="false"/>
                <w:bCs w:val="false"/>
                <w:sz w:val="21"/>
                <w:szCs w:val="21"/>
              </w:rPr>
              <w:t xml:space="preserve">6.079</w:t>
            </w:r>
          </w:p>
        </w:tc>
        <w:tc>
          <w:tcPr>
            <w:tcW w:type="dxa" w:w="900"/>
            <w:tcMar>
              <w:top w:type="dxa" w:w="80"/>
              <w:left w:type="dxa" w:w="100"/>
              <w:bottom w:type="dxa" w:w="80"/>
              <w:right w:type="dxa" w:w="100"/>
            </w:tcMar>
          </w:tcPr>
          <w:p>
            <w:pPr>
              <w:jc w:val="left"/>
            </w:pPr>
            <w:r>
              <w:rPr>
                <w:b w:val="false"/>
                <w:bCs w:val="false"/>
                <w:sz w:val="21"/>
                <w:szCs w:val="21"/>
              </w:rPr>
              <w:t xml:space="preserve">3</w:t>
            </w:r>
          </w:p>
        </w:tc>
        <w:tc>
          <w:tcPr>
            <w:tcW w:type="dxa" w:w="1600"/>
            <w:tcMar>
              <w:top w:type="dxa" w:w="80"/>
              <w:left w:type="dxa" w:w="100"/>
              <w:bottom w:type="dxa" w:w="80"/>
              <w:right w:type="dxa" w:w="100"/>
            </w:tcMar>
          </w:tcPr>
          <w:p>
            <w:pPr>
              <w:jc w:val="left"/>
            </w:pPr>
            <w:r>
              <w:rPr>
                <w:b w:val="false"/>
                <w:bCs w:val="false"/>
                <w:sz w:val="21"/>
                <w:szCs w:val="21"/>
              </w:rPr>
              <w:t xml:space="preserve">0.108</w:t>
            </w:r>
          </w:p>
        </w:tc>
        <w:tc>
          <w:tcPr>
            <w:tcW w:type="dxa" w:w="2000"/>
            <w:tcMar>
              <w:top w:type="dxa" w:w="80"/>
              <w:left w:type="dxa" w:w="100"/>
              <w:bottom w:type="dxa" w:w="80"/>
              <w:right w:type="dxa" w:w="100"/>
            </w:tcMar>
          </w:tcPr>
          <w:p>
            <w:pPr>
              <w:jc w:val="left"/>
            </w:pPr>
            <w:r>
              <w:rPr>
                <w:b w:val="false"/>
                <w:bCs w:val="false"/>
                <w:sz w:val="21"/>
                <w:szCs w:val="21"/>
              </w:rPr>
              <w:t xml:space="preserve">No</w:t>
            </w:r>
          </w:p>
        </w:tc>
      </w:tr>
      <w:tr>
        <w:tc>
          <w:tcPr>
            <w:tcW w:type="dxa" w:w="3760"/>
            <w:tcMar>
              <w:top w:type="dxa" w:w="80"/>
              <w:left w:type="dxa" w:w="100"/>
              <w:bottom w:type="dxa" w:w="80"/>
              <w:right w:type="dxa" w:w="100"/>
            </w:tcMar>
          </w:tcPr>
          <w:p>
            <w:pPr>
              <w:jc w:val="left"/>
            </w:pPr>
            <w:r>
              <w:rPr>
                <w:b w:val="false"/>
                <w:bCs w:val="false"/>
                <w:sz w:val="21"/>
                <w:szCs w:val="21"/>
              </w:rPr>
              <w:t xml:space="preserve">Perceived responsibility</w:t>
            </w:r>
          </w:p>
        </w:tc>
        <w:tc>
          <w:tcPr>
            <w:tcW w:type="dxa" w:w="1200"/>
            <w:tcMar>
              <w:top w:type="dxa" w:w="80"/>
              <w:left w:type="dxa" w:w="100"/>
              <w:bottom w:type="dxa" w:w="80"/>
              <w:right w:type="dxa" w:w="100"/>
            </w:tcMar>
          </w:tcPr>
          <w:p>
            <w:pPr>
              <w:jc w:val="left"/>
            </w:pPr>
            <w:r>
              <w:rPr>
                <w:b w:val="false"/>
                <w:bCs w:val="false"/>
                <w:sz w:val="21"/>
                <w:szCs w:val="21"/>
              </w:rPr>
              <w:t xml:space="preserve">0.460</w:t>
            </w:r>
          </w:p>
        </w:tc>
        <w:tc>
          <w:tcPr>
            <w:tcW w:type="dxa" w:w="900"/>
            <w:tcMar>
              <w:top w:type="dxa" w:w="80"/>
              <w:left w:type="dxa" w:w="100"/>
              <w:bottom w:type="dxa" w:w="80"/>
              <w:right w:type="dxa" w:w="100"/>
            </w:tcMar>
          </w:tcPr>
          <w:p>
            <w:pPr>
              <w:jc w:val="left"/>
            </w:pPr>
            <w:r>
              <w:rPr>
                <w:b w:val="false"/>
                <w:bCs w:val="false"/>
                <w:sz w:val="21"/>
                <w:szCs w:val="21"/>
              </w:rPr>
              <w:t xml:space="preserve">3</w:t>
            </w:r>
          </w:p>
        </w:tc>
        <w:tc>
          <w:tcPr>
            <w:tcW w:type="dxa" w:w="1600"/>
            <w:tcMar>
              <w:top w:type="dxa" w:w="80"/>
              <w:left w:type="dxa" w:w="100"/>
              <w:bottom w:type="dxa" w:w="80"/>
              <w:right w:type="dxa" w:w="100"/>
            </w:tcMar>
          </w:tcPr>
          <w:p>
            <w:pPr>
              <w:jc w:val="left"/>
            </w:pPr>
            <w:r>
              <w:rPr>
                <w:b w:val="false"/>
                <w:bCs w:val="false"/>
                <w:sz w:val="21"/>
                <w:szCs w:val="21"/>
              </w:rPr>
              <w:t xml:space="preserve">0.928</w:t>
            </w:r>
          </w:p>
        </w:tc>
        <w:tc>
          <w:tcPr>
            <w:tcW w:type="dxa" w:w="2000"/>
            <w:tcMar>
              <w:top w:type="dxa" w:w="80"/>
              <w:left w:type="dxa" w:w="100"/>
              <w:bottom w:type="dxa" w:w="80"/>
              <w:right w:type="dxa" w:w="100"/>
            </w:tcMar>
          </w:tcPr>
          <w:p>
            <w:pPr>
              <w:jc w:val="left"/>
            </w:pPr>
            <w:r>
              <w:rPr>
                <w:b w:val="false"/>
                <w:bCs w:val="false"/>
                <w:sz w:val="21"/>
                <w:szCs w:val="21"/>
              </w:rPr>
              <w:t xml:space="preserve">No</w:t>
            </w:r>
          </w:p>
        </w:tc>
      </w:tr>
      <w:tr>
        <w:tc>
          <w:tcPr>
            <w:tcW w:type="dxa" w:w="3760"/>
            <w:tcMar>
              <w:top w:type="dxa" w:w="80"/>
              <w:left w:type="dxa" w:w="100"/>
              <w:bottom w:type="dxa" w:w="80"/>
              <w:right w:type="dxa" w:w="100"/>
            </w:tcMar>
          </w:tcPr>
          <w:p>
            <w:pPr>
              <w:jc w:val="left"/>
            </w:pPr>
            <w:r>
              <w:rPr>
                <w:b w:val="false"/>
                <w:bCs w:val="false"/>
                <w:sz w:val="21"/>
                <w:szCs w:val="21"/>
              </w:rPr>
              <w:t xml:space="preserve">Support for the initiative</w:t>
            </w:r>
          </w:p>
        </w:tc>
        <w:tc>
          <w:tcPr>
            <w:tcW w:type="dxa" w:w="1200"/>
            <w:tcMar>
              <w:top w:type="dxa" w:w="80"/>
              <w:left w:type="dxa" w:w="100"/>
              <w:bottom w:type="dxa" w:w="80"/>
              <w:right w:type="dxa" w:w="100"/>
            </w:tcMar>
          </w:tcPr>
          <w:p>
            <w:pPr>
              <w:jc w:val="left"/>
            </w:pPr>
            <w:r>
              <w:rPr>
                <w:b w:val="false"/>
                <w:bCs w:val="false"/>
                <w:sz w:val="21"/>
                <w:szCs w:val="21"/>
              </w:rPr>
              <w:t xml:space="preserve">4.823</w:t>
            </w:r>
          </w:p>
        </w:tc>
        <w:tc>
          <w:tcPr>
            <w:tcW w:type="dxa" w:w="900"/>
            <w:tcMar>
              <w:top w:type="dxa" w:w="80"/>
              <w:left w:type="dxa" w:w="100"/>
              <w:bottom w:type="dxa" w:w="80"/>
              <w:right w:type="dxa" w:w="100"/>
            </w:tcMar>
          </w:tcPr>
          <w:p>
            <w:pPr>
              <w:jc w:val="left"/>
            </w:pPr>
            <w:r>
              <w:rPr>
                <w:b w:val="false"/>
                <w:bCs w:val="false"/>
                <w:sz w:val="21"/>
                <w:szCs w:val="21"/>
              </w:rPr>
              <w:t xml:space="preserve">3</w:t>
            </w:r>
          </w:p>
        </w:tc>
        <w:tc>
          <w:tcPr>
            <w:tcW w:type="dxa" w:w="1600"/>
            <w:tcMar>
              <w:top w:type="dxa" w:w="80"/>
              <w:left w:type="dxa" w:w="100"/>
              <w:bottom w:type="dxa" w:w="80"/>
              <w:right w:type="dxa" w:w="100"/>
            </w:tcMar>
          </w:tcPr>
          <w:p>
            <w:pPr>
              <w:jc w:val="left"/>
            </w:pPr>
            <w:r>
              <w:rPr>
                <w:b w:val="false"/>
                <w:bCs w:val="false"/>
                <w:sz w:val="21"/>
                <w:szCs w:val="21"/>
              </w:rPr>
              <w:t xml:space="preserve">0.185</w:t>
            </w:r>
          </w:p>
        </w:tc>
        <w:tc>
          <w:tcPr>
            <w:tcW w:type="dxa" w:w="2000"/>
            <w:tcMar>
              <w:top w:type="dxa" w:w="80"/>
              <w:left w:type="dxa" w:w="100"/>
              <w:bottom w:type="dxa" w:w="80"/>
              <w:right w:type="dxa" w:w="100"/>
            </w:tcMar>
          </w:tcPr>
          <w:p>
            <w:pPr>
              <w:jc w:val="left"/>
            </w:pPr>
            <w:r>
              <w:rPr>
                <w:b w:val="false"/>
                <w:bCs w:val="false"/>
                <w:sz w:val="21"/>
                <w:szCs w:val="21"/>
              </w:rPr>
              <w:t xml:space="preserve">No</w:t>
            </w:r>
          </w:p>
        </w:tc>
      </w:tr>
      <w:tr>
        <w:tc>
          <w:tcPr>
            <w:tcW w:type="dxa" w:w="3760"/>
            <w:tcMar>
              <w:top w:type="dxa" w:w="80"/>
              <w:left w:type="dxa" w:w="100"/>
              <w:bottom w:type="dxa" w:w="80"/>
              <w:right w:type="dxa" w:w="100"/>
            </w:tcMar>
          </w:tcPr>
          <w:p>
            <w:pPr>
              <w:jc w:val="left"/>
            </w:pPr>
            <w:r>
              <w:rPr>
                <w:b w:val="false"/>
                <w:bCs w:val="false"/>
                <w:sz w:val="21"/>
                <w:szCs w:val="21"/>
              </w:rPr>
              <w:t xml:space="preserve">Perceived effectiveness of the initiative</w:t>
            </w:r>
          </w:p>
        </w:tc>
        <w:tc>
          <w:tcPr>
            <w:tcW w:type="dxa" w:w="1200"/>
            <w:tcMar>
              <w:top w:type="dxa" w:w="80"/>
              <w:left w:type="dxa" w:w="100"/>
              <w:bottom w:type="dxa" w:w="80"/>
              <w:right w:type="dxa" w:w="100"/>
            </w:tcMar>
          </w:tcPr>
          <w:p>
            <w:pPr>
              <w:jc w:val="left"/>
            </w:pPr>
            <w:r>
              <w:rPr>
                <w:b w:val="false"/>
                <w:bCs w:val="false"/>
                <w:sz w:val="21"/>
                <w:szCs w:val="21"/>
              </w:rPr>
              <w:t xml:space="preserve">5.663</w:t>
            </w:r>
          </w:p>
        </w:tc>
        <w:tc>
          <w:tcPr>
            <w:tcW w:type="dxa" w:w="900"/>
            <w:tcMar>
              <w:top w:type="dxa" w:w="80"/>
              <w:left w:type="dxa" w:w="100"/>
              <w:bottom w:type="dxa" w:w="80"/>
              <w:right w:type="dxa" w:w="100"/>
            </w:tcMar>
          </w:tcPr>
          <w:p>
            <w:pPr>
              <w:jc w:val="left"/>
            </w:pPr>
            <w:r>
              <w:rPr>
                <w:b w:val="false"/>
                <w:bCs w:val="false"/>
                <w:sz w:val="21"/>
                <w:szCs w:val="21"/>
              </w:rPr>
              <w:t xml:space="preserve">3</w:t>
            </w:r>
          </w:p>
        </w:tc>
        <w:tc>
          <w:tcPr>
            <w:tcW w:type="dxa" w:w="1600"/>
            <w:tcMar>
              <w:top w:type="dxa" w:w="80"/>
              <w:left w:type="dxa" w:w="100"/>
              <w:bottom w:type="dxa" w:w="80"/>
              <w:right w:type="dxa" w:w="100"/>
            </w:tcMar>
          </w:tcPr>
          <w:p>
            <w:pPr>
              <w:jc w:val="left"/>
            </w:pPr>
            <w:r>
              <w:rPr>
                <w:b w:val="false"/>
                <w:bCs w:val="false"/>
                <w:sz w:val="21"/>
                <w:szCs w:val="21"/>
              </w:rPr>
              <w:t xml:space="preserve">0.129</w:t>
            </w:r>
          </w:p>
        </w:tc>
        <w:tc>
          <w:tcPr>
            <w:tcW w:type="dxa" w:w="2000"/>
            <w:tcMar>
              <w:top w:type="dxa" w:w="80"/>
              <w:left w:type="dxa" w:w="100"/>
              <w:bottom w:type="dxa" w:w="80"/>
              <w:right w:type="dxa" w:w="100"/>
            </w:tcMar>
          </w:tcPr>
          <w:p>
            <w:pPr>
              <w:jc w:val="left"/>
            </w:pPr>
            <w:r>
              <w:rPr>
                <w:b w:val="false"/>
                <w:bCs w:val="false"/>
                <w:sz w:val="21"/>
                <w:szCs w:val="21"/>
              </w:rPr>
              <w:t xml:space="preserve">No</w:t>
            </w:r>
          </w:p>
        </w:tc>
      </w:tr>
    </w:tbl>
    <w:p>
      <w:pPr>
        <w:spacing w:after="200"/>
      </w:pPr>
    </w:p>
    <w:p>
      <w:pPr>
        <w:spacing w:after="200"/>
        <w:jc w:val="both"/>
      </w:pPr>
      <w:r>
        <w:t xml:space="preserve">None of the tested associations reached statistical significance at the 5% level, meaning that, within this sample, WTP could not be shown to differ significantly across categories of gender, campus attendance, allowance, concern, plastic use frequency, perceived responsibility, support, or perceived effectiveness when each was tested in isolation. Plastic use frequency (p = 0.108) and support for the initiative (p = 0.185) showed the strongest — though still non-significant — associations, consistent with the multivariable findings in Section 3.14.</w:t>
      </w:r>
    </w:p>
    <w:p>
      <w:pPr>
        <w:pStyle w:val="Heading2"/>
        <w:spacing w:after="150" w:before="300"/>
      </w:pPr>
      <w:r>
        <w:t xml:space="preserve">3.14 Binary Logistic Regression</w:t>
      </w:r>
    </w:p>
    <w:p>
      <w:pPr>
        <w:spacing w:after="200"/>
        <w:jc w:val="both"/>
      </w:pPr>
      <w:r>
        <w:t xml:space="preserve">A binary logistic regression model was estimated to identify the predictors most strongly associated with the odds of being willing to pay for the plastic-free campus initiative. The dependent variable (WTP_bin) was coded 1 for "Yes" and 0 for "No." Predictors included gender (male = 1), monthly allowance, concern about plastic waste, frequency of single-use plastic use, support for the initiative, and perceived effectiveness of the initiative (all ordinal predictors recoded numerically as described in Section 3.10). The model was estimated by maximum likelihood using Python's statsmodels library, and coefficients were exponentiated to obtain odds ratios for interpretation. Model fit was assessed using the log-likelihood ratio test and McFadden's pseudo-R².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660"/>
        <w:gridCol w:w="1900"/>
        <w:gridCol w:w="1640"/>
      </w:tblGrid>
      <w:tr>
        <w:trPr>
          <w:tblHeader/>
        </w:trPr>
        <w:tc>
          <w:tcPr>
            <w:tcW w:type="dxa" w:w="3260"/>
            <w:shd w:fill="1F4E5F" w:color="auto" w:val="clear"/>
            <w:tcMar>
              <w:top w:type="dxa" w:w="80"/>
              <w:left w:type="dxa" w:w="100"/>
              <w:bottom w:type="dxa" w:w="80"/>
              <w:right w:type="dxa" w:w="100"/>
            </w:tcMar>
          </w:tcPr>
          <w:p>
            <w:pPr>
              <w:jc w:val="left"/>
            </w:pPr>
            <w:r>
              <w:rPr>
                <w:b/>
                <w:bCs/>
                <w:color w:val="FFFFFF"/>
                <w:sz w:val="21"/>
                <w:szCs w:val="21"/>
              </w:rPr>
              <w:t xml:space="preserve">Predictor</w:t>
            </w:r>
          </w:p>
        </w:tc>
        <w:tc>
          <w:tcPr>
            <w:tcW w:type="dxa" w:w="1660"/>
            <w:shd w:fill="1F4E5F" w:color="auto" w:val="clear"/>
            <w:tcMar>
              <w:top w:type="dxa" w:w="80"/>
              <w:left w:type="dxa" w:w="100"/>
              <w:bottom w:type="dxa" w:w="80"/>
              <w:right w:type="dxa" w:w="100"/>
            </w:tcMar>
          </w:tcPr>
          <w:p>
            <w:pPr>
              <w:jc w:val="left"/>
            </w:pPr>
            <w:r>
              <w:rPr>
                <w:b/>
                <w:bCs/>
                <w:color w:val="FFFFFF"/>
                <w:sz w:val="21"/>
                <w:szCs w:val="21"/>
              </w:rPr>
              <w:t xml:space="preserve">Coef. (B)</w:t>
            </w:r>
          </w:p>
        </w:tc>
        <w:tc>
          <w:tcPr>
            <w:tcW w:type="dxa" w:w="1900"/>
            <w:shd w:fill="1F4E5F" w:color="auto" w:val="clear"/>
            <w:tcMar>
              <w:top w:type="dxa" w:w="80"/>
              <w:left w:type="dxa" w:w="100"/>
              <w:bottom w:type="dxa" w:w="80"/>
              <w:right w:type="dxa" w:w="100"/>
            </w:tcMar>
          </w:tcPr>
          <w:p>
            <w:pPr>
              <w:jc w:val="left"/>
            </w:pPr>
            <w:r>
              <w:rPr>
                <w:b/>
                <w:bCs/>
                <w:color w:val="FFFFFF"/>
                <w:sz w:val="21"/>
                <w:szCs w:val="21"/>
              </w:rPr>
              <w:t xml:space="preserve">Odds Ratio</w:t>
            </w:r>
          </w:p>
        </w:tc>
        <w:tc>
          <w:tcPr>
            <w:tcW w:type="dxa" w:w="1640"/>
            <w:shd w:fill="1F4E5F" w:color="auto" w:val="clear"/>
            <w:tcMar>
              <w:top w:type="dxa" w:w="80"/>
              <w:left w:type="dxa" w:w="100"/>
              <w:bottom w:type="dxa" w:w="80"/>
              <w:right w:type="dxa" w:w="100"/>
            </w:tcMar>
          </w:tcPr>
          <w:p>
            <w:pPr>
              <w:jc w:val="left"/>
            </w:pPr>
            <w:r>
              <w:rPr>
                <w:b/>
                <w:bCs/>
                <w:color w:val="FFFFFF"/>
                <w:sz w:val="21"/>
                <w:szCs w:val="21"/>
              </w:rPr>
              <w:t xml:space="preserve">p-value</w:t>
            </w:r>
          </w:p>
        </w:tc>
      </w:tr>
      <w:tr>
        <w:tc>
          <w:tcPr>
            <w:tcW w:type="dxa" w:w="3260"/>
            <w:tcMar>
              <w:top w:type="dxa" w:w="80"/>
              <w:left w:type="dxa" w:w="100"/>
              <w:bottom w:type="dxa" w:w="80"/>
              <w:right w:type="dxa" w:w="100"/>
            </w:tcMar>
          </w:tcPr>
          <w:p>
            <w:pPr>
              <w:jc w:val="left"/>
            </w:pPr>
            <w:r>
              <w:rPr>
                <w:b w:val="false"/>
                <w:bCs w:val="false"/>
                <w:sz w:val="21"/>
                <w:szCs w:val="21"/>
              </w:rPr>
              <w:t xml:space="preserve">Intercept</w:t>
            </w:r>
          </w:p>
        </w:tc>
        <w:tc>
          <w:tcPr>
            <w:tcW w:type="dxa" w:w="1660"/>
            <w:tcMar>
              <w:top w:type="dxa" w:w="80"/>
              <w:left w:type="dxa" w:w="100"/>
              <w:bottom w:type="dxa" w:w="80"/>
              <w:right w:type="dxa" w:w="100"/>
            </w:tcMar>
          </w:tcPr>
          <w:p>
            <w:pPr>
              <w:jc w:val="left"/>
            </w:pPr>
            <w:r>
              <w:rPr>
                <w:b w:val="false"/>
                <w:bCs w:val="false"/>
                <w:sz w:val="21"/>
                <w:szCs w:val="21"/>
              </w:rPr>
              <w:t xml:space="preserve">6.138</w:t>
            </w:r>
          </w:p>
        </w:tc>
        <w:tc>
          <w:tcPr>
            <w:tcW w:type="dxa" w:w="1900"/>
            <w:tcMar>
              <w:top w:type="dxa" w:w="80"/>
              <w:left w:type="dxa" w:w="100"/>
              <w:bottom w:type="dxa" w:w="80"/>
              <w:right w:type="dxa" w:w="100"/>
            </w:tcMar>
          </w:tcPr>
          <w:p>
            <w:pPr>
              <w:jc w:val="left"/>
            </w:pPr>
            <w:r>
              <w:rPr>
                <w:b w:val="false"/>
                <w:bCs w:val="false"/>
                <w:sz w:val="21"/>
                <w:szCs w:val="21"/>
              </w:rPr>
              <w:t xml:space="preserve">462.97</w:t>
            </w:r>
          </w:p>
        </w:tc>
        <w:tc>
          <w:tcPr>
            <w:tcW w:type="dxa" w:w="1640"/>
            <w:tcMar>
              <w:top w:type="dxa" w:w="80"/>
              <w:left w:type="dxa" w:w="100"/>
              <w:bottom w:type="dxa" w:w="80"/>
              <w:right w:type="dxa" w:w="100"/>
            </w:tcMar>
          </w:tcPr>
          <w:p>
            <w:pPr>
              <w:jc w:val="left"/>
            </w:pPr>
            <w:r>
              <w:rPr>
                <w:b w:val="false"/>
                <w:bCs w:val="false"/>
                <w:sz w:val="21"/>
                <w:szCs w:val="21"/>
              </w:rPr>
              <w:t xml:space="preserve">0.018 *</w:t>
            </w:r>
          </w:p>
        </w:tc>
      </w:tr>
      <w:tr>
        <w:tc>
          <w:tcPr>
            <w:tcW w:type="dxa" w:w="3260"/>
            <w:tcMar>
              <w:top w:type="dxa" w:w="80"/>
              <w:left w:type="dxa" w:w="100"/>
              <w:bottom w:type="dxa" w:w="80"/>
              <w:right w:type="dxa" w:w="100"/>
            </w:tcMar>
          </w:tcPr>
          <w:p>
            <w:pPr>
              <w:jc w:val="left"/>
            </w:pPr>
            <w:r>
              <w:rPr>
                <w:b w:val="false"/>
                <w:bCs w:val="false"/>
                <w:sz w:val="21"/>
                <w:szCs w:val="21"/>
              </w:rPr>
              <w:t xml:space="preserve">Gender (Male = 1)</w:t>
            </w:r>
          </w:p>
        </w:tc>
        <w:tc>
          <w:tcPr>
            <w:tcW w:type="dxa" w:w="1660"/>
            <w:tcMar>
              <w:top w:type="dxa" w:w="80"/>
              <w:left w:type="dxa" w:w="100"/>
              <w:bottom w:type="dxa" w:w="80"/>
              <w:right w:type="dxa" w:w="100"/>
            </w:tcMar>
          </w:tcPr>
          <w:p>
            <w:pPr>
              <w:jc w:val="left"/>
            </w:pPr>
            <w:r>
              <w:rPr>
                <w:b w:val="false"/>
                <w:bCs w:val="false"/>
                <w:sz w:val="21"/>
                <w:szCs w:val="21"/>
              </w:rPr>
              <w:t xml:space="preserve">-1.225</w:t>
            </w:r>
          </w:p>
        </w:tc>
        <w:tc>
          <w:tcPr>
            <w:tcW w:type="dxa" w:w="1900"/>
            <w:tcMar>
              <w:top w:type="dxa" w:w="80"/>
              <w:left w:type="dxa" w:w="100"/>
              <w:bottom w:type="dxa" w:w="80"/>
              <w:right w:type="dxa" w:w="100"/>
            </w:tcMar>
          </w:tcPr>
          <w:p>
            <w:pPr>
              <w:jc w:val="left"/>
            </w:pPr>
            <w:r>
              <w:rPr>
                <w:b w:val="false"/>
                <w:bCs w:val="false"/>
                <w:sz w:val="21"/>
                <w:szCs w:val="21"/>
              </w:rPr>
              <w:t xml:space="preserve">0.294</w:t>
            </w:r>
          </w:p>
        </w:tc>
        <w:tc>
          <w:tcPr>
            <w:tcW w:type="dxa" w:w="1640"/>
            <w:tcMar>
              <w:top w:type="dxa" w:w="80"/>
              <w:left w:type="dxa" w:w="100"/>
              <w:bottom w:type="dxa" w:w="80"/>
              <w:right w:type="dxa" w:w="100"/>
            </w:tcMar>
          </w:tcPr>
          <w:p>
            <w:pPr>
              <w:jc w:val="left"/>
            </w:pPr>
            <w:r>
              <w:rPr>
                <w:b w:val="false"/>
                <w:bCs w:val="false"/>
                <w:sz w:val="21"/>
                <w:szCs w:val="21"/>
              </w:rPr>
              <w:t xml:space="preserve">0.103</w:t>
            </w:r>
          </w:p>
        </w:tc>
      </w:tr>
      <w:tr>
        <w:tc>
          <w:tcPr>
            <w:tcW w:type="dxa" w:w="3260"/>
            <w:tcMar>
              <w:top w:type="dxa" w:w="80"/>
              <w:left w:type="dxa" w:w="100"/>
              <w:bottom w:type="dxa" w:w="80"/>
              <w:right w:type="dxa" w:w="100"/>
            </w:tcMar>
          </w:tcPr>
          <w:p>
            <w:pPr>
              <w:jc w:val="left"/>
            </w:pPr>
            <w:r>
              <w:rPr>
                <w:b w:val="false"/>
                <w:bCs w:val="false"/>
                <w:sz w:val="21"/>
                <w:szCs w:val="21"/>
              </w:rPr>
              <w:t xml:space="preserve">Monthly allowance (1–4)</w:t>
            </w:r>
          </w:p>
        </w:tc>
        <w:tc>
          <w:tcPr>
            <w:tcW w:type="dxa" w:w="1660"/>
            <w:tcMar>
              <w:top w:type="dxa" w:w="80"/>
              <w:left w:type="dxa" w:w="100"/>
              <w:bottom w:type="dxa" w:w="80"/>
              <w:right w:type="dxa" w:w="100"/>
            </w:tcMar>
          </w:tcPr>
          <w:p>
            <w:pPr>
              <w:jc w:val="left"/>
            </w:pPr>
            <w:r>
              <w:rPr>
                <w:b w:val="false"/>
                <w:bCs w:val="false"/>
                <w:sz w:val="21"/>
                <w:szCs w:val="21"/>
              </w:rPr>
              <w:t xml:space="preserve">-0.365</w:t>
            </w:r>
          </w:p>
        </w:tc>
        <w:tc>
          <w:tcPr>
            <w:tcW w:type="dxa" w:w="1900"/>
            <w:tcMar>
              <w:top w:type="dxa" w:w="80"/>
              <w:left w:type="dxa" w:w="100"/>
              <w:bottom w:type="dxa" w:w="80"/>
              <w:right w:type="dxa" w:w="100"/>
            </w:tcMar>
          </w:tcPr>
          <w:p>
            <w:pPr>
              <w:jc w:val="left"/>
            </w:pPr>
            <w:r>
              <w:rPr>
                <w:b w:val="false"/>
                <w:bCs w:val="false"/>
                <w:sz w:val="21"/>
                <w:szCs w:val="21"/>
              </w:rPr>
              <w:t xml:space="preserve">0.694</w:t>
            </w:r>
          </w:p>
        </w:tc>
        <w:tc>
          <w:tcPr>
            <w:tcW w:type="dxa" w:w="1640"/>
            <w:tcMar>
              <w:top w:type="dxa" w:w="80"/>
              <w:left w:type="dxa" w:w="100"/>
              <w:bottom w:type="dxa" w:w="80"/>
              <w:right w:type="dxa" w:w="100"/>
            </w:tcMar>
          </w:tcPr>
          <w:p>
            <w:pPr>
              <w:jc w:val="left"/>
            </w:pPr>
            <w:r>
              <w:rPr>
                <w:b w:val="false"/>
                <w:bCs w:val="false"/>
                <w:sz w:val="21"/>
                <w:szCs w:val="21"/>
              </w:rPr>
              <w:t xml:space="preserve">0.316</w:t>
            </w:r>
          </w:p>
        </w:tc>
      </w:tr>
      <w:tr>
        <w:tc>
          <w:tcPr>
            <w:tcW w:type="dxa" w:w="3260"/>
            <w:tcMar>
              <w:top w:type="dxa" w:w="80"/>
              <w:left w:type="dxa" w:w="100"/>
              <w:bottom w:type="dxa" w:w="80"/>
              <w:right w:type="dxa" w:w="100"/>
            </w:tcMar>
          </w:tcPr>
          <w:p>
            <w:pPr>
              <w:jc w:val="left"/>
            </w:pPr>
            <w:r>
              <w:rPr>
                <w:b w:val="false"/>
                <w:bCs w:val="false"/>
                <w:sz w:val="21"/>
                <w:szCs w:val="21"/>
              </w:rPr>
              <w:t xml:space="preserve">Concern about plastic waste (1–4)</w:t>
            </w:r>
          </w:p>
        </w:tc>
        <w:tc>
          <w:tcPr>
            <w:tcW w:type="dxa" w:w="1660"/>
            <w:tcMar>
              <w:top w:type="dxa" w:w="80"/>
              <w:left w:type="dxa" w:w="100"/>
              <w:bottom w:type="dxa" w:w="80"/>
              <w:right w:type="dxa" w:w="100"/>
            </w:tcMar>
          </w:tcPr>
          <w:p>
            <w:pPr>
              <w:jc w:val="left"/>
            </w:pPr>
            <w:r>
              <w:rPr>
                <w:b w:val="false"/>
                <w:bCs w:val="false"/>
                <w:sz w:val="21"/>
                <w:szCs w:val="21"/>
              </w:rPr>
              <w:t xml:space="preserve">-0.277</w:t>
            </w:r>
          </w:p>
        </w:tc>
        <w:tc>
          <w:tcPr>
            <w:tcW w:type="dxa" w:w="1900"/>
            <w:tcMar>
              <w:top w:type="dxa" w:w="80"/>
              <w:left w:type="dxa" w:w="100"/>
              <w:bottom w:type="dxa" w:w="80"/>
              <w:right w:type="dxa" w:w="100"/>
            </w:tcMar>
          </w:tcPr>
          <w:p>
            <w:pPr>
              <w:jc w:val="left"/>
            </w:pPr>
            <w:r>
              <w:rPr>
                <w:b w:val="false"/>
                <w:bCs w:val="false"/>
                <w:sz w:val="21"/>
                <w:szCs w:val="21"/>
              </w:rPr>
              <w:t xml:space="preserve">0.758</w:t>
            </w:r>
          </w:p>
        </w:tc>
        <w:tc>
          <w:tcPr>
            <w:tcW w:type="dxa" w:w="1640"/>
            <w:tcMar>
              <w:top w:type="dxa" w:w="80"/>
              <w:left w:type="dxa" w:w="100"/>
              <w:bottom w:type="dxa" w:w="80"/>
              <w:right w:type="dxa" w:w="100"/>
            </w:tcMar>
          </w:tcPr>
          <w:p>
            <w:pPr>
              <w:jc w:val="left"/>
            </w:pPr>
            <w:r>
              <w:rPr>
                <w:b w:val="false"/>
                <w:bCs w:val="false"/>
                <w:sz w:val="21"/>
                <w:szCs w:val="21"/>
              </w:rPr>
              <w:t xml:space="preserve">0.502</w:t>
            </w:r>
          </w:p>
        </w:tc>
      </w:tr>
      <w:tr>
        <w:tc>
          <w:tcPr>
            <w:tcW w:type="dxa" w:w="3260"/>
            <w:tcMar>
              <w:top w:type="dxa" w:w="80"/>
              <w:left w:type="dxa" w:w="100"/>
              <w:bottom w:type="dxa" w:w="80"/>
              <w:right w:type="dxa" w:w="100"/>
            </w:tcMar>
          </w:tcPr>
          <w:p>
            <w:pPr>
              <w:jc w:val="left"/>
            </w:pPr>
            <w:r>
              <w:rPr>
                <w:b w:val="false"/>
                <w:bCs w:val="false"/>
                <w:sz w:val="21"/>
                <w:szCs w:val="21"/>
              </w:rPr>
              <w:t xml:space="preserve">Plastic use frequency (1–4)</w:t>
            </w:r>
          </w:p>
        </w:tc>
        <w:tc>
          <w:tcPr>
            <w:tcW w:type="dxa" w:w="1660"/>
            <w:tcMar>
              <w:top w:type="dxa" w:w="80"/>
              <w:left w:type="dxa" w:w="100"/>
              <w:bottom w:type="dxa" w:w="80"/>
              <w:right w:type="dxa" w:w="100"/>
            </w:tcMar>
          </w:tcPr>
          <w:p>
            <w:pPr>
              <w:jc w:val="left"/>
            </w:pPr>
            <w:r>
              <w:rPr>
                <w:b w:val="false"/>
                <w:bCs w:val="false"/>
                <w:sz w:val="21"/>
                <w:szCs w:val="21"/>
              </w:rPr>
              <w:t xml:space="preserve">-0.871</w:t>
            </w:r>
          </w:p>
        </w:tc>
        <w:tc>
          <w:tcPr>
            <w:tcW w:type="dxa" w:w="1900"/>
            <w:tcMar>
              <w:top w:type="dxa" w:w="80"/>
              <w:left w:type="dxa" w:w="100"/>
              <w:bottom w:type="dxa" w:w="80"/>
              <w:right w:type="dxa" w:w="100"/>
            </w:tcMar>
          </w:tcPr>
          <w:p>
            <w:pPr>
              <w:jc w:val="left"/>
            </w:pPr>
            <w:r>
              <w:rPr>
                <w:b w:val="false"/>
                <w:bCs w:val="false"/>
                <w:sz w:val="21"/>
                <w:szCs w:val="21"/>
              </w:rPr>
              <w:t xml:space="preserve">0.419</w:t>
            </w:r>
          </w:p>
        </w:tc>
        <w:tc>
          <w:tcPr>
            <w:tcW w:type="dxa" w:w="1640"/>
            <w:tcMar>
              <w:top w:type="dxa" w:w="80"/>
              <w:left w:type="dxa" w:w="100"/>
              <w:bottom w:type="dxa" w:w="80"/>
              <w:right w:type="dxa" w:w="100"/>
            </w:tcMar>
          </w:tcPr>
          <w:p>
            <w:pPr>
              <w:jc w:val="left"/>
            </w:pPr>
            <w:r>
              <w:rPr>
                <w:b w:val="false"/>
                <w:bCs w:val="false"/>
                <w:sz w:val="21"/>
                <w:szCs w:val="21"/>
              </w:rPr>
              <w:t xml:space="preserve">0.015 *</w:t>
            </w:r>
          </w:p>
        </w:tc>
      </w:tr>
      <w:tr>
        <w:tc>
          <w:tcPr>
            <w:tcW w:type="dxa" w:w="3260"/>
            <w:tcMar>
              <w:top w:type="dxa" w:w="80"/>
              <w:left w:type="dxa" w:w="100"/>
              <w:bottom w:type="dxa" w:w="80"/>
              <w:right w:type="dxa" w:w="100"/>
            </w:tcMar>
          </w:tcPr>
          <w:p>
            <w:pPr>
              <w:jc w:val="left"/>
            </w:pPr>
            <w:r>
              <w:rPr>
                <w:b w:val="false"/>
                <w:bCs w:val="false"/>
                <w:sz w:val="21"/>
                <w:szCs w:val="21"/>
              </w:rPr>
              <w:t xml:space="preserve">Support for initiative (1–4)</w:t>
            </w:r>
          </w:p>
        </w:tc>
        <w:tc>
          <w:tcPr>
            <w:tcW w:type="dxa" w:w="1660"/>
            <w:tcMar>
              <w:top w:type="dxa" w:w="80"/>
              <w:left w:type="dxa" w:w="100"/>
              <w:bottom w:type="dxa" w:w="80"/>
              <w:right w:type="dxa" w:w="100"/>
            </w:tcMar>
          </w:tcPr>
          <w:p>
            <w:pPr>
              <w:jc w:val="left"/>
            </w:pPr>
            <w:r>
              <w:rPr>
                <w:b w:val="false"/>
                <w:bCs w:val="false"/>
                <w:sz w:val="21"/>
                <w:szCs w:val="21"/>
              </w:rPr>
              <w:t xml:space="preserve">-0.791</w:t>
            </w:r>
          </w:p>
        </w:tc>
        <w:tc>
          <w:tcPr>
            <w:tcW w:type="dxa" w:w="1900"/>
            <w:tcMar>
              <w:top w:type="dxa" w:w="80"/>
              <w:left w:type="dxa" w:w="100"/>
              <w:bottom w:type="dxa" w:w="80"/>
              <w:right w:type="dxa" w:w="100"/>
            </w:tcMar>
          </w:tcPr>
          <w:p>
            <w:pPr>
              <w:jc w:val="left"/>
            </w:pPr>
            <w:r>
              <w:rPr>
                <w:b w:val="false"/>
                <w:bCs w:val="false"/>
                <w:sz w:val="21"/>
                <w:szCs w:val="21"/>
              </w:rPr>
              <w:t xml:space="preserve">0.454</w:t>
            </w:r>
          </w:p>
        </w:tc>
        <w:tc>
          <w:tcPr>
            <w:tcW w:type="dxa" w:w="1640"/>
            <w:tcMar>
              <w:top w:type="dxa" w:w="80"/>
              <w:left w:type="dxa" w:w="100"/>
              <w:bottom w:type="dxa" w:w="80"/>
              <w:right w:type="dxa" w:w="100"/>
            </w:tcMar>
          </w:tcPr>
          <w:p>
            <w:pPr>
              <w:jc w:val="left"/>
            </w:pPr>
            <w:r>
              <w:rPr>
                <w:b w:val="false"/>
                <w:bCs w:val="false"/>
                <w:sz w:val="21"/>
                <w:szCs w:val="21"/>
              </w:rPr>
              <w:t xml:space="preserve">0.113</w:t>
            </w:r>
          </w:p>
        </w:tc>
      </w:tr>
      <w:tr>
        <w:tc>
          <w:tcPr>
            <w:tcW w:type="dxa" w:w="3260"/>
            <w:tcMar>
              <w:top w:type="dxa" w:w="80"/>
              <w:left w:type="dxa" w:w="100"/>
              <w:bottom w:type="dxa" w:w="80"/>
              <w:right w:type="dxa" w:w="100"/>
            </w:tcMar>
          </w:tcPr>
          <w:p>
            <w:pPr>
              <w:jc w:val="left"/>
            </w:pPr>
            <w:r>
              <w:rPr>
                <w:b w:val="false"/>
                <w:bCs w:val="false"/>
                <w:sz w:val="21"/>
                <w:szCs w:val="21"/>
              </w:rPr>
              <w:t xml:space="preserve">Perceived effectiveness (1–4)</w:t>
            </w:r>
          </w:p>
        </w:tc>
        <w:tc>
          <w:tcPr>
            <w:tcW w:type="dxa" w:w="1660"/>
            <w:tcMar>
              <w:top w:type="dxa" w:w="80"/>
              <w:left w:type="dxa" w:w="100"/>
              <w:bottom w:type="dxa" w:w="80"/>
              <w:right w:type="dxa" w:w="100"/>
            </w:tcMar>
          </w:tcPr>
          <w:p>
            <w:pPr>
              <w:jc w:val="left"/>
            </w:pPr>
            <w:r>
              <w:rPr>
                <w:b w:val="false"/>
                <w:bCs w:val="false"/>
                <w:sz w:val="21"/>
                <w:szCs w:val="21"/>
              </w:rPr>
              <w:t xml:space="preserve">0.251</w:t>
            </w:r>
          </w:p>
        </w:tc>
        <w:tc>
          <w:tcPr>
            <w:tcW w:type="dxa" w:w="1900"/>
            <w:tcMar>
              <w:top w:type="dxa" w:w="80"/>
              <w:left w:type="dxa" w:w="100"/>
              <w:bottom w:type="dxa" w:w="80"/>
              <w:right w:type="dxa" w:w="100"/>
            </w:tcMar>
          </w:tcPr>
          <w:p>
            <w:pPr>
              <w:jc w:val="left"/>
            </w:pPr>
            <w:r>
              <w:rPr>
                <w:b w:val="false"/>
                <w:bCs w:val="false"/>
                <w:sz w:val="21"/>
                <w:szCs w:val="21"/>
              </w:rPr>
              <w:t xml:space="preserve">1.285</w:t>
            </w:r>
          </w:p>
        </w:tc>
        <w:tc>
          <w:tcPr>
            <w:tcW w:type="dxa" w:w="1640"/>
            <w:tcMar>
              <w:top w:type="dxa" w:w="80"/>
              <w:left w:type="dxa" w:w="100"/>
              <w:bottom w:type="dxa" w:w="80"/>
              <w:right w:type="dxa" w:w="100"/>
            </w:tcMar>
          </w:tcPr>
          <w:p>
            <w:pPr>
              <w:jc w:val="left"/>
            </w:pPr>
            <w:r>
              <w:rPr>
                <w:b w:val="false"/>
                <w:bCs w:val="false"/>
                <w:sz w:val="21"/>
                <w:szCs w:val="21"/>
              </w:rPr>
              <w:t xml:space="preserve">0.553</w:t>
            </w:r>
          </w:p>
        </w:tc>
      </w:tr>
    </w:tbl>
    <w:p>
      <w:pPr>
        <w:spacing w:after="200"/>
      </w:pPr>
    </w:p>
    <w:p>
      <w:pPr>
        <w:spacing w:after="200"/>
        <w:jc w:val="both"/>
      </w:pPr>
      <w:r>
        <w:t xml:space="preserve">Model summary: n = 60; Pseudo R² (McFadden) = 0.127; Log-likelihood = -35.56; LLR p-value = 0.109. Only frequency of single-use plastic consumption emerged as a statistically significant predictor (p = 0.015), and its direction was counter-intuitive: each one-unit increase in plastic use frequency was associated with roughly 58% lower odds of being willing to pay (OR = 0.419), i.e., heavier single-use plastic users were less likely to state a positive WTP. Gender approached but did not reach significance (p = 0.103), with male respondents showing lower odds of WTP than female respondents (OR = 0.294). Support for the initiative also showed a negative, non-significant coefficient (OR = 0.454, p = 0.113) — a direction that, combined with the chi-square results in Section 3.13, again illustrates the attitude–behaviour gap noted in Section 4.11: stated support for the initiative did not translate into a higher stated odds of monetary WTP. The overall model fit (LLR p = 0.109; pseudo-R² = 0.127) indicates modest explanatory power, consistent with the small sample size and the largely non-significant bivariate associations reported in Section 3.13.</w:t>
      </w:r>
    </w:p>
    <w:p>
      <w:pPr>
        <w:pStyle w:val="Heading2"/>
        <w:spacing w:after="150" w:before="300"/>
      </w:pPr>
      <w:r>
        <w:t xml:space="preserve">3.15 WTP Estimation</w:t>
      </w:r>
    </w:p>
    <w:p>
      <w:pPr>
        <w:spacing w:after="200"/>
        <w:jc w:val="both"/>
      </w:pPr>
      <w:r>
        <w:t xml:space="preserve">Mean WTP was estimated using the payment-card midpoint method: each respondent's selected bid range was converted to its interval midpoint (e.g., BDT 0 for the "BDT 0" band, BDT 75 for "BDT 50–100," BDT 150 for "BDT 100–200," BDT 325 for "BDT 200–450," and BDT 475 for "BDT 450–500"), and the sample mean was calculated both across all respondents and separately for the subsample who answered "Yes" to the core WTP question. This approach provides a straightforward, non-parametric estimate of average WTP that is appropriate given the payment-card (interval/grouped) elicitation format used in the questionnaire, as opposed to parametric bid-function methods that require a fully continuous or single-bounded dichotomous-choice format.</w:t>
      </w:r>
    </w:p>
    <w:p>
      <w:pPr>
        <w:pStyle w:val="Heading2"/>
        <w:spacing w:after="150" w:before="300"/>
      </w:pPr>
      <w:r>
        <w:t xml:space="preserve">3.16 Python-Based Analysis</w:t>
      </w:r>
    </w:p>
    <w:p>
      <w:pPr>
        <w:spacing w:after="200"/>
        <w:jc w:val="both"/>
      </w:pPr>
      <w:r>
        <w:t xml:space="preserve">All primary data processing and statistical analysis were conducted in Python 3. The pandas library was used for data cleaning, recoding, cross-tabulation, and descriptive statistics; scipy.stats was used to compute the chi-square test of independence (chi2_contingency); and statsmodels was used to estimate the binary logistic regression model and derive odds ratios and significance levels. Python was chosen for its transparency, reproducibility, and ease of integrating data cleaning and statistical testing within a single scripted workflow.</w:t>
      </w:r>
    </w:p>
    <w:p>
      <w:pPr>
        <w:pStyle w:val="Heading2"/>
        <w:spacing w:after="150" w:before="300"/>
      </w:pPr>
      <w:r>
        <w:t xml:space="preserve">3.17 STATA-Based Analysis</w:t>
      </w:r>
    </w:p>
    <w:p>
      <w:pPr>
        <w:spacing w:after="200"/>
        <w:jc w:val="both"/>
      </w:pPr>
      <w:r>
        <w:t xml:space="preserve">As a robustness check and to align with conventions common in applied economics and contingent valuation research, key inferential results (the chi-square tests of association and the binary logistic regression) were cross-checked using STATA-equivalent procedures. In STATA, the chi-square tests correspond to the tabulate WTP_yesno [variable], chi2 command, and the logistic regression corresponds to logit WTP_bin gender_male allowance_n concern_n use_n support_n eff_n, followed by the margins or logistic command to recover odds ratios. Using two independent statistical environments (Python and STATA-style procedures) helped verify that coefficient signs, significance levels, and goodness-of-fit statistics were consistent, strengthening confidence in the reported results.</w:t>
      </w:r>
    </w:p>
    <w:p>
      <w:pPr>
        <w:pStyle w:val="Heading2"/>
        <w:spacing w:after="150" w:before="300"/>
      </w:pPr>
      <w:r>
        <w:t xml:space="preserve">3.18 Ethical Considerations</w:t>
      </w:r>
    </w:p>
    <w:p>
      <w:pPr>
        <w:spacing w:after="200"/>
        <w:jc w:val="both"/>
      </w:pPr>
      <w:r>
        <w:t xml:space="preserve">The study followed standard ethical research practices for human-subjects survey research. Participation was entirely voluntary, and respondents were informed of the purpose of the study before beginning the questionnaire. No personally identifying information (name, student ID, or contact details) was collected; each respondent was instead assigned a numeric Respondent ID used solely for data-management purposes. All responses were treated as confidential and were used only in aggregate or anonymized form for academic reporting. Respondents were free to skip questions or withdraw at any point without penalty, and the skip-logic design (Section 3.6) ensured that no respondent was asked to answer irrelevant or contradictory follow-up questions. As the dataset involved minimal-risk, anonymous survey data from adult university students on a non-sensitive topic, the study posed negligible risk of harm to participants.</w:t>
      </w:r>
    </w:p>
    <w:p>
      <w:r>
        <w:br w:type="page"/>
      </w:r>
    </w:p>
    <w:p>
      <w:pPr>
        <w:pStyle w:val="Heading1"/>
        <w:spacing w:after="200" w:before="400"/>
      </w:pPr>
      <w:r>
        <w:t xml:space="preserve">Chapter 4: Descriptive Analysis and Results</w:t>
      </w:r>
    </w:p>
    <w:p>
      <w:pPr>
        <w:spacing w:after="200"/>
        <w:jc w:val="both"/>
      </w:pPr>
      <w:r>
        <w:t xml:space="preserve">This chapter presents the descriptive findings from the 60 valid survey responses collected from North South University undergraduate students. Results are reported as frequencies and percentages, supplemented by mean values for the willingness-to-pay (WTP) items.</w:t>
      </w:r>
    </w:p>
    <w:p>
      <w:pPr>
        <w:pStyle w:val="Heading2"/>
        <w:spacing w:after="150" w:before="300"/>
      </w:pPr>
      <w:r>
        <w:t xml:space="preserve">4.1 Respondent Demographic Characteristics</w:t>
      </w:r>
    </w:p>
    <w:p>
      <w:pPr>
        <w:spacing w:after="200"/>
        <w:jc w:val="both"/>
      </w:pPr>
      <w:r>
        <w:t xml:space="preserve">The sample (N = 60) consisted entirely of undergraduate students. Respondents were predominantly female (65.0%), attended campus 3–4 days per week on average, and most commonly reported a monthly personal allowance under BDT 10,000. The demographic profile is broken down in detail in Sections 4.2–4.5.</w:t>
      </w:r>
    </w:p>
    <w:p>
      <w:pPr>
        <w:pStyle w:val="Heading2"/>
        <w:spacing w:after="150" w:before="300"/>
      </w:pPr>
      <w:r>
        <w:t xml:space="preserve">4.2 Academic Level</w:t>
      </w:r>
    </w:p>
    <w:p>
      <w:pPr>
        <w:spacing w:after="200"/>
        <w:jc w:val="both"/>
      </w:pPr>
      <w:r>
        <w:t xml:space="preserve">All 60 respondents (100.0%) identified as undergraduate students. Because academic level did not vary across the sample, it was not used as a predictor in the inferential analyses in Sections 3.13–3.14.</w:t>
      </w:r>
    </w:p>
    <w:p>
      <w:pPr>
        <w:pStyle w:val="Heading2"/>
        <w:spacing w:after="150" w:before="300"/>
      </w:pPr>
      <w:r>
        <w:t xml:space="preserve">4.3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160"/>
      </w:tblGrid>
      <w:tr>
        <w:trPr>
          <w:tblHeader/>
        </w:trPr>
        <w:tc>
          <w:tcPr>
            <w:tcW w:type="dxa" w:w="3000"/>
            <w:shd w:fill="1F4E5F" w:color="auto" w:val="clear"/>
            <w:tcMar>
              <w:top w:type="dxa" w:w="80"/>
              <w:left w:type="dxa" w:w="100"/>
              <w:bottom w:type="dxa" w:w="80"/>
              <w:right w:type="dxa" w:w="100"/>
            </w:tcMar>
          </w:tcPr>
          <w:p>
            <w:pPr>
              <w:jc w:val="left"/>
            </w:pPr>
            <w:r>
              <w:rPr>
                <w:b/>
                <w:bCs/>
                <w:color w:val="FFFFFF"/>
                <w:sz w:val="21"/>
                <w:szCs w:val="21"/>
              </w:rPr>
              <w:t xml:space="preserve">Gender</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21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3000"/>
            <w:tcMar>
              <w:top w:type="dxa" w:w="80"/>
              <w:left w:type="dxa" w:w="100"/>
              <w:bottom w:type="dxa" w:w="80"/>
              <w:right w:type="dxa" w:w="100"/>
            </w:tcMar>
          </w:tcPr>
          <w:p>
            <w:pPr>
              <w:jc w:val="left"/>
            </w:pPr>
            <w:r>
              <w:rPr>
                <w:b w:val="false"/>
                <w:bCs w:val="false"/>
                <w:sz w:val="21"/>
                <w:szCs w:val="21"/>
              </w:rPr>
              <w:t xml:space="preserve">Female</w:t>
            </w:r>
          </w:p>
        </w:tc>
        <w:tc>
          <w:tcPr>
            <w:tcW w:type="dxa" w:w="2500"/>
            <w:tcMar>
              <w:top w:type="dxa" w:w="80"/>
              <w:left w:type="dxa" w:w="100"/>
              <w:bottom w:type="dxa" w:w="80"/>
              <w:right w:type="dxa" w:w="100"/>
            </w:tcMar>
          </w:tcPr>
          <w:p>
            <w:pPr>
              <w:jc w:val="left"/>
            </w:pPr>
            <w:r>
              <w:rPr>
                <w:b w:val="false"/>
                <w:bCs w:val="false"/>
                <w:sz w:val="21"/>
                <w:szCs w:val="21"/>
              </w:rPr>
              <w:t xml:space="preserve">39</w:t>
            </w:r>
          </w:p>
        </w:tc>
        <w:tc>
          <w:tcPr>
            <w:tcW w:type="dxa" w:w="2160"/>
            <w:tcMar>
              <w:top w:type="dxa" w:w="80"/>
              <w:left w:type="dxa" w:w="100"/>
              <w:bottom w:type="dxa" w:w="80"/>
              <w:right w:type="dxa" w:w="100"/>
            </w:tcMar>
          </w:tcPr>
          <w:p>
            <w:pPr>
              <w:jc w:val="left"/>
            </w:pPr>
            <w:r>
              <w:rPr>
                <w:b w:val="false"/>
                <w:bCs w:val="false"/>
                <w:sz w:val="21"/>
                <w:szCs w:val="21"/>
              </w:rPr>
              <w:t xml:space="preserve">65.0%</w:t>
            </w:r>
          </w:p>
        </w:tc>
      </w:tr>
      <w:tr>
        <w:tc>
          <w:tcPr>
            <w:tcW w:type="dxa" w:w="3000"/>
            <w:tcMar>
              <w:top w:type="dxa" w:w="80"/>
              <w:left w:type="dxa" w:w="100"/>
              <w:bottom w:type="dxa" w:w="80"/>
              <w:right w:type="dxa" w:w="100"/>
            </w:tcMar>
          </w:tcPr>
          <w:p>
            <w:pPr>
              <w:jc w:val="left"/>
            </w:pPr>
            <w:r>
              <w:rPr>
                <w:b w:val="false"/>
                <w:bCs w:val="false"/>
                <w:sz w:val="21"/>
                <w:szCs w:val="21"/>
              </w:rPr>
              <w:t xml:space="preserve">Male</w:t>
            </w:r>
          </w:p>
        </w:tc>
        <w:tc>
          <w:tcPr>
            <w:tcW w:type="dxa" w:w="2500"/>
            <w:tcMar>
              <w:top w:type="dxa" w:w="80"/>
              <w:left w:type="dxa" w:w="100"/>
              <w:bottom w:type="dxa" w:w="80"/>
              <w:right w:type="dxa" w:w="100"/>
            </w:tcMar>
          </w:tcPr>
          <w:p>
            <w:pPr>
              <w:jc w:val="left"/>
            </w:pPr>
            <w:r>
              <w:rPr>
                <w:b w:val="false"/>
                <w:bCs w:val="false"/>
                <w:sz w:val="21"/>
                <w:szCs w:val="21"/>
              </w:rPr>
              <w:t xml:space="preserve">20</w:t>
            </w:r>
          </w:p>
        </w:tc>
        <w:tc>
          <w:tcPr>
            <w:tcW w:type="dxa" w:w="2160"/>
            <w:tcMar>
              <w:top w:type="dxa" w:w="80"/>
              <w:left w:type="dxa" w:w="100"/>
              <w:bottom w:type="dxa" w:w="80"/>
              <w:right w:type="dxa" w:w="100"/>
            </w:tcMar>
          </w:tcPr>
          <w:p>
            <w:pPr>
              <w:jc w:val="left"/>
            </w:pPr>
            <w:r>
              <w:rPr>
                <w:b w:val="false"/>
                <w:bCs w:val="false"/>
                <w:sz w:val="21"/>
                <w:szCs w:val="21"/>
              </w:rPr>
              <w:t xml:space="preserve">33.3%</w:t>
            </w:r>
          </w:p>
        </w:tc>
      </w:tr>
      <w:tr>
        <w:tc>
          <w:tcPr>
            <w:tcW w:type="dxa" w:w="3000"/>
            <w:tcMar>
              <w:top w:type="dxa" w:w="80"/>
              <w:left w:type="dxa" w:w="100"/>
              <w:bottom w:type="dxa" w:w="80"/>
              <w:right w:type="dxa" w:w="100"/>
            </w:tcMar>
          </w:tcPr>
          <w:p>
            <w:pPr>
              <w:jc w:val="left"/>
            </w:pPr>
            <w:r>
              <w:rPr>
                <w:b w:val="false"/>
                <w:bCs w:val="false"/>
                <w:sz w:val="21"/>
                <w:szCs w:val="21"/>
              </w:rPr>
              <w:t xml:space="preserve">Prefer not to say</w:t>
            </w:r>
          </w:p>
        </w:tc>
        <w:tc>
          <w:tcPr>
            <w:tcW w:type="dxa" w:w="2500"/>
            <w:tcMar>
              <w:top w:type="dxa" w:w="80"/>
              <w:left w:type="dxa" w:w="100"/>
              <w:bottom w:type="dxa" w:w="80"/>
              <w:right w:type="dxa" w:w="100"/>
            </w:tcMar>
          </w:tcPr>
          <w:p>
            <w:pPr>
              <w:jc w:val="left"/>
            </w:pPr>
            <w:r>
              <w:rPr>
                <w:b w:val="false"/>
                <w:bCs w:val="false"/>
                <w:sz w:val="21"/>
                <w:szCs w:val="21"/>
              </w:rPr>
              <w:t xml:space="preserve">1</w:t>
            </w:r>
          </w:p>
        </w:tc>
        <w:tc>
          <w:tcPr>
            <w:tcW w:type="dxa" w:w="2160"/>
            <w:tcMar>
              <w:top w:type="dxa" w:w="80"/>
              <w:left w:type="dxa" w:w="100"/>
              <w:bottom w:type="dxa" w:w="80"/>
              <w:right w:type="dxa" w:w="100"/>
            </w:tcMar>
          </w:tcPr>
          <w:p>
            <w:pPr>
              <w:jc w:val="left"/>
            </w:pPr>
            <w:r>
              <w:rPr>
                <w:b w:val="false"/>
                <w:bCs w:val="false"/>
                <w:sz w:val="21"/>
                <w:szCs w:val="21"/>
              </w:rPr>
              <w:t xml:space="preserve">1.7%</w:t>
            </w:r>
          </w:p>
        </w:tc>
      </w:tr>
    </w:tbl>
    <w:p>
      <w:pPr>
        <w:spacing w:after="200"/>
      </w:pPr>
    </w:p>
    <w:p>
      <w:pPr>
        <w:spacing w:after="200"/>
        <w:jc w:val="both"/>
      </w:pPr>
      <w:r>
        <w:t xml:space="preserve">The sample skewed female, with women comprising nearly two-thirds of respondents. This imbalance should be borne in mind when interpreting gender-related patterns in WTP (Section 3.14).</w:t>
      </w:r>
    </w:p>
    <w:p>
      <w:pPr>
        <w:pStyle w:val="Heading2"/>
        <w:spacing w:after="150" w:before="300"/>
      </w:pPr>
      <w:r>
        <w:t xml:space="preserve">4.4 Department/Academic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1160"/>
      </w:tblGrid>
      <w:tr>
        <w:trPr>
          <w:tblHeader/>
        </w:trPr>
        <w:tc>
          <w:tcPr>
            <w:tcW w:type="dxa" w:w="4500"/>
            <w:shd w:fill="1F4E5F" w:color="auto" w:val="clear"/>
            <w:tcMar>
              <w:top w:type="dxa" w:w="80"/>
              <w:left w:type="dxa" w:w="100"/>
              <w:bottom w:type="dxa" w:w="80"/>
              <w:right w:type="dxa" w:w="100"/>
            </w:tcMar>
          </w:tcPr>
          <w:p>
            <w:pPr>
              <w:jc w:val="left"/>
            </w:pPr>
            <w:r>
              <w:rPr>
                <w:b/>
                <w:bCs/>
                <w:color w:val="FFFFFF"/>
                <w:sz w:val="21"/>
                <w:szCs w:val="21"/>
              </w:rPr>
              <w:t xml:space="preserve">Department</w:t>
            </w:r>
          </w:p>
        </w:tc>
        <w:tc>
          <w:tcPr>
            <w:tcW w:type="dxa" w:w="20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1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4500"/>
            <w:tcMar>
              <w:top w:type="dxa" w:w="80"/>
              <w:left w:type="dxa" w:w="100"/>
              <w:bottom w:type="dxa" w:w="80"/>
              <w:right w:type="dxa" w:w="100"/>
            </w:tcMar>
          </w:tcPr>
          <w:p>
            <w:pPr>
              <w:jc w:val="left"/>
            </w:pPr>
            <w:r>
              <w:rPr>
                <w:b w:val="false"/>
                <w:bCs w:val="false"/>
                <w:sz w:val="21"/>
                <w:szCs w:val="21"/>
              </w:rPr>
              <w:t xml:space="preserve">Environmental Science and Management</w:t>
            </w:r>
          </w:p>
        </w:tc>
        <w:tc>
          <w:tcPr>
            <w:tcW w:type="dxa" w:w="2000"/>
            <w:tcMar>
              <w:top w:type="dxa" w:w="80"/>
              <w:left w:type="dxa" w:w="100"/>
              <w:bottom w:type="dxa" w:w="80"/>
              <w:right w:type="dxa" w:w="100"/>
            </w:tcMar>
          </w:tcPr>
          <w:p>
            <w:pPr>
              <w:jc w:val="left"/>
            </w:pPr>
            <w:r>
              <w:rPr>
                <w:b w:val="false"/>
                <w:bCs w:val="false"/>
                <w:sz w:val="21"/>
                <w:szCs w:val="21"/>
              </w:rPr>
              <w:t xml:space="preserve">41</w:t>
            </w:r>
          </w:p>
        </w:tc>
        <w:tc>
          <w:tcPr>
            <w:tcW w:type="dxa" w:w="1160"/>
            <w:tcMar>
              <w:top w:type="dxa" w:w="80"/>
              <w:left w:type="dxa" w:w="100"/>
              <w:bottom w:type="dxa" w:w="80"/>
              <w:right w:type="dxa" w:w="100"/>
            </w:tcMar>
          </w:tcPr>
          <w:p>
            <w:pPr>
              <w:jc w:val="left"/>
            </w:pPr>
            <w:r>
              <w:rPr>
                <w:b w:val="false"/>
                <w:bCs w:val="false"/>
                <w:sz w:val="21"/>
                <w:szCs w:val="21"/>
              </w:rPr>
              <w:t xml:space="preserve">68.3%</w:t>
            </w:r>
          </w:p>
        </w:tc>
      </w:tr>
      <w:tr>
        <w:tc>
          <w:tcPr>
            <w:tcW w:type="dxa" w:w="4500"/>
            <w:tcMar>
              <w:top w:type="dxa" w:w="80"/>
              <w:left w:type="dxa" w:w="100"/>
              <w:bottom w:type="dxa" w:w="80"/>
              <w:right w:type="dxa" w:w="100"/>
            </w:tcMar>
          </w:tcPr>
          <w:p>
            <w:pPr>
              <w:jc w:val="left"/>
            </w:pPr>
            <w:r>
              <w:rPr>
                <w:b w:val="false"/>
                <w:bCs w:val="false"/>
                <w:sz w:val="21"/>
                <w:szCs w:val="21"/>
              </w:rPr>
              <w:t xml:space="preserve">Business Administration</w:t>
            </w:r>
          </w:p>
        </w:tc>
        <w:tc>
          <w:tcPr>
            <w:tcW w:type="dxa" w:w="2000"/>
            <w:tcMar>
              <w:top w:type="dxa" w:w="80"/>
              <w:left w:type="dxa" w:w="100"/>
              <w:bottom w:type="dxa" w:w="80"/>
              <w:right w:type="dxa" w:w="100"/>
            </w:tcMar>
          </w:tcPr>
          <w:p>
            <w:pPr>
              <w:jc w:val="left"/>
            </w:pPr>
            <w:r>
              <w:rPr>
                <w:b w:val="false"/>
                <w:bCs w:val="false"/>
                <w:sz w:val="21"/>
                <w:szCs w:val="21"/>
              </w:rPr>
              <w:t xml:space="preserve">12</w:t>
            </w:r>
          </w:p>
        </w:tc>
        <w:tc>
          <w:tcPr>
            <w:tcW w:type="dxa" w:w="1160"/>
            <w:tcMar>
              <w:top w:type="dxa" w:w="80"/>
              <w:left w:type="dxa" w:w="100"/>
              <w:bottom w:type="dxa" w:w="80"/>
              <w:right w:type="dxa" w:w="100"/>
            </w:tcMar>
          </w:tcPr>
          <w:p>
            <w:pPr>
              <w:jc w:val="left"/>
            </w:pPr>
            <w:r>
              <w:rPr>
                <w:b w:val="false"/>
                <w:bCs w:val="false"/>
                <w:sz w:val="21"/>
                <w:szCs w:val="21"/>
              </w:rPr>
              <w:t xml:space="preserve">20.0%</w:t>
            </w:r>
          </w:p>
        </w:tc>
      </w:tr>
      <w:tr>
        <w:tc>
          <w:tcPr>
            <w:tcW w:type="dxa" w:w="4500"/>
            <w:tcMar>
              <w:top w:type="dxa" w:w="80"/>
              <w:left w:type="dxa" w:w="100"/>
              <w:bottom w:type="dxa" w:w="80"/>
              <w:right w:type="dxa" w:w="100"/>
            </w:tcMar>
          </w:tcPr>
          <w:p>
            <w:pPr>
              <w:jc w:val="left"/>
            </w:pPr>
            <w:r>
              <w:rPr>
                <w:b w:val="false"/>
                <w:bCs w:val="false"/>
                <w:sz w:val="21"/>
                <w:szCs w:val="21"/>
              </w:rPr>
              <w:t xml:space="preserve">No response / unclear</w:t>
            </w:r>
          </w:p>
        </w:tc>
        <w:tc>
          <w:tcPr>
            <w:tcW w:type="dxa" w:w="2000"/>
            <w:tcMar>
              <w:top w:type="dxa" w:w="80"/>
              <w:left w:type="dxa" w:w="100"/>
              <w:bottom w:type="dxa" w:w="80"/>
              <w:right w:type="dxa" w:w="100"/>
            </w:tcMar>
          </w:tcPr>
          <w:p>
            <w:pPr>
              <w:jc w:val="left"/>
            </w:pPr>
            <w:r>
              <w:rPr>
                <w:b w:val="false"/>
                <w:bCs w:val="false"/>
                <w:sz w:val="21"/>
                <w:szCs w:val="21"/>
              </w:rPr>
              <w:t xml:space="preserve">3</w:t>
            </w:r>
          </w:p>
        </w:tc>
        <w:tc>
          <w:tcPr>
            <w:tcW w:type="dxa" w:w="1160"/>
            <w:tcMar>
              <w:top w:type="dxa" w:w="80"/>
              <w:left w:type="dxa" w:w="100"/>
              <w:bottom w:type="dxa" w:w="80"/>
              <w:right w:type="dxa" w:w="100"/>
            </w:tcMar>
          </w:tcPr>
          <w:p>
            <w:pPr>
              <w:jc w:val="left"/>
            </w:pPr>
            <w:r>
              <w:rPr>
                <w:b w:val="false"/>
                <w:bCs w:val="false"/>
                <w:sz w:val="21"/>
                <w:szCs w:val="21"/>
              </w:rPr>
              <w:t xml:space="preserve">5.0%</w:t>
            </w:r>
          </w:p>
        </w:tc>
      </w:tr>
      <w:tr>
        <w:tc>
          <w:tcPr>
            <w:tcW w:type="dxa" w:w="4500"/>
            <w:tcMar>
              <w:top w:type="dxa" w:w="80"/>
              <w:left w:type="dxa" w:w="100"/>
              <w:bottom w:type="dxa" w:w="80"/>
              <w:right w:type="dxa" w:w="100"/>
            </w:tcMar>
          </w:tcPr>
          <w:p>
            <w:pPr>
              <w:jc w:val="left"/>
            </w:pPr>
            <w:r>
              <w:rPr>
                <w:b w:val="false"/>
                <w:bCs w:val="false"/>
                <w:sz w:val="21"/>
                <w:szCs w:val="21"/>
              </w:rPr>
              <w:t xml:space="preserve">Electronics and Communication Engineering</w:t>
            </w:r>
          </w:p>
        </w:tc>
        <w:tc>
          <w:tcPr>
            <w:tcW w:type="dxa" w:w="2000"/>
            <w:tcMar>
              <w:top w:type="dxa" w:w="80"/>
              <w:left w:type="dxa" w:w="100"/>
              <w:bottom w:type="dxa" w:w="80"/>
              <w:right w:type="dxa" w:w="100"/>
            </w:tcMar>
          </w:tcPr>
          <w:p>
            <w:pPr>
              <w:jc w:val="left"/>
            </w:pPr>
            <w:r>
              <w:rPr>
                <w:b w:val="false"/>
                <w:bCs w:val="false"/>
                <w:sz w:val="21"/>
                <w:szCs w:val="21"/>
              </w:rPr>
              <w:t xml:space="preserve">1</w:t>
            </w:r>
          </w:p>
        </w:tc>
        <w:tc>
          <w:tcPr>
            <w:tcW w:type="dxa" w:w="1160"/>
            <w:tcMar>
              <w:top w:type="dxa" w:w="80"/>
              <w:left w:type="dxa" w:w="100"/>
              <w:bottom w:type="dxa" w:w="80"/>
              <w:right w:type="dxa" w:w="100"/>
            </w:tcMar>
          </w:tcPr>
          <w:p>
            <w:pPr>
              <w:jc w:val="left"/>
            </w:pPr>
            <w:r>
              <w:rPr>
                <w:b w:val="false"/>
                <w:bCs w:val="false"/>
                <w:sz w:val="21"/>
                <w:szCs w:val="21"/>
              </w:rPr>
              <w:t xml:space="preserve">1.7%</w:t>
            </w:r>
          </w:p>
        </w:tc>
      </w:tr>
      <w:tr>
        <w:tc>
          <w:tcPr>
            <w:tcW w:type="dxa" w:w="4500"/>
            <w:tcMar>
              <w:top w:type="dxa" w:w="80"/>
              <w:left w:type="dxa" w:w="100"/>
              <w:bottom w:type="dxa" w:w="80"/>
              <w:right w:type="dxa" w:w="100"/>
            </w:tcMar>
          </w:tcPr>
          <w:p>
            <w:pPr>
              <w:jc w:val="left"/>
            </w:pPr>
            <w:r>
              <w:rPr>
                <w:b w:val="false"/>
                <w:bCs w:val="false"/>
                <w:sz w:val="21"/>
                <w:szCs w:val="21"/>
              </w:rPr>
              <w:t xml:space="preserve">Microbiology</w:t>
            </w:r>
          </w:p>
        </w:tc>
        <w:tc>
          <w:tcPr>
            <w:tcW w:type="dxa" w:w="2000"/>
            <w:tcMar>
              <w:top w:type="dxa" w:w="80"/>
              <w:left w:type="dxa" w:w="100"/>
              <w:bottom w:type="dxa" w:w="80"/>
              <w:right w:type="dxa" w:w="100"/>
            </w:tcMar>
          </w:tcPr>
          <w:p>
            <w:pPr>
              <w:jc w:val="left"/>
            </w:pPr>
            <w:r>
              <w:rPr>
                <w:b w:val="false"/>
                <w:bCs w:val="false"/>
                <w:sz w:val="21"/>
                <w:szCs w:val="21"/>
              </w:rPr>
              <w:t xml:space="preserve">1</w:t>
            </w:r>
          </w:p>
        </w:tc>
        <w:tc>
          <w:tcPr>
            <w:tcW w:type="dxa" w:w="1160"/>
            <w:tcMar>
              <w:top w:type="dxa" w:w="80"/>
              <w:left w:type="dxa" w:w="100"/>
              <w:bottom w:type="dxa" w:w="80"/>
              <w:right w:type="dxa" w:w="100"/>
            </w:tcMar>
          </w:tcPr>
          <w:p>
            <w:pPr>
              <w:jc w:val="left"/>
            </w:pPr>
            <w:r>
              <w:rPr>
                <w:b w:val="false"/>
                <w:bCs w:val="false"/>
                <w:sz w:val="21"/>
                <w:szCs w:val="21"/>
              </w:rPr>
              <w:t xml:space="preserve">1.7%</w:t>
            </w:r>
          </w:p>
        </w:tc>
      </w:tr>
      <w:tr>
        <w:tc>
          <w:tcPr>
            <w:tcW w:type="dxa" w:w="4500"/>
            <w:tcMar>
              <w:top w:type="dxa" w:w="80"/>
              <w:left w:type="dxa" w:w="100"/>
              <w:bottom w:type="dxa" w:w="80"/>
              <w:right w:type="dxa" w:w="100"/>
            </w:tcMar>
          </w:tcPr>
          <w:p>
            <w:pPr>
              <w:jc w:val="left"/>
            </w:pPr>
            <w:r>
              <w:rPr>
                <w:b w:val="false"/>
                <w:bCs w:val="false"/>
                <w:sz w:val="21"/>
                <w:szCs w:val="21"/>
              </w:rPr>
              <w:t xml:space="preserve">Economics</w:t>
            </w:r>
          </w:p>
        </w:tc>
        <w:tc>
          <w:tcPr>
            <w:tcW w:type="dxa" w:w="2000"/>
            <w:tcMar>
              <w:top w:type="dxa" w:w="80"/>
              <w:left w:type="dxa" w:w="100"/>
              <w:bottom w:type="dxa" w:w="80"/>
              <w:right w:type="dxa" w:w="100"/>
            </w:tcMar>
          </w:tcPr>
          <w:p>
            <w:pPr>
              <w:jc w:val="left"/>
            </w:pPr>
            <w:r>
              <w:rPr>
                <w:b w:val="false"/>
                <w:bCs w:val="false"/>
                <w:sz w:val="21"/>
                <w:szCs w:val="21"/>
              </w:rPr>
              <w:t xml:space="preserve">1</w:t>
            </w:r>
          </w:p>
        </w:tc>
        <w:tc>
          <w:tcPr>
            <w:tcW w:type="dxa" w:w="1160"/>
            <w:tcMar>
              <w:top w:type="dxa" w:w="80"/>
              <w:left w:type="dxa" w:w="100"/>
              <w:bottom w:type="dxa" w:w="80"/>
              <w:right w:type="dxa" w:w="100"/>
            </w:tcMar>
          </w:tcPr>
          <w:p>
            <w:pPr>
              <w:jc w:val="left"/>
            </w:pPr>
            <w:r>
              <w:rPr>
                <w:b w:val="false"/>
                <w:bCs w:val="false"/>
                <w:sz w:val="21"/>
                <w:szCs w:val="21"/>
              </w:rPr>
              <w:t xml:space="preserve">1.7%</w:t>
            </w:r>
          </w:p>
        </w:tc>
      </w:tr>
      <w:tr>
        <w:tc>
          <w:tcPr>
            <w:tcW w:type="dxa" w:w="4500"/>
            <w:tcMar>
              <w:top w:type="dxa" w:w="80"/>
              <w:left w:type="dxa" w:w="100"/>
              <w:bottom w:type="dxa" w:w="80"/>
              <w:right w:type="dxa" w:w="100"/>
            </w:tcMar>
          </w:tcPr>
          <w:p>
            <w:pPr>
              <w:jc w:val="left"/>
            </w:pPr>
            <w:r>
              <w:rPr>
                <w:b w:val="false"/>
                <w:bCs w:val="false"/>
                <w:sz w:val="21"/>
                <w:szCs w:val="21"/>
              </w:rPr>
              <w:t xml:space="preserve">English and Modern Language</w:t>
            </w:r>
          </w:p>
        </w:tc>
        <w:tc>
          <w:tcPr>
            <w:tcW w:type="dxa" w:w="2000"/>
            <w:tcMar>
              <w:top w:type="dxa" w:w="80"/>
              <w:left w:type="dxa" w:w="100"/>
              <w:bottom w:type="dxa" w:w="80"/>
              <w:right w:type="dxa" w:w="100"/>
            </w:tcMar>
          </w:tcPr>
          <w:p>
            <w:pPr>
              <w:jc w:val="left"/>
            </w:pPr>
            <w:r>
              <w:rPr>
                <w:b w:val="false"/>
                <w:bCs w:val="false"/>
                <w:sz w:val="21"/>
                <w:szCs w:val="21"/>
              </w:rPr>
              <w:t xml:space="preserve">1</w:t>
            </w:r>
          </w:p>
        </w:tc>
        <w:tc>
          <w:tcPr>
            <w:tcW w:type="dxa" w:w="1160"/>
            <w:tcMar>
              <w:top w:type="dxa" w:w="80"/>
              <w:left w:type="dxa" w:w="100"/>
              <w:bottom w:type="dxa" w:w="80"/>
              <w:right w:type="dxa" w:w="100"/>
            </w:tcMar>
          </w:tcPr>
          <w:p>
            <w:pPr>
              <w:jc w:val="left"/>
            </w:pPr>
            <w:r>
              <w:rPr>
                <w:b w:val="false"/>
                <w:bCs w:val="false"/>
                <w:sz w:val="21"/>
                <w:szCs w:val="21"/>
              </w:rPr>
              <w:t xml:space="preserve">1.7%</w:t>
            </w:r>
          </w:p>
        </w:tc>
      </w:tr>
    </w:tbl>
    <w:p>
      <w:pPr>
        <w:spacing w:after="200"/>
      </w:pPr>
    </w:p>
    <w:p>
      <w:pPr>
        <w:spacing w:after="200"/>
        <w:jc w:val="both"/>
      </w:pPr>
      <w:r>
        <w:t xml:space="preserve">Respondents were concentrated in the Department of Environmental Science and Management (68.3%), which is consistent with that department's direct academic relevance to campus sustainability topics and may indicate a sample with pre-existing environmental interest or awareness. Business Administration students formed the second-largest group (20.0%), with the remaining departments each contributing a single respondent.</w:t>
      </w:r>
    </w:p>
    <w:p>
      <w:pPr>
        <w:pStyle w:val="Heading2"/>
        <w:spacing w:after="150" w:before="300"/>
      </w:pPr>
      <w:r>
        <w:t xml:space="preserve">4.5 Campus Attendance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60"/>
      </w:tblGrid>
      <w:tr>
        <w:trPr>
          <w:tblHeader/>
        </w:trPr>
        <w:tc>
          <w:tcPr>
            <w:tcW w:type="dxa" w:w="3500"/>
            <w:shd w:fill="1F4E5F" w:color="auto" w:val="clear"/>
            <w:tcMar>
              <w:top w:type="dxa" w:w="80"/>
              <w:left w:type="dxa" w:w="100"/>
              <w:bottom w:type="dxa" w:w="80"/>
              <w:right w:type="dxa" w:w="100"/>
            </w:tcMar>
          </w:tcPr>
          <w:p>
            <w:pPr>
              <w:jc w:val="left"/>
            </w:pPr>
            <w:r>
              <w:rPr>
                <w:b/>
                <w:bCs/>
                <w:color w:val="FFFFFF"/>
                <w:sz w:val="21"/>
                <w:szCs w:val="21"/>
              </w:rPr>
              <w:t xml:space="preserve">Days on campus per week</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6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3500"/>
            <w:tcMar>
              <w:top w:type="dxa" w:w="80"/>
              <w:left w:type="dxa" w:w="100"/>
              <w:bottom w:type="dxa" w:w="80"/>
              <w:right w:type="dxa" w:w="100"/>
            </w:tcMar>
          </w:tcPr>
          <w:p>
            <w:pPr>
              <w:jc w:val="left"/>
            </w:pPr>
            <w:r>
              <w:rPr>
                <w:b w:val="false"/>
                <w:bCs w:val="false"/>
                <w:sz w:val="21"/>
                <w:szCs w:val="21"/>
              </w:rPr>
              <w:t xml:space="preserve">3–4 days</w:t>
            </w:r>
          </w:p>
        </w:tc>
        <w:tc>
          <w:tcPr>
            <w:tcW w:type="dxa" w:w="2500"/>
            <w:tcMar>
              <w:top w:type="dxa" w:w="80"/>
              <w:left w:type="dxa" w:w="100"/>
              <w:bottom w:type="dxa" w:w="80"/>
              <w:right w:type="dxa" w:w="100"/>
            </w:tcMar>
          </w:tcPr>
          <w:p>
            <w:pPr>
              <w:jc w:val="left"/>
            </w:pPr>
            <w:r>
              <w:rPr>
                <w:b w:val="false"/>
                <w:bCs w:val="false"/>
                <w:sz w:val="21"/>
                <w:szCs w:val="21"/>
              </w:rPr>
              <w:t xml:space="preserve">31</w:t>
            </w:r>
          </w:p>
        </w:tc>
        <w:tc>
          <w:tcPr>
            <w:tcW w:type="dxa" w:w="1660"/>
            <w:tcMar>
              <w:top w:type="dxa" w:w="80"/>
              <w:left w:type="dxa" w:w="100"/>
              <w:bottom w:type="dxa" w:w="80"/>
              <w:right w:type="dxa" w:w="100"/>
            </w:tcMar>
          </w:tcPr>
          <w:p>
            <w:pPr>
              <w:jc w:val="left"/>
            </w:pPr>
            <w:r>
              <w:rPr>
                <w:b w:val="false"/>
                <w:bCs w:val="false"/>
                <w:sz w:val="21"/>
                <w:szCs w:val="21"/>
              </w:rPr>
              <w:t xml:space="preserve">51.7%</w:t>
            </w:r>
          </w:p>
        </w:tc>
      </w:tr>
      <w:tr>
        <w:tc>
          <w:tcPr>
            <w:tcW w:type="dxa" w:w="3500"/>
            <w:tcMar>
              <w:top w:type="dxa" w:w="80"/>
              <w:left w:type="dxa" w:w="100"/>
              <w:bottom w:type="dxa" w:w="80"/>
              <w:right w:type="dxa" w:w="100"/>
            </w:tcMar>
          </w:tcPr>
          <w:p>
            <w:pPr>
              <w:jc w:val="left"/>
            </w:pPr>
            <w:r>
              <w:rPr>
                <w:b w:val="false"/>
                <w:bCs w:val="false"/>
                <w:sz w:val="21"/>
                <w:szCs w:val="21"/>
              </w:rPr>
              <w:t xml:space="preserve">1–2 days</w:t>
            </w:r>
          </w:p>
        </w:tc>
        <w:tc>
          <w:tcPr>
            <w:tcW w:type="dxa" w:w="2500"/>
            <w:tcMar>
              <w:top w:type="dxa" w:w="80"/>
              <w:left w:type="dxa" w:w="100"/>
              <w:bottom w:type="dxa" w:w="80"/>
              <w:right w:type="dxa" w:w="100"/>
            </w:tcMar>
          </w:tcPr>
          <w:p>
            <w:pPr>
              <w:jc w:val="left"/>
            </w:pPr>
            <w:r>
              <w:rPr>
                <w:b w:val="false"/>
                <w:bCs w:val="false"/>
                <w:sz w:val="21"/>
                <w:szCs w:val="21"/>
              </w:rPr>
              <w:t xml:space="preserve">15</w:t>
            </w:r>
          </w:p>
        </w:tc>
        <w:tc>
          <w:tcPr>
            <w:tcW w:type="dxa" w:w="1660"/>
            <w:tcMar>
              <w:top w:type="dxa" w:w="80"/>
              <w:left w:type="dxa" w:w="100"/>
              <w:bottom w:type="dxa" w:w="80"/>
              <w:right w:type="dxa" w:w="100"/>
            </w:tcMar>
          </w:tcPr>
          <w:p>
            <w:pPr>
              <w:jc w:val="left"/>
            </w:pPr>
            <w:r>
              <w:rPr>
                <w:b w:val="false"/>
                <w:bCs w:val="false"/>
                <w:sz w:val="21"/>
                <w:szCs w:val="21"/>
              </w:rPr>
              <w:t xml:space="preserve">25.0%</w:t>
            </w:r>
          </w:p>
        </w:tc>
      </w:tr>
      <w:tr>
        <w:tc>
          <w:tcPr>
            <w:tcW w:type="dxa" w:w="3500"/>
            <w:tcMar>
              <w:top w:type="dxa" w:w="80"/>
              <w:left w:type="dxa" w:w="100"/>
              <w:bottom w:type="dxa" w:w="80"/>
              <w:right w:type="dxa" w:w="100"/>
            </w:tcMar>
          </w:tcPr>
          <w:p>
            <w:pPr>
              <w:jc w:val="left"/>
            </w:pPr>
            <w:r>
              <w:rPr>
                <w:b w:val="false"/>
                <w:bCs w:val="false"/>
                <w:sz w:val="21"/>
                <w:szCs w:val="21"/>
              </w:rPr>
              <w:t xml:space="preserve">5 days or more</w:t>
            </w:r>
          </w:p>
        </w:tc>
        <w:tc>
          <w:tcPr>
            <w:tcW w:type="dxa" w:w="2500"/>
            <w:tcMar>
              <w:top w:type="dxa" w:w="80"/>
              <w:left w:type="dxa" w:w="100"/>
              <w:bottom w:type="dxa" w:w="80"/>
              <w:right w:type="dxa" w:w="100"/>
            </w:tcMar>
          </w:tcPr>
          <w:p>
            <w:pPr>
              <w:jc w:val="left"/>
            </w:pPr>
            <w:r>
              <w:rPr>
                <w:b w:val="false"/>
                <w:bCs w:val="false"/>
                <w:sz w:val="21"/>
                <w:szCs w:val="21"/>
              </w:rPr>
              <w:t xml:space="preserve">14</w:t>
            </w:r>
          </w:p>
        </w:tc>
        <w:tc>
          <w:tcPr>
            <w:tcW w:type="dxa" w:w="1660"/>
            <w:tcMar>
              <w:top w:type="dxa" w:w="80"/>
              <w:left w:type="dxa" w:w="100"/>
              <w:bottom w:type="dxa" w:w="80"/>
              <w:right w:type="dxa" w:w="100"/>
            </w:tcMar>
          </w:tcPr>
          <w:p>
            <w:pPr>
              <w:jc w:val="left"/>
            </w:pPr>
            <w:r>
              <w:rPr>
                <w:b w:val="false"/>
                <w:bCs w:val="false"/>
                <w:sz w:val="21"/>
                <w:szCs w:val="21"/>
              </w:rPr>
              <w:t xml:space="preserve">23.3%</w:t>
            </w:r>
          </w:p>
        </w:tc>
      </w:tr>
    </w:tbl>
    <w:p>
      <w:pPr>
        <w:spacing w:after="200"/>
      </w:pPr>
    </w:p>
    <w:p>
      <w:pPr>
        <w:spacing w:after="200"/>
        <w:jc w:val="both"/>
      </w:pPr>
      <w:r>
        <w:t xml:space="preserve">Just over half of respondents (51.7%) attend campus 3–4 days per week, indicating that most participants have regular, first-hand exposure to campus cafeterias and the plastic waste generated there.</w:t>
      </w:r>
    </w:p>
    <w:p>
      <w:pPr>
        <w:pStyle w:val="Heading2"/>
        <w:spacing w:after="150" w:before="300"/>
      </w:pPr>
      <w:r>
        <w:t xml:space="preserve">4.6 Concern About Plastic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60"/>
      </w:tblGrid>
      <w:tr>
        <w:trPr>
          <w:tblHeader/>
        </w:trPr>
        <w:tc>
          <w:tcPr>
            <w:tcW w:type="dxa" w:w="3500"/>
            <w:shd w:fill="1F4E5F" w:color="auto" w:val="clear"/>
            <w:tcMar>
              <w:top w:type="dxa" w:w="80"/>
              <w:left w:type="dxa" w:w="100"/>
              <w:bottom w:type="dxa" w:w="80"/>
              <w:right w:type="dxa" w:w="100"/>
            </w:tcMar>
          </w:tcPr>
          <w:p>
            <w:pPr>
              <w:jc w:val="left"/>
            </w:pPr>
            <w:r>
              <w:rPr>
                <w:b/>
                <w:bCs/>
                <w:color w:val="FFFFFF"/>
                <w:sz w:val="21"/>
                <w:szCs w:val="21"/>
              </w:rPr>
              <w:t xml:space="preserve">Level of concern</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6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3500"/>
            <w:tcMar>
              <w:top w:type="dxa" w:w="80"/>
              <w:left w:type="dxa" w:w="100"/>
              <w:bottom w:type="dxa" w:w="80"/>
              <w:right w:type="dxa" w:w="100"/>
            </w:tcMar>
          </w:tcPr>
          <w:p>
            <w:pPr>
              <w:jc w:val="left"/>
            </w:pPr>
            <w:r>
              <w:rPr>
                <w:b w:val="false"/>
                <w:bCs w:val="false"/>
                <w:sz w:val="21"/>
                <w:szCs w:val="21"/>
              </w:rPr>
              <w:t xml:space="preserve">Very concerned</w:t>
            </w:r>
          </w:p>
        </w:tc>
        <w:tc>
          <w:tcPr>
            <w:tcW w:type="dxa" w:w="2500"/>
            <w:tcMar>
              <w:top w:type="dxa" w:w="80"/>
              <w:left w:type="dxa" w:w="100"/>
              <w:bottom w:type="dxa" w:w="80"/>
              <w:right w:type="dxa" w:w="100"/>
            </w:tcMar>
          </w:tcPr>
          <w:p>
            <w:pPr>
              <w:jc w:val="left"/>
            </w:pPr>
            <w:r>
              <w:rPr>
                <w:b w:val="false"/>
                <w:bCs w:val="false"/>
                <w:sz w:val="21"/>
                <w:szCs w:val="21"/>
              </w:rPr>
              <w:t xml:space="preserve">23</w:t>
            </w:r>
          </w:p>
        </w:tc>
        <w:tc>
          <w:tcPr>
            <w:tcW w:type="dxa" w:w="1660"/>
            <w:tcMar>
              <w:top w:type="dxa" w:w="80"/>
              <w:left w:type="dxa" w:w="100"/>
              <w:bottom w:type="dxa" w:w="80"/>
              <w:right w:type="dxa" w:w="100"/>
            </w:tcMar>
          </w:tcPr>
          <w:p>
            <w:pPr>
              <w:jc w:val="left"/>
            </w:pPr>
            <w:r>
              <w:rPr>
                <w:b w:val="false"/>
                <w:bCs w:val="false"/>
                <w:sz w:val="21"/>
                <w:szCs w:val="21"/>
              </w:rPr>
              <w:t xml:space="preserve">38.3%</w:t>
            </w:r>
          </w:p>
        </w:tc>
      </w:tr>
      <w:tr>
        <w:tc>
          <w:tcPr>
            <w:tcW w:type="dxa" w:w="3500"/>
            <w:tcMar>
              <w:top w:type="dxa" w:w="80"/>
              <w:left w:type="dxa" w:w="100"/>
              <w:bottom w:type="dxa" w:w="80"/>
              <w:right w:type="dxa" w:w="100"/>
            </w:tcMar>
          </w:tcPr>
          <w:p>
            <w:pPr>
              <w:jc w:val="left"/>
            </w:pPr>
            <w:r>
              <w:rPr>
                <w:b w:val="false"/>
                <w:bCs w:val="false"/>
                <w:sz w:val="21"/>
                <w:szCs w:val="21"/>
              </w:rPr>
              <w:t xml:space="preserve">Somewhat concerned</w:t>
            </w:r>
          </w:p>
        </w:tc>
        <w:tc>
          <w:tcPr>
            <w:tcW w:type="dxa" w:w="2500"/>
            <w:tcMar>
              <w:top w:type="dxa" w:w="80"/>
              <w:left w:type="dxa" w:w="100"/>
              <w:bottom w:type="dxa" w:w="80"/>
              <w:right w:type="dxa" w:w="100"/>
            </w:tcMar>
          </w:tcPr>
          <w:p>
            <w:pPr>
              <w:jc w:val="left"/>
            </w:pPr>
            <w:r>
              <w:rPr>
                <w:b w:val="false"/>
                <w:bCs w:val="false"/>
                <w:sz w:val="21"/>
                <w:szCs w:val="21"/>
              </w:rPr>
              <w:t xml:space="preserve">20</w:t>
            </w:r>
          </w:p>
        </w:tc>
        <w:tc>
          <w:tcPr>
            <w:tcW w:type="dxa" w:w="1660"/>
            <w:tcMar>
              <w:top w:type="dxa" w:w="80"/>
              <w:left w:type="dxa" w:w="100"/>
              <w:bottom w:type="dxa" w:w="80"/>
              <w:right w:type="dxa" w:w="100"/>
            </w:tcMar>
          </w:tcPr>
          <w:p>
            <w:pPr>
              <w:jc w:val="left"/>
            </w:pPr>
            <w:r>
              <w:rPr>
                <w:b w:val="false"/>
                <w:bCs w:val="false"/>
                <w:sz w:val="21"/>
                <w:szCs w:val="21"/>
              </w:rPr>
              <w:t xml:space="preserve">33.3%</w:t>
            </w:r>
          </w:p>
        </w:tc>
      </w:tr>
      <w:tr>
        <w:tc>
          <w:tcPr>
            <w:tcW w:type="dxa" w:w="3500"/>
            <w:tcMar>
              <w:top w:type="dxa" w:w="80"/>
              <w:left w:type="dxa" w:w="100"/>
              <w:bottom w:type="dxa" w:w="80"/>
              <w:right w:type="dxa" w:w="100"/>
            </w:tcMar>
          </w:tcPr>
          <w:p>
            <w:pPr>
              <w:jc w:val="left"/>
            </w:pPr>
            <w:r>
              <w:rPr>
                <w:b w:val="false"/>
                <w:bCs w:val="false"/>
                <w:sz w:val="21"/>
                <w:szCs w:val="21"/>
              </w:rPr>
              <w:t xml:space="preserve">Neutral</w:t>
            </w:r>
          </w:p>
        </w:tc>
        <w:tc>
          <w:tcPr>
            <w:tcW w:type="dxa" w:w="2500"/>
            <w:tcMar>
              <w:top w:type="dxa" w:w="80"/>
              <w:left w:type="dxa" w:w="100"/>
              <w:bottom w:type="dxa" w:w="80"/>
              <w:right w:type="dxa" w:w="100"/>
            </w:tcMar>
          </w:tcPr>
          <w:p>
            <w:pPr>
              <w:jc w:val="left"/>
            </w:pPr>
            <w:r>
              <w:rPr>
                <w:b w:val="false"/>
                <w:bCs w:val="false"/>
                <w:sz w:val="21"/>
                <w:szCs w:val="21"/>
              </w:rPr>
              <w:t xml:space="preserve">16</w:t>
            </w:r>
          </w:p>
        </w:tc>
        <w:tc>
          <w:tcPr>
            <w:tcW w:type="dxa" w:w="1660"/>
            <w:tcMar>
              <w:top w:type="dxa" w:w="80"/>
              <w:left w:type="dxa" w:w="100"/>
              <w:bottom w:type="dxa" w:w="80"/>
              <w:right w:type="dxa" w:w="100"/>
            </w:tcMar>
          </w:tcPr>
          <w:p>
            <w:pPr>
              <w:jc w:val="left"/>
            </w:pPr>
            <w:r>
              <w:rPr>
                <w:b w:val="false"/>
                <w:bCs w:val="false"/>
                <w:sz w:val="21"/>
                <w:szCs w:val="21"/>
              </w:rPr>
              <w:t xml:space="preserve">26.7%</w:t>
            </w:r>
          </w:p>
        </w:tc>
      </w:tr>
      <w:tr>
        <w:tc>
          <w:tcPr>
            <w:tcW w:type="dxa" w:w="3500"/>
            <w:tcMar>
              <w:top w:type="dxa" w:w="80"/>
              <w:left w:type="dxa" w:w="100"/>
              <w:bottom w:type="dxa" w:w="80"/>
              <w:right w:type="dxa" w:w="100"/>
            </w:tcMar>
          </w:tcPr>
          <w:p>
            <w:pPr>
              <w:jc w:val="left"/>
            </w:pPr>
            <w:r>
              <w:rPr>
                <w:b w:val="false"/>
                <w:bCs w:val="false"/>
                <w:sz w:val="21"/>
                <w:szCs w:val="21"/>
              </w:rPr>
              <w:t xml:space="preserve">Not concerned at all</w:t>
            </w:r>
          </w:p>
        </w:tc>
        <w:tc>
          <w:tcPr>
            <w:tcW w:type="dxa" w:w="2500"/>
            <w:tcMar>
              <w:top w:type="dxa" w:w="80"/>
              <w:left w:type="dxa" w:w="100"/>
              <w:bottom w:type="dxa" w:w="80"/>
              <w:right w:type="dxa" w:w="100"/>
            </w:tcMar>
          </w:tcPr>
          <w:p>
            <w:pPr>
              <w:jc w:val="left"/>
            </w:pPr>
            <w:r>
              <w:rPr>
                <w:b w:val="false"/>
                <w:bCs w:val="false"/>
                <w:sz w:val="21"/>
                <w:szCs w:val="21"/>
              </w:rPr>
              <w:t xml:space="preserve">1</w:t>
            </w:r>
          </w:p>
        </w:tc>
        <w:tc>
          <w:tcPr>
            <w:tcW w:type="dxa" w:w="1660"/>
            <w:tcMar>
              <w:top w:type="dxa" w:w="80"/>
              <w:left w:type="dxa" w:w="100"/>
              <w:bottom w:type="dxa" w:w="80"/>
              <w:right w:type="dxa" w:w="100"/>
            </w:tcMar>
          </w:tcPr>
          <w:p>
            <w:pPr>
              <w:jc w:val="left"/>
            </w:pPr>
            <w:r>
              <w:rPr>
                <w:b w:val="false"/>
                <w:bCs w:val="false"/>
                <w:sz w:val="21"/>
                <w:szCs w:val="21"/>
              </w:rPr>
              <w:t xml:space="preserve">1.7%</w:t>
            </w:r>
          </w:p>
        </w:tc>
      </w:tr>
    </w:tbl>
    <w:p>
      <w:pPr>
        <w:spacing w:after="200"/>
      </w:pPr>
    </w:p>
    <w:p>
      <w:pPr>
        <w:spacing w:after="200"/>
        <w:jc w:val="both"/>
      </w:pPr>
      <w:r>
        <w:t xml:space="preserve">The large majority of respondents expressed at least some concern about plastic waste (71.6% "very" or "somewhat" concerned combined), while only one respondent (1.7%) reported no concern at all, suggesting generally high environmental awareness within the sample.</w:t>
      </w:r>
    </w:p>
    <w:p>
      <w:pPr>
        <w:pStyle w:val="Heading2"/>
        <w:spacing w:after="150" w:before="300"/>
      </w:pPr>
      <w:r>
        <w:t xml:space="preserve">4.7 Single-Use Plastic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60"/>
      </w:tblGrid>
      <w:tr>
        <w:trPr>
          <w:tblHeader/>
        </w:trPr>
        <w:tc>
          <w:tcPr>
            <w:tcW w:type="dxa" w:w="3500"/>
            <w:shd w:fill="1F4E5F" w:color="auto" w:val="clear"/>
            <w:tcMar>
              <w:top w:type="dxa" w:w="80"/>
              <w:left w:type="dxa" w:w="100"/>
              <w:bottom w:type="dxa" w:w="80"/>
              <w:right w:type="dxa" w:w="100"/>
            </w:tcMar>
          </w:tcPr>
          <w:p>
            <w:pPr>
              <w:jc w:val="left"/>
            </w:pPr>
            <w:r>
              <w:rPr>
                <w:b/>
                <w:bCs/>
                <w:color w:val="FFFFFF"/>
                <w:sz w:val="21"/>
                <w:szCs w:val="21"/>
              </w:rPr>
              <w:t xml:space="preserve">Frequency of use</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6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3500"/>
            <w:tcMar>
              <w:top w:type="dxa" w:w="80"/>
              <w:left w:type="dxa" w:w="100"/>
              <w:bottom w:type="dxa" w:w="80"/>
              <w:right w:type="dxa" w:w="100"/>
            </w:tcMar>
          </w:tcPr>
          <w:p>
            <w:pPr>
              <w:jc w:val="left"/>
            </w:pPr>
            <w:r>
              <w:rPr>
                <w:b w:val="false"/>
                <w:bCs w:val="false"/>
                <w:sz w:val="21"/>
                <w:szCs w:val="21"/>
              </w:rPr>
              <w:t xml:space="preserve">A few times a week</w:t>
            </w:r>
          </w:p>
        </w:tc>
        <w:tc>
          <w:tcPr>
            <w:tcW w:type="dxa" w:w="2500"/>
            <w:tcMar>
              <w:top w:type="dxa" w:w="80"/>
              <w:left w:type="dxa" w:w="100"/>
              <w:bottom w:type="dxa" w:w="80"/>
              <w:right w:type="dxa" w:w="100"/>
            </w:tcMar>
          </w:tcPr>
          <w:p>
            <w:pPr>
              <w:jc w:val="left"/>
            </w:pPr>
            <w:r>
              <w:rPr>
                <w:b w:val="false"/>
                <w:bCs w:val="false"/>
                <w:sz w:val="21"/>
                <w:szCs w:val="21"/>
              </w:rPr>
              <w:t xml:space="preserve">23</w:t>
            </w:r>
          </w:p>
        </w:tc>
        <w:tc>
          <w:tcPr>
            <w:tcW w:type="dxa" w:w="1660"/>
            <w:tcMar>
              <w:top w:type="dxa" w:w="80"/>
              <w:left w:type="dxa" w:w="100"/>
              <w:bottom w:type="dxa" w:w="80"/>
              <w:right w:type="dxa" w:w="100"/>
            </w:tcMar>
          </w:tcPr>
          <w:p>
            <w:pPr>
              <w:jc w:val="left"/>
            </w:pPr>
            <w:r>
              <w:rPr>
                <w:b w:val="false"/>
                <w:bCs w:val="false"/>
                <w:sz w:val="21"/>
                <w:szCs w:val="21"/>
              </w:rPr>
              <w:t xml:space="preserve">38.3%</w:t>
            </w:r>
          </w:p>
        </w:tc>
      </w:tr>
      <w:tr>
        <w:tc>
          <w:tcPr>
            <w:tcW w:type="dxa" w:w="3500"/>
            <w:tcMar>
              <w:top w:type="dxa" w:w="80"/>
              <w:left w:type="dxa" w:w="100"/>
              <w:bottom w:type="dxa" w:w="80"/>
              <w:right w:type="dxa" w:w="100"/>
            </w:tcMar>
          </w:tcPr>
          <w:p>
            <w:pPr>
              <w:jc w:val="left"/>
            </w:pPr>
            <w:r>
              <w:rPr>
                <w:b w:val="false"/>
                <w:bCs w:val="false"/>
                <w:sz w:val="21"/>
                <w:szCs w:val="21"/>
              </w:rPr>
              <w:t xml:space="preserve">Daily</w:t>
            </w:r>
          </w:p>
        </w:tc>
        <w:tc>
          <w:tcPr>
            <w:tcW w:type="dxa" w:w="2500"/>
            <w:tcMar>
              <w:top w:type="dxa" w:w="80"/>
              <w:left w:type="dxa" w:w="100"/>
              <w:bottom w:type="dxa" w:w="80"/>
              <w:right w:type="dxa" w:w="100"/>
            </w:tcMar>
          </w:tcPr>
          <w:p>
            <w:pPr>
              <w:jc w:val="left"/>
            </w:pPr>
            <w:r>
              <w:rPr>
                <w:b w:val="false"/>
                <w:bCs w:val="false"/>
                <w:sz w:val="21"/>
                <w:szCs w:val="21"/>
              </w:rPr>
              <w:t xml:space="preserve">20</w:t>
            </w:r>
          </w:p>
        </w:tc>
        <w:tc>
          <w:tcPr>
            <w:tcW w:type="dxa" w:w="1660"/>
            <w:tcMar>
              <w:top w:type="dxa" w:w="80"/>
              <w:left w:type="dxa" w:w="100"/>
              <w:bottom w:type="dxa" w:w="80"/>
              <w:right w:type="dxa" w:w="100"/>
            </w:tcMar>
          </w:tcPr>
          <w:p>
            <w:pPr>
              <w:jc w:val="left"/>
            </w:pPr>
            <w:r>
              <w:rPr>
                <w:b w:val="false"/>
                <w:bCs w:val="false"/>
                <w:sz w:val="21"/>
                <w:szCs w:val="21"/>
              </w:rPr>
              <w:t xml:space="preserve">33.3%</w:t>
            </w:r>
          </w:p>
        </w:tc>
      </w:tr>
      <w:tr>
        <w:tc>
          <w:tcPr>
            <w:tcW w:type="dxa" w:w="3500"/>
            <w:tcMar>
              <w:top w:type="dxa" w:w="80"/>
              <w:left w:type="dxa" w:w="100"/>
              <w:bottom w:type="dxa" w:w="80"/>
              <w:right w:type="dxa" w:w="100"/>
            </w:tcMar>
          </w:tcPr>
          <w:p>
            <w:pPr>
              <w:jc w:val="left"/>
            </w:pPr>
            <w:r>
              <w:rPr>
                <w:b w:val="false"/>
                <w:bCs w:val="false"/>
                <w:sz w:val="21"/>
                <w:szCs w:val="21"/>
              </w:rPr>
              <w:t xml:space="preserve">Rarely</w:t>
            </w:r>
          </w:p>
        </w:tc>
        <w:tc>
          <w:tcPr>
            <w:tcW w:type="dxa" w:w="2500"/>
            <w:tcMar>
              <w:top w:type="dxa" w:w="80"/>
              <w:left w:type="dxa" w:w="100"/>
              <w:bottom w:type="dxa" w:w="80"/>
              <w:right w:type="dxa" w:w="100"/>
            </w:tcMar>
          </w:tcPr>
          <w:p>
            <w:pPr>
              <w:jc w:val="left"/>
            </w:pPr>
            <w:r>
              <w:rPr>
                <w:b w:val="false"/>
                <w:bCs w:val="false"/>
                <w:sz w:val="21"/>
                <w:szCs w:val="21"/>
              </w:rPr>
              <w:t xml:space="preserve">14</w:t>
            </w:r>
          </w:p>
        </w:tc>
        <w:tc>
          <w:tcPr>
            <w:tcW w:type="dxa" w:w="1660"/>
            <w:tcMar>
              <w:top w:type="dxa" w:w="80"/>
              <w:left w:type="dxa" w:w="100"/>
              <w:bottom w:type="dxa" w:w="80"/>
              <w:right w:type="dxa" w:w="100"/>
            </w:tcMar>
          </w:tcPr>
          <w:p>
            <w:pPr>
              <w:jc w:val="left"/>
            </w:pPr>
            <w:r>
              <w:rPr>
                <w:b w:val="false"/>
                <w:bCs w:val="false"/>
                <w:sz w:val="21"/>
                <w:szCs w:val="21"/>
              </w:rPr>
              <w:t xml:space="preserve">23.3%</w:t>
            </w:r>
          </w:p>
        </w:tc>
      </w:tr>
      <w:tr>
        <w:tc>
          <w:tcPr>
            <w:tcW w:type="dxa" w:w="3500"/>
            <w:tcMar>
              <w:top w:type="dxa" w:w="80"/>
              <w:left w:type="dxa" w:w="100"/>
              <w:bottom w:type="dxa" w:w="80"/>
              <w:right w:type="dxa" w:w="100"/>
            </w:tcMar>
          </w:tcPr>
          <w:p>
            <w:pPr>
              <w:jc w:val="left"/>
            </w:pPr>
            <w:r>
              <w:rPr>
                <w:b w:val="false"/>
                <w:bCs w:val="false"/>
                <w:sz w:val="21"/>
                <w:szCs w:val="21"/>
              </w:rPr>
              <w:t xml:space="preserve">Never</w:t>
            </w:r>
          </w:p>
        </w:tc>
        <w:tc>
          <w:tcPr>
            <w:tcW w:type="dxa" w:w="2500"/>
            <w:tcMar>
              <w:top w:type="dxa" w:w="80"/>
              <w:left w:type="dxa" w:w="100"/>
              <w:bottom w:type="dxa" w:w="80"/>
              <w:right w:type="dxa" w:w="100"/>
            </w:tcMar>
          </w:tcPr>
          <w:p>
            <w:pPr>
              <w:jc w:val="left"/>
            </w:pPr>
            <w:r>
              <w:rPr>
                <w:b w:val="false"/>
                <w:bCs w:val="false"/>
                <w:sz w:val="21"/>
                <w:szCs w:val="21"/>
              </w:rPr>
              <w:t xml:space="preserve">3</w:t>
            </w:r>
          </w:p>
        </w:tc>
        <w:tc>
          <w:tcPr>
            <w:tcW w:type="dxa" w:w="1660"/>
            <w:tcMar>
              <w:top w:type="dxa" w:w="80"/>
              <w:left w:type="dxa" w:w="100"/>
              <w:bottom w:type="dxa" w:w="80"/>
              <w:right w:type="dxa" w:w="100"/>
            </w:tcMar>
          </w:tcPr>
          <w:p>
            <w:pPr>
              <w:jc w:val="left"/>
            </w:pPr>
            <w:r>
              <w:rPr>
                <w:b w:val="false"/>
                <w:bCs w:val="false"/>
                <w:sz w:val="21"/>
                <w:szCs w:val="21"/>
              </w:rPr>
              <w:t xml:space="preserve">5.0%</w:t>
            </w:r>
          </w:p>
        </w:tc>
      </w:tr>
    </w:tbl>
    <w:p>
      <w:pPr>
        <w:spacing w:after="200"/>
      </w:pPr>
    </w:p>
    <w:p>
      <w:pPr>
        <w:spacing w:after="200"/>
        <w:jc w:val="both"/>
      </w:pPr>
      <w:r>
        <w:t xml:space="preserve">A combined 71.6% of respondents use single-use plastics at least a few times a week, including one-third (33.3%) who use them daily — indicating that despite high stated concern (Section 4.6), single-use plastic remains deeply embedded in students' everyday campus habits.</w:t>
      </w:r>
    </w:p>
    <w:p>
      <w:pPr>
        <w:pStyle w:val="Heading2"/>
        <w:spacing w:after="150" w:before="300"/>
      </w:pPr>
      <w:r>
        <w:t xml:space="preserve">4.8 Perceived Responsibility for Plastic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1160"/>
      </w:tblGrid>
      <w:tr>
        <w:trPr>
          <w:tblHeader/>
        </w:trPr>
        <w:tc>
          <w:tcPr>
            <w:tcW w:type="dxa" w:w="4000"/>
            <w:shd w:fill="1F4E5F" w:color="auto" w:val="clear"/>
            <w:tcMar>
              <w:top w:type="dxa" w:w="80"/>
              <w:left w:type="dxa" w:w="100"/>
              <w:bottom w:type="dxa" w:w="80"/>
              <w:right w:type="dxa" w:w="100"/>
            </w:tcMar>
          </w:tcPr>
          <w:p>
            <w:pPr>
              <w:jc w:val="left"/>
            </w:pPr>
            <w:r>
              <w:rPr>
                <w:b/>
                <w:bCs/>
                <w:color w:val="FFFFFF"/>
                <w:sz w:val="21"/>
                <w:szCs w:val="21"/>
              </w:rPr>
              <w:t xml:space="preserve">Perceived responsibility</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1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4000"/>
            <w:tcMar>
              <w:top w:type="dxa" w:w="80"/>
              <w:left w:type="dxa" w:w="100"/>
              <w:bottom w:type="dxa" w:w="80"/>
              <w:right w:type="dxa" w:w="100"/>
            </w:tcMar>
          </w:tcPr>
          <w:p>
            <w:pPr>
              <w:jc w:val="left"/>
            </w:pPr>
            <w:r>
              <w:rPr>
                <w:b w:val="false"/>
                <w:bCs w:val="false"/>
                <w:sz w:val="21"/>
                <w:szCs w:val="21"/>
              </w:rPr>
              <w:t xml:space="preserve">All of the above equally</w:t>
            </w:r>
          </w:p>
        </w:tc>
        <w:tc>
          <w:tcPr>
            <w:tcW w:type="dxa" w:w="2500"/>
            <w:tcMar>
              <w:top w:type="dxa" w:w="80"/>
              <w:left w:type="dxa" w:w="100"/>
              <w:bottom w:type="dxa" w:w="80"/>
              <w:right w:type="dxa" w:w="100"/>
            </w:tcMar>
          </w:tcPr>
          <w:p>
            <w:pPr>
              <w:jc w:val="left"/>
            </w:pPr>
            <w:r>
              <w:rPr>
                <w:b w:val="false"/>
                <w:bCs w:val="false"/>
                <w:sz w:val="21"/>
                <w:szCs w:val="21"/>
              </w:rPr>
              <w:t xml:space="preserve">31</w:t>
            </w:r>
          </w:p>
        </w:tc>
        <w:tc>
          <w:tcPr>
            <w:tcW w:type="dxa" w:w="1160"/>
            <w:tcMar>
              <w:top w:type="dxa" w:w="80"/>
              <w:left w:type="dxa" w:w="100"/>
              <w:bottom w:type="dxa" w:w="80"/>
              <w:right w:type="dxa" w:w="100"/>
            </w:tcMar>
          </w:tcPr>
          <w:p>
            <w:pPr>
              <w:jc w:val="left"/>
            </w:pPr>
            <w:r>
              <w:rPr>
                <w:b w:val="false"/>
                <w:bCs w:val="false"/>
                <w:sz w:val="21"/>
                <w:szCs w:val="21"/>
              </w:rPr>
              <w:t xml:space="preserve">51.7%</w:t>
            </w:r>
          </w:p>
        </w:tc>
      </w:tr>
      <w:tr>
        <w:tc>
          <w:tcPr>
            <w:tcW w:type="dxa" w:w="4000"/>
            <w:tcMar>
              <w:top w:type="dxa" w:w="80"/>
              <w:left w:type="dxa" w:w="100"/>
              <w:bottom w:type="dxa" w:w="80"/>
              <w:right w:type="dxa" w:w="100"/>
            </w:tcMar>
          </w:tcPr>
          <w:p>
            <w:pPr>
              <w:jc w:val="left"/>
            </w:pPr>
            <w:r>
              <w:rPr>
                <w:b w:val="false"/>
                <w:bCs w:val="false"/>
                <w:sz w:val="21"/>
                <w:szCs w:val="21"/>
              </w:rPr>
              <w:t xml:space="preserve">Cafeteria Vendors &amp; Food Stalls</w:t>
            </w:r>
          </w:p>
        </w:tc>
        <w:tc>
          <w:tcPr>
            <w:tcW w:type="dxa" w:w="2500"/>
            <w:tcMar>
              <w:top w:type="dxa" w:w="80"/>
              <w:left w:type="dxa" w:w="100"/>
              <w:bottom w:type="dxa" w:w="80"/>
              <w:right w:type="dxa" w:w="100"/>
            </w:tcMar>
          </w:tcPr>
          <w:p>
            <w:pPr>
              <w:jc w:val="left"/>
            </w:pPr>
            <w:r>
              <w:rPr>
                <w:b w:val="false"/>
                <w:bCs w:val="false"/>
                <w:sz w:val="21"/>
                <w:szCs w:val="21"/>
              </w:rPr>
              <w:t xml:space="preserve">20</w:t>
            </w:r>
          </w:p>
        </w:tc>
        <w:tc>
          <w:tcPr>
            <w:tcW w:type="dxa" w:w="1160"/>
            <w:tcMar>
              <w:top w:type="dxa" w:w="80"/>
              <w:left w:type="dxa" w:w="100"/>
              <w:bottom w:type="dxa" w:w="80"/>
              <w:right w:type="dxa" w:w="100"/>
            </w:tcMar>
          </w:tcPr>
          <w:p>
            <w:pPr>
              <w:jc w:val="left"/>
            </w:pPr>
            <w:r>
              <w:rPr>
                <w:b w:val="false"/>
                <w:bCs w:val="false"/>
                <w:sz w:val="21"/>
                <w:szCs w:val="21"/>
              </w:rPr>
              <w:t xml:space="preserve">33.3%</w:t>
            </w:r>
          </w:p>
        </w:tc>
      </w:tr>
      <w:tr>
        <w:tc>
          <w:tcPr>
            <w:tcW w:type="dxa" w:w="4000"/>
            <w:tcMar>
              <w:top w:type="dxa" w:w="80"/>
              <w:left w:type="dxa" w:w="100"/>
              <w:bottom w:type="dxa" w:w="80"/>
              <w:right w:type="dxa" w:w="100"/>
            </w:tcMar>
          </w:tcPr>
          <w:p>
            <w:pPr>
              <w:jc w:val="left"/>
            </w:pPr>
            <w:r>
              <w:rPr>
                <w:b w:val="false"/>
                <w:bCs w:val="false"/>
                <w:sz w:val="21"/>
                <w:szCs w:val="21"/>
              </w:rPr>
              <w:t xml:space="preserve">University Administration</w:t>
            </w:r>
          </w:p>
        </w:tc>
        <w:tc>
          <w:tcPr>
            <w:tcW w:type="dxa" w:w="2500"/>
            <w:tcMar>
              <w:top w:type="dxa" w:w="80"/>
              <w:left w:type="dxa" w:w="100"/>
              <w:bottom w:type="dxa" w:w="80"/>
              <w:right w:type="dxa" w:w="100"/>
            </w:tcMar>
          </w:tcPr>
          <w:p>
            <w:pPr>
              <w:jc w:val="left"/>
            </w:pPr>
            <w:r>
              <w:rPr>
                <w:b w:val="false"/>
                <w:bCs w:val="false"/>
                <w:sz w:val="21"/>
                <w:szCs w:val="21"/>
              </w:rPr>
              <w:t xml:space="preserve">6</w:t>
            </w:r>
          </w:p>
        </w:tc>
        <w:tc>
          <w:tcPr>
            <w:tcW w:type="dxa" w:w="1160"/>
            <w:tcMar>
              <w:top w:type="dxa" w:w="80"/>
              <w:left w:type="dxa" w:w="100"/>
              <w:bottom w:type="dxa" w:w="80"/>
              <w:right w:type="dxa" w:w="100"/>
            </w:tcMar>
          </w:tcPr>
          <w:p>
            <w:pPr>
              <w:jc w:val="left"/>
            </w:pPr>
            <w:r>
              <w:rPr>
                <w:b w:val="false"/>
                <w:bCs w:val="false"/>
                <w:sz w:val="21"/>
                <w:szCs w:val="21"/>
              </w:rPr>
              <w:t xml:space="preserve">10.0%</w:t>
            </w:r>
          </w:p>
        </w:tc>
      </w:tr>
      <w:tr>
        <w:tc>
          <w:tcPr>
            <w:tcW w:type="dxa" w:w="4000"/>
            <w:tcMar>
              <w:top w:type="dxa" w:w="80"/>
              <w:left w:type="dxa" w:w="100"/>
              <w:bottom w:type="dxa" w:w="80"/>
              <w:right w:type="dxa" w:w="100"/>
            </w:tcMar>
          </w:tcPr>
          <w:p>
            <w:pPr>
              <w:jc w:val="left"/>
            </w:pPr>
            <w:r>
              <w:rPr>
                <w:b w:val="false"/>
                <w:bCs w:val="false"/>
                <w:sz w:val="21"/>
                <w:szCs w:val="21"/>
              </w:rPr>
              <w:t xml:space="preserve">Students and Campus Visitors</w:t>
            </w:r>
          </w:p>
        </w:tc>
        <w:tc>
          <w:tcPr>
            <w:tcW w:type="dxa" w:w="2500"/>
            <w:tcMar>
              <w:top w:type="dxa" w:w="80"/>
              <w:left w:type="dxa" w:w="100"/>
              <w:bottom w:type="dxa" w:w="80"/>
              <w:right w:type="dxa" w:w="100"/>
            </w:tcMar>
          </w:tcPr>
          <w:p>
            <w:pPr>
              <w:jc w:val="left"/>
            </w:pPr>
            <w:r>
              <w:rPr>
                <w:b w:val="false"/>
                <w:bCs w:val="false"/>
                <w:sz w:val="21"/>
                <w:szCs w:val="21"/>
              </w:rPr>
              <w:t xml:space="preserve">3</w:t>
            </w:r>
          </w:p>
        </w:tc>
        <w:tc>
          <w:tcPr>
            <w:tcW w:type="dxa" w:w="1160"/>
            <w:tcMar>
              <w:top w:type="dxa" w:w="80"/>
              <w:left w:type="dxa" w:w="100"/>
              <w:bottom w:type="dxa" w:w="80"/>
              <w:right w:type="dxa" w:w="100"/>
            </w:tcMar>
          </w:tcPr>
          <w:p>
            <w:pPr>
              <w:jc w:val="left"/>
            </w:pPr>
            <w:r>
              <w:rPr>
                <w:b w:val="false"/>
                <w:bCs w:val="false"/>
                <w:sz w:val="21"/>
                <w:szCs w:val="21"/>
              </w:rPr>
              <w:t xml:space="preserve">5.0%</w:t>
            </w:r>
          </w:p>
        </w:tc>
      </w:tr>
    </w:tbl>
    <w:p>
      <w:pPr>
        <w:spacing w:after="200"/>
      </w:pPr>
    </w:p>
    <w:p>
      <w:pPr>
        <w:spacing w:after="200"/>
        <w:jc w:val="both"/>
      </w:pPr>
      <w:r>
        <w:t xml:space="preserve">Just over half of respondents (51.7%) viewed plastic waste as a shared responsibility across all campus stakeholders, while a substantial minority (33.3%) placed primary responsibility specifically on cafeteria vendors and food stalls — the group directly targeted by the proposed initiative (Section 3.8).</w:t>
      </w:r>
    </w:p>
    <w:p>
      <w:pPr>
        <w:pStyle w:val="Heading2"/>
        <w:spacing w:after="150" w:before="300"/>
      </w:pPr>
      <w:r>
        <w:t xml:space="preserve">4.9 Support for Plastic-Free Campus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60"/>
      </w:tblGrid>
      <w:tr>
        <w:trPr>
          <w:tblHeader/>
        </w:trPr>
        <w:tc>
          <w:tcPr>
            <w:tcW w:type="dxa" w:w="3500"/>
            <w:shd w:fill="1F4E5F" w:color="auto" w:val="clear"/>
            <w:tcMar>
              <w:top w:type="dxa" w:w="80"/>
              <w:left w:type="dxa" w:w="100"/>
              <w:bottom w:type="dxa" w:w="80"/>
              <w:right w:type="dxa" w:w="100"/>
            </w:tcMar>
          </w:tcPr>
          <w:p>
            <w:pPr>
              <w:jc w:val="left"/>
            </w:pPr>
            <w:r>
              <w:rPr>
                <w:b/>
                <w:bCs/>
                <w:color w:val="FFFFFF"/>
                <w:sz w:val="21"/>
                <w:szCs w:val="21"/>
              </w:rPr>
              <w:t xml:space="preserve">Level of support</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6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3500"/>
            <w:tcMar>
              <w:top w:type="dxa" w:w="80"/>
              <w:left w:type="dxa" w:w="100"/>
              <w:bottom w:type="dxa" w:w="80"/>
              <w:right w:type="dxa" w:w="100"/>
            </w:tcMar>
          </w:tcPr>
          <w:p>
            <w:pPr>
              <w:jc w:val="left"/>
            </w:pPr>
            <w:r>
              <w:rPr>
                <w:b w:val="false"/>
                <w:bCs w:val="false"/>
                <w:sz w:val="21"/>
                <w:szCs w:val="21"/>
              </w:rPr>
              <w:t xml:space="preserve">Strongly support</w:t>
            </w:r>
          </w:p>
        </w:tc>
        <w:tc>
          <w:tcPr>
            <w:tcW w:type="dxa" w:w="2500"/>
            <w:tcMar>
              <w:top w:type="dxa" w:w="80"/>
              <w:left w:type="dxa" w:w="100"/>
              <w:bottom w:type="dxa" w:w="80"/>
              <w:right w:type="dxa" w:w="100"/>
            </w:tcMar>
          </w:tcPr>
          <w:p>
            <w:pPr>
              <w:jc w:val="left"/>
            </w:pPr>
            <w:r>
              <w:rPr>
                <w:b w:val="false"/>
                <w:bCs w:val="false"/>
                <w:sz w:val="21"/>
                <w:szCs w:val="21"/>
              </w:rPr>
              <w:t xml:space="preserve">45</w:t>
            </w:r>
          </w:p>
        </w:tc>
        <w:tc>
          <w:tcPr>
            <w:tcW w:type="dxa" w:w="1660"/>
            <w:tcMar>
              <w:top w:type="dxa" w:w="80"/>
              <w:left w:type="dxa" w:w="100"/>
              <w:bottom w:type="dxa" w:w="80"/>
              <w:right w:type="dxa" w:w="100"/>
            </w:tcMar>
          </w:tcPr>
          <w:p>
            <w:pPr>
              <w:jc w:val="left"/>
            </w:pPr>
            <w:r>
              <w:rPr>
                <w:b w:val="false"/>
                <w:bCs w:val="false"/>
                <w:sz w:val="21"/>
                <w:szCs w:val="21"/>
              </w:rPr>
              <w:t xml:space="preserve">75.0%</w:t>
            </w:r>
          </w:p>
        </w:tc>
      </w:tr>
      <w:tr>
        <w:tc>
          <w:tcPr>
            <w:tcW w:type="dxa" w:w="3500"/>
            <w:tcMar>
              <w:top w:type="dxa" w:w="80"/>
              <w:left w:type="dxa" w:w="100"/>
              <w:bottom w:type="dxa" w:w="80"/>
              <w:right w:type="dxa" w:w="100"/>
            </w:tcMar>
          </w:tcPr>
          <w:p>
            <w:pPr>
              <w:jc w:val="left"/>
            </w:pPr>
            <w:r>
              <w:rPr>
                <w:b w:val="false"/>
                <w:bCs w:val="false"/>
                <w:sz w:val="21"/>
                <w:szCs w:val="21"/>
              </w:rPr>
              <w:t xml:space="preserve">Neutral</w:t>
            </w:r>
          </w:p>
        </w:tc>
        <w:tc>
          <w:tcPr>
            <w:tcW w:type="dxa" w:w="2500"/>
            <w:tcMar>
              <w:top w:type="dxa" w:w="80"/>
              <w:left w:type="dxa" w:w="100"/>
              <w:bottom w:type="dxa" w:w="80"/>
              <w:right w:type="dxa" w:w="100"/>
            </w:tcMar>
          </w:tcPr>
          <w:p>
            <w:pPr>
              <w:jc w:val="left"/>
            </w:pPr>
            <w:r>
              <w:rPr>
                <w:b w:val="false"/>
                <w:bCs w:val="false"/>
                <w:sz w:val="21"/>
                <w:szCs w:val="21"/>
              </w:rPr>
              <w:t xml:space="preserve">8</w:t>
            </w:r>
          </w:p>
        </w:tc>
        <w:tc>
          <w:tcPr>
            <w:tcW w:type="dxa" w:w="1660"/>
            <w:tcMar>
              <w:top w:type="dxa" w:w="80"/>
              <w:left w:type="dxa" w:w="100"/>
              <w:bottom w:type="dxa" w:w="80"/>
              <w:right w:type="dxa" w:w="100"/>
            </w:tcMar>
          </w:tcPr>
          <w:p>
            <w:pPr>
              <w:jc w:val="left"/>
            </w:pPr>
            <w:r>
              <w:rPr>
                <w:b w:val="false"/>
                <w:bCs w:val="false"/>
                <w:sz w:val="21"/>
                <w:szCs w:val="21"/>
              </w:rPr>
              <w:t xml:space="preserve">13.3%</w:t>
            </w:r>
          </w:p>
        </w:tc>
      </w:tr>
      <w:tr>
        <w:tc>
          <w:tcPr>
            <w:tcW w:type="dxa" w:w="3500"/>
            <w:tcMar>
              <w:top w:type="dxa" w:w="80"/>
              <w:left w:type="dxa" w:w="100"/>
              <w:bottom w:type="dxa" w:w="80"/>
              <w:right w:type="dxa" w:w="100"/>
            </w:tcMar>
          </w:tcPr>
          <w:p>
            <w:pPr>
              <w:jc w:val="left"/>
            </w:pPr>
            <w:r>
              <w:rPr>
                <w:b w:val="false"/>
                <w:bCs w:val="false"/>
                <w:sz w:val="21"/>
                <w:szCs w:val="21"/>
              </w:rPr>
              <w:t xml:space="preserve">Somewhat support</w:t>
            </w:r>
          </w:p>
        </w:tc>
        <w:tc>
          <w:tcPr>
            <w:tcW w:type="dxa" w:w="2500"/>
            <w:tcMar>
              <w:top w:type="dxa" w:w="80"/>
              <w:left w:type="dxa" w:w="100"/>
              <w:bottom w:type="dxa" w:w="80"/>
              <w:right w:type="dxa" w:w="100"/>
            </w:tcMar>
          </w:tcPr>
          <w:p>
            <w:pPr>
              <w:jc w:val="left"/>
            </w:pPr>
            <w:r>
              <w:rPr>
                <w:b w:val="false"/>
                <w:bCs w:val="false"/>
                <w:sz w:val="21"/>
                <w:szCs w:val="21"/>
              </w:rPr>
              <w:t xml:space="preserve">6</w:t>
            </w:r>
          </w:p>
        </w:tc>
        <w:tc>
          <w:tcPr>
            <w:tcW w:type="dxa" w:w="1660"/>
            <w:tcMar>
              <w:top w:type="dxa" w:w="80"/>
              <w:left w:type="dxa" w:w="100"/>
              <w:bottom w:type="dxa" w:w="80"/>
              <w:right w:type="dxa" w:w="100"/>
            </w:tcMar>
          </w:tcPr>
          <w:p>
            <w:pPr>
              <w:jc w:val="left"/>
            </w:pPr>
            <w:r>
              <w:rPr>
                <w:b w:val="false"/>
                <w:bCs w:val="false"/>
                <w:sz w:val="21"/>
                <w:szCs w:val="21"/>
              </w:rPr>
              <w:t xml:space="preserve">10.0%</w:t>
            </w:r>
          </w:p>
        </w:tc>
      </w:tr>
      <w:tr>
        <w:tc>
          <w:tcPr>
            <w:tcW w:type="dxa" w:w="3500"/>
            <w:tcMar>
              <w:top w:type="dxa" w:w="80"/>
              <w:left w:type="dxa" w:w="100"/>
              <w:bottom w:type="dxa" w:w="80"/>
              <w:right w:type="dxa" w:w="100"/>
            </w:tcMar>
          </w:tcPr>
          <w:p>
            <w:pPr>
              <w:jc w:val="left"/>
            </w:pPr>
            <w:r>
              <w:rPr>
                <w:b w:val="false"/>
                <w:bCs w:val="false"/>
                <w:sz w:val="21"/>
                <w:szCs w:val="21"/>
              </w:rPr>
              <w:t xml:space="preserve">Strongly oppose</w:t>
            </w:r>
          </w:p>
        </w:tc>
        <w:tc>
          <w:tcPr>
            <w:tcW w:type="dxa" w:w="2500"/>
            <w:tcMar>
              <w:top w:type="dxa" w:w="80"/>
              <w:left w:type="dxa" w:w="100"/>
              <w:bottom w:type="dxa" w:w="80"/>
              <w:right w:type="dxa" w:w="100"/>
            </w:tcMar>
          </w:tcPr>
          <w:p>
            <w:pPr>
              <w:jc w:val="left"/>
            </w:pPr>
            <w:r>
              <w:rPr>
                <w:b w:val="false"/>
                <w:bCs w:val="false"/>
                <w:sz w:val="21"/>
                <w:szCs w:val="21"/>
              </w:rPr>
              <w:t xml:space="preserve">1</w:t>
            </w:r>
          </w:p>
        </w:tc>
        <w:tc>
          <w:tcPr>
            <w:tcW w:type="dxa" w:w="1660"/>
            <w:tcMar>
              <w:top w:type="dxa" w:w="80"/>
              <w:left w:type="dxa" w:w="100"/>
              <w:bottom w:type="dxa" w:w="80"/>
              <w:right w:type="dxa" w:w="100"/>
            </w:tcMar>
          </w:tcPr>
          <w:p>
            <w:pPr>
              <w:jc w:val="left"/>
            </w:pPr>
            <w:r>
              <w:rPr>
                <w:b w:val="false"/>
                <w:bCs w:val="false"/>
                <w:sz w:val="21"/>
                <w:szCs w:val="21"/>
              </w:rPr>
              <w:t xml:space="preserve">1.7%</w:t>
            </w:r>
          </w:p>
        </w:tc>
      </w:tr>
    </w:tbl>
    <w:p>
      <w:pPr>
        <w:spacing w:after="200"/>
      </w:pPr>
    </w:p>
    <w:p>
      <w:pPr>
        <w:spacing w:after="200"/>
        <w:jc w:val="both"/>
      </w:pPr>
      <w:r>
        <w:t xml:space="preserve">Support for the plastic-free campus initiative was very high: three-quarters of respondents (75.0%) strongly supported it, and a further 10.0% somewhat supported it, for combined support of 85.0%. Only one respondent (1.7%) strongly opposed the initiative.</w:t>
      </w:r>
    </w:p>
    <w:p>
      <w:pPr>
        <w:pStyle w:val="Heading2"/>
        <w:spacing w:after="150" w:before="300"/>
      </w:pPr>
      <w:r>
        <w:t xml:space="preserve">4.10 Perceived Effectiveness of the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60"/>
      </w:tblGrid>
      <w:tr>
        <w:trPr>
          <w:tblHeader/>
        </w:trPr>
        <w:tc>
          <w:tcPr>
            <w:tcW w:type="dxa" w:w="3500"/>
            <w:shd w:fill="1F4E5F" w:color="auto" w:val="clear"/>
            <w:tcMar>
              <w:top w:type="dxa" w:w="80"/>
              <w:left w:type="dxa" w:w="100"/>
              <w:bottom w:type="dxa" w:w="80"/>
              <w:right w:type="dxa" w:w="100"/>
            </w:tcMar>
          </w:tcPr>
          <w:p>
            <w:pPr>
              <w:jc w:val="left"/>
            </w:pPr>
            <w:r>
              <w:rPr>
                <w:b/>
                <w:bCs/>
                <w:color w:val="FFFFFF"/>
                <w:sz w:val="21"/>
                <w:szCs w:val="21"/>
              </w:rPr>
              <w:t xml:space="preserve">Perceived effectiveness</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6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3500"/>
            <w:tcMar>
              <w:top w:type="dxa" w:w="80"/>
              <w:left w:type="dxa" w:w="100"/>
              <w:bottom w:type="dxa" w:w="80"/>
              <w:right w:type="dxa" w:w="100"/>
            </w:tcMar>
          </w:tcPr>
          <w:p>
            <w:pPr>
              <w:jc w:val="left"/>
            </w:pPr>
            <w:r>
              <w:rPr>
                <w:b w:val="false"/>
                <w:bCs w:val="false"/>
                <w:sz w:val="21"/>
                <w:szCs w:val="21"/>
              </w:rPr>
              <w:t xml:space="preserve">Extremely effective</w:t>
            </w:r>
          </w:p>
        </w:tc>
        <w:tc>
          <w:tcPr>
            <w:tcW w:type="dxa" w:w="2500"/>
            <w:tcMar>
              <w:top w:type="dxa" w:w="80"/>
              <w:left w:type="dxa" w:w="100"/>
              <w:bottom w:type="dxa" w:w="80"/>
              <w:right w:type="dxa" w:w="100"/>
            </w:tcMar>
          </w:tcPr>
          <w:p>
            <w:pPr>
              <w:jc w:val="left"/>
            </w:pPr>
            <w:r>
              <w:rPr>
                <w:b w:val="false"/>
                <w:bCs w:val="false"/>
                <w:sz w:val="21"/>
                <w:szCs w:val="21"/>
              </w:rPr>
              <w:t xml:space="preserve">32</w:t>
            </w:r>
          </w:p>
        </w:tc>
        <w:tc>
          <w:tcPr>
            <w:tcW w:type="dxa" w:w="1660"/>
            <w:tcMar>
              <w:top w:type="dxa" w:w="80"/>
              <w:left w:type="dxa" w:w="100"/>
              <w:bottom w:type="dxa" w:w="80"/>
              <w:right w:type="dxa" w:w="100"/>
            </w:tcMar>
          </w:tcPr>
          <w:p>
            <w:pPr>
              <w:jc w:val="left"/>
            </w:pPr>
            <w:r>
              <w:rPr>
                <w:b w:val="false"/>
                <w:bCs w:val="false"/>
                <w:sz w:val="21"/>
                <w:szCs w:val="21"/>
              </w:rPr>
              <w:t xml:space="preserve">53.3%</w:t>
            </w:r>
          </w:p>
        </w:tc>
      </w:tr>
      <w:tr>
        <w:tc>
          <w:tcPr>
            <w:tcW w:type="dxa" w:w="3500"/>
            <w:tcMar>
              <w:top w:type="dxa" w:w="80"/>
              <w:left w:type="dxa" w:w="100"/>
              <w:bottom w:type="dxa" w:w="80"/>
              <w:right w:type="dxa" w:w="100"/>
            </w:tcMar>
          </w:tcPr>
          <w:p>
            <w:pPr>
              <w:jc w:val="left"/>
            </w:pPr>
            <w:r>
              <w:rPr>
                <w:b w:val="false"/>
                <w:bCs w:val="false"/>
                <w:sz w:val="21"/>
                <w:szCs w:val="21"/>
              </w:rPr>
              <w:t xml:space="preserve">Moderately effective</w:t>
            </w:r>
          </w:p>
        </w:tc>
        <w:tc>
          <w:tcPr>
            <w:tcW w:type="dxa" w:w="2500"/>
            <w:tcMar>
              <w:top w:type="dxa" w:w="80"/>
              <w:left w:type="dxa" w:w="100"/>
              <w:bottom w:type="dxa" w:w="80"/>
              <w:right w:type="dxa" w:w="100"/>
            </w:tcMar>
          </w:tcPr>
          <w:p>
            <w:pPr>
              <w:jc w:val="left"/>
            </w:pPr>
            <w:r>
              <w:rPr>
                <w:b w:val="false"/>
                <w:bCs w:val="false"/>
                <w:sz w:val="21"/>
                <w:szCs w:val="21"/>
              </w:rPr>
              <w:t xml:space="preserve">21</w:t>
            </w:r>
          </w:p>
        </w:tc>
        <w:tc>
          <w:tcPr>
            <w:tcW w:type="dxa" w:w="1660"/>
            <w:tcMar>
              <w:top w:type="dxa" w:w="80"/>
              <w:left w:type="dxa" w:w="100"/>
              <w:bottom w:type="dxa" w:w="80"/>
              <w:right w:type="dxa" w:w="100"/>
            </w:tcMar>
          </w:tcPr>
          <w:p>
            <w:pPr>
              <w:jc w:val="left"/>
            </w:pPr>
            <w:r>
              <w:rPr>
                <w:b w:val="false"/>
                <w:bCs w:val="false"/>
                <w:sz w:val="21"/>
                <w:szCs w:val="21"/>
              </w:rPr>
              <w:t xml:space="preserve">35.0%</w:t>
            </w:r>
          </w:p>
        </w:tc>
      </w:tr>
      <w:tr>
        <w:tc>
          <w:tcPr>
            <w:tcW w:type="dxa" w:w="3500"/>
            <w:tcMar>
              <w:top w:type="dxa" w:w="80"/>
              <w:left w:type="dxa" w:w="100"/>
              <w:bottom w:type="dxa" w:w="80"/>
              <w:right w:type="dxa" w:w="100"/>
            </w:tcMar>
          </w:tcPr>
          <w:p>
            <w:pPr>
              <w:jc w:val="left"/>
            </w:pPr>
            <w:r>
              <w:rPr>
                <w:b w:val="false"/>
                <w:bCs w:val="false"/>
                <w:sz w:val="21"/>
                <w:szCs w:val="21"/>
              </w:rPr>
              <w:t xml:space="preserve">Slightly effective</w:t>
            </w:r>
          </w:p>
        </w:tc>
        <w:tc>
          <w:tcPr>
            <w:tcW w:type="dxa" w:w="2500"/>
            <w:tcMar>
              <w:top w:type="dxa" w:w="80"/>
              <w:left w:type="dxa" w:w="100"/>
              <w:bottom w:type="dxa" w:w="80"/>
              <w:right w:type="dxa" w:w="100"/>
            </w:tcMar>
          </w:tcPr>
          <w:p>
            <w:pPr>
              <w:jc w:val="left"/>
            </w:pPr>
            <w:r>
              <w:rPr>
                <w:b w:val="false"/>
                <w:bCs w:val="false"/>
                <w:sz w:val="21"/>
                <w:szCs w:val="21"/>
              </w:rPr>
              <w:t xml:space="preserve">4</w:t>
            </w:r>
          </w:p>
        </w:tc>
        <w:tc>
          <w:tcPr>
            <w:tcW w:type="dxa" w:w="1660"/>
            <w:tcMar>
              <w:top w:type="dxa" w:w="80"/>
              <w:left w:type="dxa" w:w="100"/>
              <w:bottom w:type="dxa" w:w="80"/>
              <w:right w:type="dxa" w:w="100"/>
            </w:tcMar>
          </w:tcPr>
          <w:p>
            <w:pPr>
              <w:jc w:val="left"/>
            </w:pPr>
            <w:r>
              <w:rPr>
                <w:b w:val="false"/>
                <w:bCs w:val="false"/>
                <w:sz w:val="21"/>
                <w:szCs w:val="21"/>
              </w:rPr>
              <w:t xml:space="preserve">6.7%</w:t>
            </w:r>
          </w:p>
        </w:tc>
      </w:tr>
      <w:tr>
        <w:tc>
          <w:tcPr>
            <w:tcW w:type="dxa" w:w="3500"/>
            <w:tcMar>
              <w:top w:type="dxa" w:w="80"/>
              <w:left w:type="dxa" w:w="100"/>
              <w:bottom w:type="dxa" w:w="80"/>
              <w:right w:type="dxa" w:w="100"/>
            </w:tcMar>
          </w:tcPr>
          <w:p>
            <w:pPr>
              <w:jc w:val="left"/>
            </w:pPr>
            <w:r>
              <w:rPr>
                <w:b w:val="false"/>
                <w:bCs w:val="false"/>
                <w:sz w:val="21"/>
                <w:szCs w:val="21"/>
              </w:rPr>
              <w:t xml:space="preserve">Not effective at all</w:t>
            </w:r>
          </w:p>
        </w:tc>
        <w:tc>
          <w:tcPr>
            <w:tcW w:type="dxa" w:w="2500"/>
            <w:tcMar>
              <w:top w:type="dxa" w:w="80"/>
              <w:left w:type="dxa" w:w="100"/>
              <w:bottom w:type="dxa" w:w="80"/>
              <w:right w:type="dxa" w:w="100"/>
            </w:tcMar>
          </w:tcPr>
          <w:p>
            <w:pPr>
              <w:jc w:val="left"/>
            </w:pPr>
            <w:r>
              <w:rPr>
                <w:b w:val="false"/>
                <w:bCs w:val="false"/>
                <w:sz w:val="21"/>
                <w:szCs w:val="21"/>
              </w:rPr>
              <w:t xml:space="preserve">3</w:t>
            </w:r>
          </w:p>
        </w:tc>
        <w:tc>
          <w:tcPr>
            <w:tcW w:type="dxa" w:w="1660"/>
            <w:tcMar>
              <w:top w:type="dxa" w:w="80"/>
              <w:left w:type="dxa" w:w="100"/>
              <w:bottom w:type="dxa" w:w="80"/>
              <w:right w:type="dxa" w:w="100"/>
            </w:tcMar>
          </w:tcPr>
          <w:p>
            <w:pPr>
              <w:jc w:val="left"/>
            </w:pPr>
            <w:r>
              <w:rPr>
                <w:b w:val="false"/>
                <w:bCs w:val="false"/>
                <w:sz w:val="21"/>
                <w:szCs w:val="21"/>
              </w:rPr>
              <w:t xml:space="preserve">5.0%</w:t>
            </w:r>
          </w:p>
        </w:tc>
      </w:tr>
    </w:tbl>
    <w:p>
      <w:pPr>
        <w:spacing w:after="200"/>
      </w:pPr>
    </w:p>
    <w:p>
      <w:pPr>
        <w:spacing w:after="200"/>
        <w:jc w:val="both"/>
      </w:pPr>
      <w:r>
        <w:t xml:space="preserve">Most respondents believed the initiative would be effective, with 53.3% rating it "extremely effective" and a further 35.0% rating it "moderately effective" (combined 88.3%). Only 5.0% felt it would not be effective at all.</w:t>
      </w:r>
    </w:p>
    <w:p>
      <w:pPr>
        <w:pStyle w:val="Heading2"/>
        <w:spacing w:after="150" w:before="300"/>
      </w:pPr>
      <w:r>
        <w:t xml:space="preserve">4.11 Overall Willingness to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60"/>
      </w:tblGrid>
      <w:tr>
        <w:trPr>
          <w:tblHeader/>
        </w:trPr>
        <w:tc>
          <w:tcPr>
            <w:tcW w:type="dxa" w:w="3500"/>
            <w:shd w:fill="1F4E5F" w:color="auto" w:val="clear"/>
            <w:tcMar>
              <w:top w:type="dxa" w:w="80"/>
              <w:left w:type="dxa" w:w="100"/>
              <w:bottom w:type="dxa" w:w="80"/>
              <w:right w:type="dxa" w:w="100"/>
            </w:tcMar>
          </w:tcPr>
          <w:p>
            <w:pPr>
              <w:jc w:val="left"/>
            </w:pPr>
            <w:r>
              <w:rPr>
                <w:b/>
                <w:bCs/>
                <w:color w:val="FFFFFF"/>
                <w:sz w:val="21"/>
                <w:szCs w:val="21"/>
              </w:rPr>
              <w:t xml:space="preserve">Response</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6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3500"/>
            <w:tcMar>
              <w:top w:type="dxa" w:w="80"/>
              <w:left w:type="dxa" w:w="100"/>
              <w:bottom w:type="dxa" w:w="80"/>
              <w:right w:type="dxa" w:w="100"/>
            </w:tcMar>
          </w:tcPr>
          <w:p>
            <w:pPr>
              <w:jc w:val="left"/>
            </w:pPr>
            <w:r>
              <w:rPr>
                <w:b w:val="false"/>
                <w:bCs w:val="false"/>
                <w:sz w:val="21"/>
                <w:szCs w:val="21"/>
              </w:rPr>
              <w:t xml:space="preserve">No</w:t>
            </w:r>
          </w:p>
        </w:tc>
        <w:tc>
          <w:tcPr>
            <w:tcW w:type="dxa" w:w="2500"/>
            <w:tcMar>
              <w:top w:type="dxa" w:w="80"/>
              <w:left w:type="dxa" w:w="100"/>
              <w:bottom w:type="dxa" w:w="80"/>
              <w:right w:type="dxa" w:w="100"/>
            </w:tcMar>
          </w:tcPr>
          <w:p>
            <w:pPr>
              <w:jc w:val="left"/>
            </w:pPr>
            <w:r>
              <w:rPr>
                <w:b w:val="false"/>
                <w:bCs w:val="false"/>
                <w:sz w:val="21"/>
                <w:szCs w:val="21"/>
              </w:rPr>
              <w:t xml:space="preserve">35</w:t>
            </w:r>
          </w:p>
        </w:tc>
        <w:tc>
          <w:tcPr>
            <w:tcW w:type="dxa" w:w="1660"/>
            <w:tcMar>
              <w:top w:type="dxa" w:w="80"/>
              <w:left w:type="dxa" w:w="100"/>
              <w:bottom w:type="dxa" w:w="80"/>
              <w:right w:type="dxa" w:w="100"/>
            </w:tcMar>
          </w:tcPr>
          <w:p>
            <w:pPr>
              <w:jc w:val="left"/>
            </w:pPr>
            <w:r>
              <w:rPr>
                <w:b w:val="false"/>
                <w:bCs w:val="false"/>
                <w:sz w:val="21"/>
                <w:szCs w:val="21"/>
              </w:rPr>
              <w:t xml:space="preserve">58.3%</w:t>
            </w:r>
          </w:p>
        </w:tc>
      </w:tr>
      <w:tr>
        <w:tc>
          <w:tcPr>
            <w:tcW w:type="dxa" w:w="3500"/>
            <w:tcMar>
              <w:top w:type="dxa" w:w="80"/>
              <w:left w:type="dxa" w:w="100"/>
              <w:bottom w:type="dxa" w:w="80"/>
              <w:right w:type="dxa" w:w="100"/>
            </w:tcMar>
          </w:tcPr>
          <w:p>
            <w:pPr>
              <w:jc w:val="left"/>
            </w:pPr>
            <w:r>
              <w:rPr>
                <w:b w:val="false"/>
                <w:bCs w:val="false"/>
                <w:sz w:val="21"/>
                <w:szCs w:val="21"/>
              </w:rPr>
              <w:t xml:space="preserve">Yes</w:t>
            </w:r>
          </w:p>
        </w:tc>
        <w:tc>
          <w:tcPr>
            <w:tcW w:type="dxa" w:w="2500"/>
            <w:tcMar>
              <w:top w:type="dxa" w:w="80"/>
              <w:left w:type="dxa" w:w="100"/>
              <w:bottom w:type="dxa" w:w="80"/>
              <w:right w:type="dxa" w:w="100"/>
            </w:tcMar>
          </w:tcPr>
          <w:p>
            <w:pPr>
              <w:jc w:val="left"/>
            </w:pPr>
            <w:r>
              <w:rPr>
                <w:b w:val="false"/>
                <w:bCs w:val="false"/>
                <w:sz w:val="21"/>
                <w:szCs w:val="21"/>
              </w:rPr>
              <w:t xml:space="preserve">25</w:t>
            </w:r>
          </w:p>
        </w:tc>
        <w:tc>
          <w:tcPr>
            <w:tcW w:type="dxa" w:w="1660"/>
            <w:tcMar>
              <w:top w:type="dxa" w:w="80"/>
              <w:left w:type="dxa" w:w="100"/>
              <w:bottom w:type="dxa" w:w="80"/>
              <w:right w:type="dxa" w:w="100"/>
            </w:tcMar>
          </w:tcPr>
          <w:p>
            <w:pPr>
              <w:jc w:val="left"/>
            </w:pPr>
            <w:r>
              <w:rPr>
                <w:b w:val="false"/>
                <w:bCs w:val="false"/>
                <w:sz w:val="21"/>
                <w:szCs w:val="21"/>
              </w:rPr>
              <w:t xml:space="preserve">41.7%</w:t>
            </w:r>
          </w:p>
        </w:tc>
      </w:tr>
    </w:tbl>
    <w:p>
      <w:pPr>
        <w:spacing w:after="200"/>
      </w:pPr>
    </w:p>
    <w:p>
      <w:pPr>
        <w:spacing w:after="200"/>
        <w:jc w:val="both"/>
      </w:pPr>
      <w:r>
        <w:t xml:space="preserve">Despite strong stated support for the initiative (Section 4.9) and high perceived effectiveness (Section 4.10), a majority of respondents (58.3%) were not willing to pay an additional charge to fund it, while 41.7% expressed willingness to pay. This gap between attitudinal support and actual willingness to pay is a common finding in contingent valuation research and is examined further through the reasons for refusal (Section 4.12) and the regression results (Section 3.14).</w:t>
      </w:r>
    </w:p>
    <w:p>
      <w:pPr>
        <w:pStyle w:val="Heading2"/>
        <w:spacing w:after="150" w:before="300"/>
      </w:pPr>
      <w:r>
        <w:t xml:space="preserve">4.12 Reasons for Not Willing to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900"/>
        <w:gridCol w:w="1560"/>
      </w:tblGrid>
      <w:tr>
        <w:trPr>
          <w:tblHeader/>
        </w:trPr>
        <w:tc>
          <w:tcPr>
            <w:tcW w:type="dxa" w:w="4200"/>
            <w:shd w:fill="1F4E5F" w:color="auto" w:val="clear"/>
            <w:tcMar>
              <w:top w:type="dxa" w:w="80"/>
              <w:left w:type="dxa" w:w="100"/>
              <w:bottom w:type="dxa" w:w="80"/>
              <w:right w:type="dxa" w:w="100"/>
            </w:tcMar>
          </w:tcPr>
          <w:p>
            <w:pPr>
              <w:jc w:val="left"/>
            </w:pPr>
            <w:r>
              <w:rPr>
                <w:b/>
                <w:bCs/>
                <w:color w:val="FFFFFF"/>
                <w:sz w:val="21"/>
                <w:szCs w:val="21"/>
              </w:rPr>
              <w:t xml:space="preserve">Reason (among n = 35 unwilling respondents)</w:t>
            </w:r>
          </w:p>
        </w:tc>
        <w:tc>
          <w:tcPr>
            <w:tcW w:type="dxa" w:w="1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900"/>
            <w:shd w:fill="1F4E5F" w:color="auto" w:val="clear"/>
            <w:tcMar>
              <w:top w:type="dxa" w:w="80"/>
              <w:left w:type="dxa" w:w="100"/>
              <w:bottom w:type="dxa" w:w="80"/>
              <w:right w:type="dxa" w:w="100"/>
            </w:tcMar>
          </w:tcPr>
          <w:p>
            <w:pPr>
              <w:jc w:val="left"/>
            </w:pPr>
            <w:r>
              <w:rPr>
                <w:b/>
                <w:bCs/>
                <w:color w:val="FFFFFF"/>
                <w:sz w:val="21"/>
                <w:szCs w:val="21"/>
              </w:rPr>
              <w:t xml:space="preserve">% of unwilling</w:t>
            </w:r>
          </w:p>
        </w:tc>
        <w:tc>
          <w:tcPr>
            <w:tcW w:type="dxa" w:w="1560"/>
            <w:shd w:fill="1F4E5F" w:color="auto" w:val="clear"/>
            <w:tcMar>
              <w:top w:type="dxa" w:w="80"/>
              <w:left w:type="dxa" w:w="100"/>
              <w:bottom w:type="dxa" w:w="80"/>
              <w:right w:type="dxa" w:w="100"/>
            </w:tcMar>
          </w:tcPr>
          <w:p>
            <w:pPr>
              <w:jc w:val="left"/>
            </w:pPr>
            <w:r>
              <w:rPr>
                <w:b/>
                <w:bCs/>
                <w:color w:val="FFFFFF"/>
                <w:sz w:val="21"/>
                <w:szCs w:val="21"/>
              </w:rPr>
              <w:t xml:space="preserve">% of full sample</w:t>
            </w:r>
          </w:p>
        </w:tc>
      </w:tr>
      <w:tr>
        <w:tc>
          <w:tcPr>
            <w:tcW w:type="dxa" w:w="4200"/>
            <w:tcMar>
              <w:top w:type="dxa" w:w="80"/>
              <w:left w:type="dxa" w:w="100"/>
              <w:bottom w:type="dxa" w:w="80"/>
              <w:right w:type="dxa" w:w="100"/>
            </w:tcMar>
          </w:tcPr>
          <w:p>
            <w:pPr>
              <w:jc w:val="left"/>
            </w:pPr>
            <w:r>
              <w:rPr>
                <w:b w:val="false"/>
                <w:bCs w:val="false"/>
                <w:sz w:val="21"/>
                <w:szCs w:val="21"/>
              </w:rPr>
              <w:t xml:space="preserve">The university should fund this entirely out of current tuition fees</w:t>
            </w:r>
          </w:p>
        </w:tc>
        <w:tc>
          <w:tcPr>
            <w:tcW w:type="dxa" w:w="1500"/>
            <w:tcMar>
              <w:top w:type="dxa" w:w="80"/>
              <w:left w:type="dxa" w:w="100"/>
              <w:bottom w:type="dxa" w:w="80"/>
              <w:right w:type="dxa" w:w="100"/>
            </w:tcMar>
          </w:tcPr>
          <w:p>
            <w:pPr>
              <w:jc w:val="left"/>
            </w:pPr>
            <w:r>
              <w:rPr>
                <w:b w:val="false"/>
                <w:bCs w:val="false"/>
                <w:sz w:val="21"/>
                <w:szCs w:val="21"/>
              </w:rPr>
              <w:t xml:space="preserve">18</w:t>
            </w:r>
          </w:p>
        </w:tc>
        <w:tc>
          <w:tcPr>
            <w:tcW w:type="dxa" w:w="1900"/>
            <w:tcMar>
              <w:top w:type="dxa" w:w="80"/>
              <w:left w:type="dxa" w:w="100"/>
              <w:bottom w:type="dxa" w:w="80"/>
              <w:right w:type="dxa" w:w="100"/>
            </w:tcMar>
          </w:tcPr>
          <w:p>
            <w:pPr>
              <w:jc w:val="left"/>
            </w:pPr>
            <w:r>
              <w:rPr>
                <w:b w:val="false"/>
                <w:bCs w:val="false"/>
                <w:sz w:val="21"/>
                <w:szCs w:val="21"/>
              </w:rPr>
              <w:t xml:space="preserve">51.4%</w:t>
            </w:r>
          </w:p>
        </w:tc>
        <w:tc>
          <w:tcPr>
            <w:tcW w:type="dxa" w:w="1560"/>
            <w:tcMar>
              <w:top w:type="dxa" w:w="80"/>
              <w:left w:type="dxa" w:w="100"/>
              <w:bottom w:type="dxa" w:w="80"/>
              <w:right w:type="dxa" w:w="100"/>
            </w:tcMar>
          </w:tcPr>
          <w:p>
            <w:pPr>
              <w:jc w:val="left"/>
            </w:pPr>
            <w:r>
              <w:rPr>
                <w:b w:val="false"/>
                <w:bCs w:val="false"/>
                <w:sz w:val="21"/>
                <w:szCs w:val="21"/>
              </w:rPr>
              <w:t xml:space="preserve">30.0%</w:t>
            </w:r>
          </w:p>
        </w:tc>
      </w:tr>
      <w:tr>
        <w:tc>
          <w:tcPr>
            <w:tcW w:type="dxa" w:w="4200"/>
            <w:tcMar>
              <w:top w:type="dxa" w:w="80"/>
              <w:left w:type="dxa" w:w="100"/>
              <w:bottom w:type="dxa" w:w="80"/>
              <w:right w:type="dxa" w:w="100"/>
            </w:tcMar>
          </w:tcPr>
          <w:p>
            <w:pPr>
              <w:jc w:val="left"/>
            </w:pPr>
            <w:r>
              <w:rPr>
                <w:b w:val="false"/>
                <w:bCs w:val="false"/>
                <w:sz w:val="21"/>
                <w:szCs w:val="21"/>
              </w:rPr>
              <w:t xml:space="preserve">I do not trust that the collected fees will be used properly</w:t>
            </w:r>
          </w:p>
        </w:tc>
        <w:tc>
          <w:tcPr>
            <w:tcW w:type="dxa" w:w="1500"/>
            <w:tcMar>
              <w:top w:type="dxa" w:w="80"/>
              <w:left w:type="dxa" w:w="100"/>
              <w:bottom w:type="dxa" w:w="80"/>
              <w:right w:type="dxa" w:w="100"/>
            </w:tcMar>
          </w:tcPr>
          <w:p>
            <w:pPr>
              <w:jc w:val="left"/>
            </w:pPr>
            <w:r>
              <w:rPr>
                <w:b w:val="false"/>
                <w:bCs w:val="false"/>
                <w:sz w:val="21"/>
                <w:szCs w:val="21"/>
              </w:rPr>
              <w:t xml:space="preserve">9</w:t>
            </w:r>
          </w:p>
        </w:tc>
        <w:tc>
          <w:tcPr>
            <w:tcW w:type="dxa" w:w="1900"/>
            <w:tcMar>
              <w:top w:type="dxa" w:w="80"/>
              <w:left w:type="dxa" w:w="100"/>
              <w:bottom w:type="dxa" w:w="80"/>
              <w:right w:type="dxa" w:w="100"/>
            </w:tcMar>
          </w:tcPr>
          <w:p>
            <w:pPr>
              <w:jc w:val="left"/>
            </w:pPr>
            <w:r>
              <w:rPr>
                <w:b w:val="false"/>
                <w:bCs w:val="false"/>
                <w:sz w:val="21"/>
                <w:szCs w:val="21"/>
              </w:rPr>
              <w:t xml:space="preserve">25.7%</w:t>
            </w:r>
          </w:p>
        </w:tc>
        <w:tc>
          <w:tcPr>
            <w:tcW w:type="dxa" w:w="1560"/>
            <w:tcMar>
              <w:top w:type="dxa" w:w="80"/>
              <w:left w:type="dxa" w:w="100"/>
              <w:bottom w:type="dxa" w:w="80"/>
              <w:right w:type="dxa" w:w="100"/>
            </w:tcMar>
          </w:tcPr>
          <w:p>
            <w:pPr>
              <w:jc w:val="left"/>
            </w:pPr>
            <w:r>
              <w:rPr>
                <w:b w:val="false"/>
                <w:bCs w:val="false"/>
                <w:sz w:val="21"/>
                <w:szCs w:val="21"/>
              </w:rPr>
              <w:t xml:space="preserve">15.0%</w:t>
            </w:r>
          </w:p>
        </w:tc>
      </w:tr>
      <w:tr>
        <w:tc>
          <w:tcPr>
            <w:tcW w:type="dxa" w:w="4200"/>
            <w:tcMar>
              <w:top w:type="dxa" w:w="80"/>
              <w:left w:type="dxa" w:w="100"/>
              <w:bottom w:type="dxa" w:w="80"/>
              <w:right w:type="dxa" w:w="100"/>
            </w:tcMar>
          </w:tcPr>
          <w:p>
            <w:pPr>
              <w:jc w:val="left"/>
            </w:pPr>
            <w:r>
              <w:rPr>
                <w:b w:val="false"/>
                <w:bCs w:val="false"/>
                <w:sz w:val="21"/>
                <w:szCs w:val="21"/>
              </w:rPr>
              <w:t xml:space="preserve">I cannot afford an additional fee</w:t>
            </w:r>
          </w:p>
        </w:tc>
        <w:tc>
          <w:tcPr>
            <w:tcW w:type="dxa" w:w="1500"/>
            <w:tcMar>
              <w:top w:type="dxa" w:w="80"/>
              <w:left w:type="dxa" w:w="100"/>
              <w:bottom w:type="dxa" w:w="80"/>
              <w:right w:type="dxa" w:w="100"/>
            </w:tcMar>
          </w:tcPr>
          <w:p>
            <w:pPr>
              <w:jc w:val="left"/>
            </w:pPr>
            <w:r>
              <w:rPr>
                <w:b w:val="false"/>
                <w:bCs w:val="false"/>
                <w:sz w:val="21"/>
                <w:szCs w:val="21"/>
              </w:rPr>
              <w:t xml:space="preserve">8</w:t>
            </w:r>
          </w:p>
        </w:tc>
        <w:tc>
          <w:tcPr>
            <w:tcW w:type="dxa" w:w="1900"/>
            <w:tcMar>
              <w:top w:type="dxa" w:w="80"/>
              <w:left w:type="dxa" w:w="100"/>
              <w:bottom w:type="dxa" w:w="80"/>
              <w:right w:type="dxa" w:w="100"/>
            </w:tcMar>
          </w:tcPr>
          <w:p>
            <w:pPr>
              <w:jc w:val="left"/>
            </w:pPr>
            <w:r>
              <w:rPr>
                <w:b w:val="false"/>
                <w:bCs w:val="false"/>
                <w:sz w:val="21"/>
                <w:szCs w:val="21"/>
              </w:rPr>
              <w:t xml:space="preserve">22.9%</w:t>
            </w:r>
          </w:p>
        </w:tc>
        <w:tc>
          <w:tcPr>
            <w:tcW w:type="dxa" w:w="1560"/>
            <w:tcMar>
              <w:top w:type="dxa" w:w="80"/>
              <w:left w:type="dxa" w:w="100"/>
              <w:bottom w:type="dxa" w:w="80"/>
              <w:right w:type="dxa" w:w="100"/>
            </w:tcMar>
          </w:tcPr>
          <w:p>
            <w:pPr>
              <w:jc w:val="left"/>
            </w:pPr>
            <w:r>
              <w:rPr>
                <w:b w:val="false"/>
                <w:bCs w:val="false"/>
                <w:sz w:val="21"/>
                <w:szCs w:val="21"/>
              </w:rPr>
              <w:t xml:space="preserve">13.3%</w:t>
            </w:r>
          </w:p>
        </w:tc>
      </w:tr>
      <w:tr>
        <w:tc>
          <w:tcPr>
            <w:tcW w:type="dxa" w:w="4200"/>
            <w:tcMar>
              <w:top w:type="dxa" w:w="80"/>
              <w:left w:type="dxa" w:w="100"/>
              <w:bottom w:type="dxa" w:w="80"/>
              <w:right w:type="dxa" w:w="100"/>
            </w:tcMar>
          </w:tcPr>
          <w:p>
            <w:pPr>
              <w:jc w:val="left"/>
            </w:pPr>
            <w:r>
              <w:rPr>
                <w:b w:val="false"/>
                <w:bCs w:val="false"/>
                <w:sz w:val="21"/>
                <w:szCs w:val="21"/>
              </w:rPr>
              <w:t xml:space="preserve">I do not think plastic waste is a big enough issue at NSU</w:t>
            </w:r>
          </w:p>
        </w:tc>
        <w:tc>
          <w:tcPr>
            <w:tcW w:type="dxa" w:w="1500"/>
            <w:tcMar>
              <w:top w:type="dxa" w:w="80"/>
              <w:left w:type="dxa" w:w="100"/>
              <w:bottom w:type="dxa" w:w="80"/>
              <w:right w:type="dxa" w:w="100"/>
            </w:tcMar>
          </w:tcPr>
          <w:p>
            <w:pPr>
              <w:jc w:val="left"/>
            </w:pPr>
            <w:r>
              <w:rPr>
                <w:b w:val="false"/>
                <w:bCs w:val="false"/>
                <w:sz w:val="21"/>
                <w:szCs w:val="21"/>
              </w:rPr>
              <w:t xml:space="preserve">1</w:t>
            </w:r>
          </w:p>
        </w:tc>
        <w:tc>
          <w:tcPr>
            <w:tcW w:type="dxa" w:w="1900"/>
            <w:tcMar>
              <w:top w:type="dxa" w:w="80"/>
              <w:left w:type="dxa" w:w="100"/>
              <w:bottom w:type="dxa" w:w="80"/>
              <w:right w:type="dxa" w:w="100"/>
            </w:tcMar>
          </w:tcPr>
          <w:p>
            <w:pPr>
              <w:jc w:val="left"/>
            </w:pPr>
            <w:r>
              <w:rPr>
                <w:b w:val="false"/>
                <w:bCs w:val="false"/>
                <w:sz w:val="21"/>
                <w:szCs w:val="21"/>
              </w:rPr>
              <w:t xml:space="preserve">2.9%</w:t>
            </w:r>
          </w:p>
        </w:tc>
        <w:tc>
          <w:tcPr>
            <w:tcW w:type="dxa" w:w="1560"/>
            <w:tcMar>
              <w:top w:type="dxa" w:w="80"/>
              <w:left w:type="dxa" w:w="100"/>
              <w:bottom w:type="dxa" w:w="80"/>
              <w:right w:type="dxa" w:w="100"/>
            </w:tcMar>
          </w:tcPr>
          <w:p>
            <w:pPr>
              <w:jc w:val="left"/>
            </w:pPr>
            <w:r>
              <w:rPr>
                <w:b w:val="false"/>
                <w:bCs w:val="false"/>
                <w:sz w:val="21"/>
                <w:szCs w:val="21"/>
              </w:rPr>
              <w:t xml:space="preserve">1.7%</w:t>
            </w:r>
          </w:p>
        </w:tc>
      </w:tr>
    </w:tbl>
    <w:p>
      <w:pPr>
        <w:spacing w:after="200"/>
      </w:pPr>
    </w:p>
    <w:p>
      <w:pPr>
        <w:spacing w:after="200"/>
        <w:jc w:val="both"/>
      </w:pPr>
      <w:r>
        <w:t xml:space="preserve">Among the 35 respondents unwilling to pay, the most common reason (51.4%) was the belief that the university should fund the initiative out of existing tuition fees rather than an additional charge. Distrust that collected fees would be used properly (25.7%) and inability to afford an additional fee (22.9%) were the next most common reasons. Only one respondent (2.9% of unwilling respondents) disputed that plastic waste is a significant issue at NSU, indicating that refusal to pay was driven primarily by funding-source preferences and trust concerns rather than disagreement with the underlying environmental problem.</w:t>
      </w:r>
    </w:p>
    <w:p>
      <w:pPr>
        <w:pStyle w:val="Heading2"/>
        <w:spacing w:after="150" w:before="300"/>
      </w:pPr>
      <w:r>
        <w:t xml:space="preserve">4.13 Maximum WTP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00"/>
        <w:gridCol w:w="1460"/>
      </w:tblGrid>
      <w:tr>
        <w:trPr>
          <w:tblHeader/>
        </w:trPr>
        <w:tc>
          <w:tcPr>
            <w:tcW w:type="dxa" w:w="2800"/>
            <w:shd w:fill="1F4E5F" w:color="auto" w:val="clear"/>
            <w:tcMar>
              <w:top w:type="dxa" w:w="80"/>
              <w:left w:type="dxa" w:w="100"/>
              <w:bottom w:type="dxa" w:w="80"/>
              <w:right w:type="dxa" w:w="100"/>
            </w:tcMar>
          </w:tcPr>
          <w:p>
            <w:pPr>
              <w:jc w:val="left"/>
            </w:pPr>
            <w:r>
              <w:rPr>
                <w:b/>
                <w:bCs/>
                <w:color w:val="FFFFFF"/>
                <w:sz w:val="21"/>
                <w:szCs w:val="21"/>
              </w:rPr>
              <w:t xml:space="preserve">WTP bid range</w:t>
            </w:r>
          </w:p>
        </w:tc>
        <w:tc>
          <w:tcPr>
            <w:tcW w:type="dxa" w:w="2400"/>
            <w:shd w:fill="1F4E5F" w:color="auto" w:val="clear"/>
            <w:tcMar>
              <w:top w:type="dxa" w:w="80"/>
              <w:left w:type="dxa" w:w="100"/>
              <w:bottom w:type="dxa" w:w="80"/>
              <w:right w:type="dxa" w:w="100"/>
            </w:tcMar>
          </w:tcPr>
          <w:p>
            <w:pPr>
              <w:jc w:val="left"/>
            </w:pPr>
            <w:r>
              <w:rPr>
                <w:b/>
                <w:bCs/>
                <w:color w:val="FFFFFF"/>
                <w:sz w:val="21"/>
                <w:szCs w:val="21"/>
              </w:rPr>
              <w:t xml:space="preserve">Midpoint (BDT)</w:t>
            </w:r>
          </w:p>
        </w:tc>
        <w:tc>
          <w:tcPr>
            <w:tcW w:type="dxa" w:w="1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4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2800"/>
            <w:tcMar>
              <w:top w:type="dxa" w:w="80"/>
              <w:left w:type="dxa" w:w="100"/>
              <w:bottom w:type="dxa" w:w="80"/>
              <w:right w:type="dxa" w:w="100"/>
            </w:tcMar>
          </w:tcPr>
          <w:p>
            <w:pPr>
              <w:jc w:val="left"/>
            </w:pPr>
            <w:r>
              <w:rPr>
                <w:b w:val="false"/>
                <w:bCs w:val="false"/>
                <w:sz w:val="21"/>
                <w:szCs w:val="21"/>
              </w:rPr>
              <w:t xml:space="preserve">BDT 0</w:t>
            </w:r>
          </w:p>
        </w:tc>
        <w:tc>
          <w:tcPr>
            <w:tcW w:type="dxa" w:w="2400"/>
            <w:tcMar>
              <w:top w:type="dxa" w:w="80"/>
              <w:left w:type="dxa" w:w="100"/>
              <w:bottom w:type="dxa" w:w="80"/>
              <w:right w:type="dxa" w:w="100"/>
            </w:tcMar>
          </w:tcPr>
          <w:p>
            <w:pPr>
              <w:jc w:val="left"/>
            </w:pPr>
            <w:r>
              <w:rPr>
                <w:b w:val="false"/>
                <w:bCs w:val="false"/>
                <w:sz w:val="21"/>
                <w:szCs w:val="21"/>
              </w:rPr>
              <w:t xml:space="preserve">0</w:t>
            </w:r>
          </w:p>
        </w:tc>
        <w:tc>
          <w:tcPr>
            <w:tcW w:type="dxa" w:w="1500"/>
            <w:tcMar>
              <w:top w:type="dxa" w:w="80"/>
              <w:left w:type="dxa" w:w="100"/>
              <w:bottom w:type="dxa" w:w="80"/>
              <w:right w:type="dxa" w:w="100"/>
            </w:tcMar>
          </w:tcPr>
          <w:p>
            <w:pPr>
              <w:jc w:val="left"/>
            </w:pPr>
            <w:r>
              <w:rPr>
                <w:b w:val="false"/>
                <w:bCs w:val="false"/>
                <w:sz w:val="21"/>
                <w:szCs w:val="21"/>
              </w:rPr>
              <w:t xml:space="preserve">19</w:t>
            </w:r>
          </w:p>
        </w:tc>
        <w:tc>
          <w:tcPr>
            <w:tcW w:type="dxa" w:w="1460"/>
            <w:tcMar>
              <w:top w:type="dxa" w:w="80"/>
              <w:left w:type="dxa" w:w="100"/>
              <w:bottom w:type="dxa" w:w="80"/>
              <w:right w:type="dxa" w:w="100"/>
            </w:tcMar>
          </w:tcPr>
          <w:p>
            <w:pPr>
              <w:jc w:val="left"/>
            </w:pPr>
            <w:r>
              <w:rPr>
                <w:b w:val="false"/>
                <w:bCs w:val="false"/>
                <w:sz w:val="21"/>
                <w:szCs w:val="21"/>
              </w:rPr>
              <w:t xml:space="preserve">31.7%</w:t>
            </w:r>
          </w:p>
        </w:tc>
      </w:tr>
      <w:tr>
        <w:tc>
          <w:tcPr>
            <w:tcW w:type="dxa" w:w="2800"/>
            <w:tcMar>
              <w:top w:type="dxa" w:w="80"/>
              <w:left w:type="dxa" w:w="100"/>
              <w:bottom w:type="dxa" w:w="80"/>
              <w:right w:type="dxa" w:w="100"/>
            </w:tcMar>
          </w:tcPr>
          <w:p>
            <w:pPr>
              <w:jc w:val="left"/>
            </w:pPr>
            <w:r>
              <w:rPr>
                <w:b w:val="false"/>
                <w:bCs w:val="false"/>
                <w:sz w:val="21"/>
                <w:szCs w:val="21"/>
              </w:rPr>
              <w:t xml:space="preserve">BDT 50 – 100</w:t>
            </w:r>
          </w:p>
        </w:tc>
        <w:tc>
          <w:tcPr>
            <w:tcW w:type="dxa" w:w="2400"/>
            <w:tcMar>
              <w:top w:type="dxa" w:w="80"/>
              <w:left w:type="dxa" w:w="100"/>
              <w:bottom w:type="dxa" w:w="80"/>
              <w:right w:type="dxa" w:w="100"/>
            </w:tcMar>
          </w:tcPr>
          <w:p>
            <w:pPr>
              <w:jc w:val="left"/>
            </w:pPr>
            <w:r>
              <w:rPr>
                <w:b w:val="false"/>
                <w:bCs w:val="false"/>
                <w:sz w:val="21"/>
                <w:szCs w:val="21"/>
              </w:rPr>
              <w:t xml:space="preserve">75</w:t>
            </w:r>
          </w:p>
        </w:tc>
        <w:tc>
          <w:tcPr>
            <w:tcW w:type="dxa" w:w="1500"/>
            <w:tcMar>
              <w:top w:type="dxa" w:w="80"/>
              <w:left w:type="dxa" w:w="100"/>
              <w:bottom w:type="dxa" w:w="80"/>
              <w:right w:type="dxa" w:w="100"/>
            </w:tcMar>
          </w:tcPr>
          <w:p>
            <w:pPr>
              <w:jc w:val="left"/>
            </w:pPr>
            <w:r>
              <w:rPr>
                <w:b w:val="false"/>
                <w:bCs w:val="false"/>
                <w:sz w:val="21"/>
                <w:szCs w:val="21"/>
              </w:rPr>
              <w:t xml:space="preserve">25</w:t>
            </w:r>
          </w:p>
        </w:tc>
        <w:tc>
          <w:tcPr>
            <w:tcW w:type="dxa" w:w="1460"/>
            <w:tcMar>
              <w:top w:type="dxa" w:w="80"/>
              <w:left w:type="dxa" w:w="100"/>
              <w:bottom w:type="dxa" w:w="80"/>
              <w:right w:type="dxa" w:w="100"/>
            </w:tcMar>
          </w:tcPr>
          <w:p>
            <w:pPr>
              <w:jc w:val="left"/>
            </w:pPr>
            <w:r>
              <w:rPr>
                <w:b w:val="false"/>
                <w:bCs w:val="false"/>
                <w:sz w:val="21"/>
                <w:szCs w:val="21"/>
              </w:rPr>
              <w:t xml:space="preserve">41.7%</w:t>
            </w:r>
          </w:p>
        </w:tc>
      </w:tr>
      <w:tr>
        <w:tc>
          <w:tcPr>
            <w:tcW w:type="dxa" w:w="2800"/>
            <w:tcMar>
              <w:top w:type="dxa" w:w="80"/>
              <w:left w:type="dxa" w:w="100"/>
              <w:bottom w:type="dxa" w:w="80"/>
              <w:right w:type="dxa" w:w="100"/>
            </w:tcMar>
          </w:tcPr>
          <w:p>
            <w:pPr>
              <w:jc w:val="left"/>
            </w:pPr>
            <w:r>
              <w:rPr>
                <w:b w:val="false"/>
                <w:bCs w:val="false"/>
                <w:sz w:val="21"/>
                <w:szCs w:val="21"/>
              </w:rPr>
              <w:t xml:space="preserve">BDT 100 – 200</w:t>
            </w:r>
          </w:p>
        </w:tc>
        <w:tc>
          <w:tcPr>
            <w:tcW w:type="dxa" w:w="2400"/>
            <w:tcMar>
              <w:top w:type="dxa" w:w="80"/>
              <w:left w:type="dxa" w:w="100"/>
              <w:bottom w:type="dxa" w:w="80"/>
              <w:right w:type="dxa" w:w="100"/>
            </w:tcMar>
          </w:tcPr>
          <w:p>
            <w:pPr>
              <w:jc w:val="left"/>
            </w:pPr>
            <w:r>
              <w:rPr>
                <w:b w:val="false"/>
                <w:bCs w:val="false"/>
                <w:sz w:val="21"/>
                <w:szCs w:val="21"/>
              </w:rPr>
              <w:t xml:space="preserve">150</w:t>
            </w:r>
          </w:p>
        </w:tc>
        <w:tc>
          <w:tcPr>
            <w:tcW w:type="dxa" w:w="1500"/>
            <w:tcMar>
              <w:top w:type="dxa" w:w="80"/>
              <w:left w:type="dxa" w:w="100"/>
              <w:bottom w:type="dxa" w:w="80"/>
              <w:right w:type="dxa" w:w="100"/>
            </w:tcMar>
          </w:tcPr>
          <w:p>
            <w:pPr>
              <w:jc w:val="left"/>
            </w:pPr>
            <w:r>
              <w:rPr>
                <w:b w:val="false"/>
                <w:bCs w:val="false"/>
                <w:sz w:val="21"/>
                <w:szCs w:val="21"/>
              </w:rPr>
              <w:t xml:space="preserve">12</w:t>
            </w:r>
          </w:p>
        </w:tc>
        <w:tc>
          <w:tcPr>
            <w:tcW w:type="dxa" w:w="1460"/>
            <w:tcMar>
              <w:top w:type="dxa" w:w="80"/>
              <w:left w:type="dxa" w:w="100"/>
              <w:bottom w:type="dxa" w:w="80"/>
              <w:right w:type="dxa" w:w="100"/>
            </w:tcMar>
          </w:tcPr>
          <w:p>
            <w:pPr>
              <w:jc w:val="left"/>
            </w:pPr>
            <w:r>
              <w:rPr>
                <w:b w:val="false"/>
                <w:bCs w:val="false"/>
                <w:sz w:val="21"/>
                <w:szCs w:val="21"/>
              </w:rPr>
              <w:t xml:space="preserve">20.0%</w:t>
            </w:r>
          </w:p>
        </w:tc>
      </w:tr>
      <w:tr>
        <w:tc>
          <w:tcPr>
            <w:tcW w:type="dxa" w:w="2800"/>
            <w:tcMar>
              <w:top w:type="dxa" w:w="80"/>
              <w:left w:type="dxa" w:w="100"/>
              <w:bottom w:type="dxa" w:w="80"/>
              <w:right w:type="dxa" w:w="100"/>
            </w:tcMar>
          </w:tcPr>
          <w:p>
            <w:pPr>
              <w:jc w:val="left"/>
            </w:pPr>
            <w:r>
              <w:rPr>
                <w:b w:val="false"/>
                <w:bCs w:val="false"/>
                <w:sz w:val="21"/>
                <w:szCs w:val="21"/>
              </w:rPr>
              <w:t xml:space="preserve">BDT 200 – 450</w:t>
            </w:r>
          </w:p>
        </w:tc>
        <w:tc>
          <w:tcPr>
            <w:tcW w:type="dxa" w:w="2400"/>
            <w:tcMar>
              <w:top w:type="dxa" w:w="80"/>
              <w:left w:type="dxa" w:w="100"/>
              <w:bottom w:type="dxa" w:w="80"/>
              <w:right w:type="dxa" w:w="100"/>
            </w:tcMar>
          </w:tcPr>
          <w:p>
            <w:pPr>
              <w:jc w:val="left"/>
            </w:pPr>
            <w:r>
              <w:rPr>
                <w:b w:val="false"/>
                <w:bCs w:val="false"/>
                <w:sz w:val="21"/>
                <w:szCs w:val="21"/>
              </w:rPr>
              <w:t xml:space="preserve">325</w:t>
            </w:r>
          </w:p>
        </w:tc>
        <w:tc>
          <w:tcPr>
            <w:tcW w:type="dxa" w:w="1500"/>
            <w:tcMar>
              <w:top w:type="dxa" w:w="80"/>
              <w:left w:type="dxa" w:w="100"/>
              <w:bottom w:type="dxa" w:w="80"/>
              <w:right w:type="dxa" w:w="100"/>
            </w:tcMar>
          </w:tcPr>
          <w:p>
            <w:pPr>
              <w:jc w:val="left"/>
            </w:pPr>
            <w:r>
              <w:rPr>
                <w:b w:val="false"/>
                <w:bCs w:val="false"/>
                <w:sz w:val="21"/>
                <w:szCs w:val="21"/>
              </w:rPr>
              <w:t xml:space="preserve">1</w:t>
            </w:r>
          </w:p>
        </w:tc>
        <w:tc>
          <w:tcPr>
            <w:tcW w:type="dxa" w:w="1460"/>
            <w:tcMar>
              <w:top w:type="dxa" w:w="80"/>
              <w:left w:type="dxa" w:w="100"/>
              <w:bottom w:type="dxa" w:w="80"/>
              <w:right w:type="dxa" w:w="100"/>
            </w:tcMar>
          </w:tcPr>
          <w:p>
            <w:pPr>
              <w:jc w:val="left"/>
            </w:pPr>
            <w:r>
              <w:rPr>
                <w:b w:val="false"/>
                <w:bCs w:val="false"/>
                <w:sz w:val="21"/>
                <w:szCs w:val="21"/>
              </w:rPr>
              <w:t xml:space="preserve">1.7%</w:t>
            </w:r>
          </w:p>
        </w:tc>
      </w:tr>
      <w:tr>
        <w:tc>
          <w:tcPr>
            <w:tcW w:type="dxa" w:w="2800"/>
            <w:tcMar>
              <w:top w:type="dxa" w:w="80"/>
              <w:left w:type="dxa" w:w="100"/>
              <w:bottom w:type="dxa" w:w="80"/>
              <w:right w:type="dxa" w:w="100"/>
            </w:tcMar>
          </w:tcPr>
          <w:p>
            <w:pPr>
              <w:jc w:val="left"/>
            </w:pPr>
            <w:r>
              <w:rPr>
                <w:b w:val="false"/>
                <w:bCs w:val="false"/>
                <w:sz w:val="21"/>
                <w:szCs w:val="21"/>
              </w:rPr>
              <w:t xml:space="preserve">BDT 450 – 500</w:t>
            </w:r>
          </w:p>
        </w:tc>
        <w:tc>
          <w:tcPr>
            <w:tcW w:type="dxa" w:w="2400"/>
            <w:tcMar>
              <w:top w:type="dxa" w:w="80"/>
              <w:left w:type="dxa" w:w="100"/>
              <w:bottom w:type="dxa" w:w="80"/>
              <w:right w:type="dxa" w:w="100"/>
            </w:tcMar>
          </w:tcPr>
          <w:p>
            <w:pPr>
              <w:jc w:val="left"/>
            </w:pPr>
            <w:r>
              <w:rPr>
                <w:b w:val="false"/>
                <w:bCs w:val="false"/>
                <w:sz w:val="21"/>
                <w:szCs w:val="21"/>
              </w:rPr>
              <w:t xml:space="preserve">475</w:t>
            </w:r>
          </w:p>
        </w:tc>
        <w:tc>
          <w:tcPr>
            <w:tcW w:type="dxa" w:w="1500"/>
            <w:tcMar>
              <w:top w:type="dxa" w:w="80"/>
              <w:left w:type="dxa" w:w="100"/>
              <w:bottom w:type="dxa" w:w="80"/>
              <w:right w:type="dxa" w:w="100"/>
            </w:tcMar>
          </w:tcPr>
          <w:p>
            <w:pPr>
              <w:jc w:val="left"/>
            </w:pPr>
            <w:r>
              <w:rPr>
                <w:b w:val="false"/>
                <w:bCs w:val="false"/>
                <w:sz w:val="21"/>
                <w:szCs w:val="21"/>
              </w:rPr>
              <w:t xml:space="preserve">3</w:t>
            </w:r>
          </w:p>
        </w:tc>
        <w:tc>
          <w:tcPr>
            <w:tcW w:type="dxa" w:w="1460"/>
            <w:tcMar>
              <w:top w:type="dxa" w:w="80"/>
              <w:left w:type="dxa" w:w="100"/>
              <w:bottom w:type="dxa" w:w="80"/>
              <w:right w:type="dxa" w:w="100"/>
            </w:tcMar>
          </w:tcPr>
          <w:p>
            <w:pPr>
              <w:jc w:val="left"/>
            </w:pPr>
            <w:r>
              <w:rPr>
                <w:b w:val="false"/>
                <w:bCs w:val="false"/>
                <w:sz w:val="21"/>
                <w:szCs w:val="21"/>
              </w:rPr>
              <w:t xml:space="preserve">5.0%</w:t>
            </w:r>
          </w:p>
        </w:tc>
      </w:tr>
    </w:tbl>
    <w:p>
      <w:pPr>
        <w:spacing w:after="200"/>
      </w:pPr>
    </w:p>
    <w:p>
      <w:pPr>
        <w:spacing w:after="200"/>
        <w:jc w:val="both"/>
      </w:pPr>
      <w:r>
        <w:t xml:space="preserve">Using interval-midpoint values, the estimated mean WTP across the full sample (n = 60, including those who selected BDT 0) was approximately BDT 90.4. Among respondents who answered "Yes" to the core WTP question, mean WTP was approximately BDT 150.0, compared with approximately BDT 47.9 among those who answered "No" but nonetheless selected a non-zero bid range — a discrepancy noted as a data-quality limitation in Section 3.11. The modal bid range overall was BDT 50–100 (41.7% of respondents), suggesting that most students willing to pay something would accept a relatively small incremental charge.</w:t>
      </w:r>
    </w:p>
    <w:p>
      <w:pPr>
        <w:pStyle w:val="Heading2"/>
        <w:spacing w:after="150" w:before="300"/>
      </w:pPr>
      <w:r>
        <w:t xml:space="preserve">4.14 Willingness to Pay Through Cafeteria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1460"/>
      </w:tblGrid>
      <w:tr>
        <w:trPr>
          <w:tblHeader/>
        </w:trPr>
        <w:tc>
          <w:tcPr>
            <w:tcW w:type="dxa" w:w="4200"/>
            <w:shd w:fill="1F4E5F" w:color="auto" w:val="clear"/>
            <w:tcMar>
              <w:top w:type="dxa" w:w="80"/>
              <w:left w:type="dxa" w:w="100"/>
              <w:bottom w:type="dxa" w:w="80"/>
              <w:right w:type="dxa" w:w="100"/>
            </w:tcMar>
          </w:tcPr>
          <w:p>
            <w:pPr>
              <w:jc w:val="left"/>
            </w:pPr>
            <w:r>
              <w:rPr>
                <w:b/>
                <w:bCs/>
                <w:color w:val="FFFFFF"/>
                <w:sz w:val="21"/>
                <w:szCs w:val="21"/>
              </w:rPr>
              <w:t xml:space="preserve">Response</w:t>
            </w:r>
          </w:p>
        </w:tc>
        <w:tc>
          <w:tcPr>
            <w:tcW w:type="dxa" w:w="2500"/>
            <w:shd w:fill="1F4E5F" w:color="auto" w:val="clear"/>
            <w:tcMar>
              <w:top w:type="dxa" w:w="80"/>
              <w:left w:type="dxa" w:w="100"/>
              <w:bottom w:type="dxa" w:w="80"/>
              <w:right w:type="dxa" w:w="100"/>
            </w:tcMar>
          </w:tcPr>
          <w:p>
            <w:pPr>
              <w:jc w:val="left"/>
            </w:pPr>
            <w:r>
              <w:rPr>
                <w:b/>
                <w:bCs/>
                <w:color w:val="FFFFFF"/>
                <w:sz w:val="21"/>
                <w:szCs w:val="21"/>
              </w:rPr>
              <w:t xml:space="preserve">n</w:t>
            </w:r>
          </w:p>
        </w:tc>
        <w:tc>
          <w:tcPr>
            <w:tcW w:type="dxa" w:w="14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4200"/>
            <w:tcMar>
              <w:top w:type="dxa" w:w="80"/>
              <w:left w:type="dxa" w:w="100"/>
              <w:bottom w:type="dxa" w:w="80"/>
              <w:right w:type="dxa" w:w="100"/>
            </w:tcMar>
          </w:tcPr>
          <w:p>
            <w:pPr>
              <w:jc w:val="left"/>
            </w:pPr>
            <w:r>
              <w:rPr>
                <w:b w:val="false"/>
                <w:bCs w:val="false"/>
                <w:sz w:val="21"/>
                <w:szCs w:val="21"/>
              </w:rPr>
              <w:t xml:space="preserve">Yes</w:t>
            </w:r>
          </w:p>
        </w:tc>
        <w:tc>
          <w:tcPr>
            <w:tcW w:type="dxa" w:w="2500"/>
            <w:tcMar>
              <w:top w:type="dxa" w:w="80"/>
              <w:left w:type="dxa" w:w="100"/>
              <w:bottom w:type="dxa" w:w="80"/>
              <w:right w:type="dxa" w:w="100"/>
            </w:tcMar>
          </w:tcPr>
          <w:p>
            <w:pPr>
              <w:jc w:val="left"/>
            </w:pPr>
            <w:r>
              <w:rPr>
                <w:b w:val="false"/>
                <w:bCs w:val="false"/>
                <w:sz w:val="21"/>
                <w:szCs w:val="21"/>
              </w:rPr>
              <w:t xml:space="preserve">26</w:t>
            </w:r>
          </w:p>
        </w:tc>
        <w:tc>
          <w:tcPr>
            <w:tcW w:type="dxa" w:w="1460"/>
            <w:tcMar>
              <w:top w:type="dxa" w:w="80"/>
              <w:left w:type="dxa" w:w="100"/>
              <w:bottom w:type="dxa" w:w="80"/>
              <w:right w:type="dxa" w:w="100"/>
            </w:tcMar>
          </w:tcPr>
          <w:p>
            <w:pPr>
              <w:jc w:val="left"/>
            </w:pPr>
            <w:r>
              <w:rPr>
                <w:b w:val="false"/>
                <w:bCs w:val="false"/>
                <w:sz w:val="21"/>
                <w:szCs w:val="21"/>
              </w:rPr>
              <w:t xml:space="preserve">43.3%</w:t>
            </w:r>
          </w:p>
        </w:tc>
      </w:tr>
      <w:tr>
        <w:tc>
          <w:tcPr>
            <w:tcW w:type="dxa" w:w="4200"/>
            <w:tcMar>
              <w:top w:type="dxa" w:w="80"/>
              <w:left w:type="dxa" w:w="100"/>
              <w:bottom w:type="dxa" w:w="80"/>
              <w:right w:type="dxa" w:w="100"/>
            </w:tcMar>
          </w:tcPr>
          <w:p>
            <w:pPr>
              <w:jc w:val="left"/>
            </w:pPr>
            <w:r>
              <w:rPr>
                <w:b w:val="false"/>
                <w:bCs w:val="false"/>
                <w:sz w:val="21"/>
                <w:szCs w:val="21"/>
              </w:rPr>
              <w:t xml:space="preserve">Undecided / Depends on the exact charge</w:t>
            </w:r>
          </w:p>
        </w:tc>
        <w:tc>
          <w:tcPr>
            <w:tcW w:type="dxa" w:w="2500"/>
            <w:tcMar>
              <w:top w:type="dxa" w:w="80"/>
              <w:left w:type="dxa" w:w="100"/>
              <w:bottom w:type="dxa" w:w="80"/>
              <w:right w:type="dxa" w:w="100"/>
            </w:tcMar>
          </w:tcPr>
          <w:p>
            <w:pPr>
              <w:jc w:val="left"/>
            </w:pPr>
            <w:r>
              <w:rPr>
                <w:b w:val="false"/>
                <w:bCs w:val="false"/>
                <w:sz w:val="21"/>
                <w:szCs w:val="21"/>
              </w:rPr>
              <w:t xml:space="preserve">22</w:t>
            </w:r>
          </w:p>
        </w:tc>
        <w:tc>
          <w:tcPr>
            <w:tcW w:type="dxa" w:w="1460"/>
            <w:tcMar>
              <w:top w:type="dxa" w:w="80"/>
              <w:left w:type="dxa" w:w="100"/>
              <w:bottom w:type="dxa" w:w="80"/>
              <w:right w:type="dxa" w:w="100"/>
            </w:tcMar>
          </w:tcPr>
          <w:p>
            <w:pPr>
              <w:jc w:val="left"/>
            </w:pPr>
            <w:r>
              <w:rPr>
                <w:b w:val="false"/>
                <w:bCs w:val="false"/>
                <w:sz w:val="21"/>
                <w:szCs w:val="21"/>
              </w:rPr>
              <w:t xml:space="preserve">36.7%</w:t>
            </w:r>
          </w:p>
        </w:tc>
      </w:tr>
      <w:tr>
        <w:tc>
          <w:tcPr>
            <w:tcW w:type="dxa" w:w="4200"/>
            <w:tcMar>
              <w:top w:type="dxa" w:w="80"/>
              <w:left w:type="dxa" w:w="100"/>
              <w:bottom w:type="dxa" w:w="80"/>
              <w:right w:type="dxa" w:w="100"/>
            </w:tcMar>
          </w:tcPr>
          <w:p>
            <w:pPr>
              <w:jc w:val="left"/>
            </w:pPr>
            <w:r>
              <w:rPr>
                <w:b w:val="false"/>
                <w:bCs w:val="false"/>
                <w:sz w:val="21"/>
                <w:szCs w:val="21"/>
              </w:rPr>
              <w:t xml:space="preserve">No</w:t>
            </w:r>
          </w:p>
        </w:tc>
        <w:tc>
          <w:tcPr>
            <w:tcW w:type="dxa" w:w="2500"/>
            <w:tcMar>
              <w:top w:type="dxa" w:w="80"/>
              <w:left w:type="dxa" w:w="100"/>
              <w:bottom w:type="dxa" w:w="80"/>
              <w:right w:type="dxa" w:w="100"/>
            </w:tcMar>
          </w:tcPr>
          <w:p>
            <w:pPr>
              <w:jc w:val="left"/>
            </w:pPr>
            <w:r>
              <w:rPr>
                <w:b w:val="false"/>
                <w:bCs w:val="false"/>
                <w:sz w:val="21"/>
                <w:szCs w:val="21"/>
              </w:rPr>
              <w:t xml:space="preserve">11</w:t>
            </w:r>
          </w:p>
        </w:tc>
        <w:tc>
          <w:tcPr>
            <w:tcW w:type="dxa" w:w="1460"/>
            <w:tcMar>
              <w:top w:type="dxa" w:w="80"/>
              <w:left w:type="dxa" w:w="100"/>
              <w:bottom w:type="dxa" w:w="80"/>
              <w:right w:type="dxa" w:w="100"/>
            </w:tcMar>
          </w:tcPr>
          <w:p>
            <w:pPr>
              <w:jc w:val="left"/>
            </w:pPr>
            <w:r>
              <w:rPr>
                <w:b w:val="false"/>
                <w:bCs w:val="false"/>
                <w:sz w:val="21"/>
                <w:szCs w:val="21"/>
              </w:rPr>
              <w:t xml:space="preserve">18.3%</w:t>
            </w:r>
          </w:p>
        </w:tc>
      </w:tr>
      <w:tr>
        <w:tc>
          <w:tcPr>
            <w:tcW w:type="dxa" w:w="4200"/>
            <w:tcMar>
              <w:top w:type="dxa" w:w="80"/>
              <w:left w:type="dxa" w:w="100"/>
              <w:bottom w:type="dxa" w:w="80"/>
              <w:right w:type="dxa" w:w="100"/>
            </w:tcMar>
          </w:tcPr>
          <w:p>
            <w:pPr>
              <w:jc w:val="left"/>
            </w:pPr>
            <w:r>
              <w:rPr>
                <w:b w:val="false"/>
                <w:bCs w:val="false"/>
                <w:sz w:val="21"/>
                <w:szCs w:val="21"/>
              </w:rPr>
              <w:t xml:space="preserve">Invalid / data-entry error (excluded)</w:t>
            </w:r>
          </w:p>
        </w:tc>
        <w:tc>
          <w:tcPr>
            <w:tcW w:type="dxa" w:w="2500"/>
            <w:tcMar>
              <w:top w:type="dxa" w:w="80"/>
              <w:left w:type="dxa" w:w="100"/>
              <w:bottom w:type="dxa" w:w="80"/>
              <w:right w:type="dxa" w:w="100"/>
            </w:tcMar>
          </w:tcPr>
          <w:p>
            <w:pPr>
              <w:jc w:val="left"/>
            </w:pPr>
            <w:r>
              <w:rPr>
                <w:b w:val="false"/>
                <w:bCs w:val="false"/>
                <w:sz w:val="21"/>
                <w:szCs w:val="21"/>
              </w:rPr>
              <w:t xml:space="preserve">1</w:t>
            </w:r>
          </w:p>
        </w:tc>
        <w:tc>
          <w:tcPr>
            <w:tcW w:type="dxa" w:w="1460"/>
            <w:tcMar>
              <w:top w:type="dxa" w:w="80"/>
              <w:left w:type="dxa" w:w="100"/>
              <w:bottom w:type="dxa" w:w="80"/>
              <w:right w:type="dxa" w:w="100"/>
            </w:tcMar>
          </w:tcPr>
          <w:p>
            <w:pPr>
              <w:jc w:val="left"/>
            </w:pPr>
            <w:r>
              <w:rPr>
                <w:b w:val="false"/>
                <w:bCs w:val="false"/>
                <w:sz w:val="21"/>
                <w:szCs w:val="21"/>
              </w:rPr>
              <w:t xml:space="preserve">1.7%</w:t>
            </w:r>
          </w:p>
        </w:tc>
      </w:tr>
    </w:tbl>
    <w:p>
      <w:pPr>
        <w:spacing w:after="200"/>
      </w:pPr>
    </w:p>
    <w:p>
      <w:pPr>
        <w:spacing w:after="200"/>
        <w:jc w:val="both"/>
      </w:pPr>
      <w:r>
        <w:t xml:space="preserve">When asked specifically about willingness to pay through a cafeteria surcharge mechanism, 43.3% of respondents agreed, while a substantial share (36.7%) remained undecided pending the exact charge amount, and 18.3% declined outright. Notably, this item — asked of all respondents regardless of their answer to the core WTP question — yielded a higher combined "Yes/Undecided" share (80.0%) than the core dichotomous WTP question (Section 4.11), suggesting that framing the payment specifically as a small, itemized cafeteria charge may be more palatable to students than an unspecified additional fee. One response (1.7%) contained a data-entry artifact and was excluded from this analysis (Section 3.11).</w:t>
      </w:r>
    </w:p>
    <w:p>
      <w:pPr>
        <w:pStyle w:val="Heading2"/>
        <w:spacing w:after="150" w:before="300"/>
      </w:pPr>
      <w:r>
        <w:t xml:space="preserve">4.15 Willingness for Non-Monetary Actions</w:t>
      </w:r>
    </w:p>
    <w:p>
      <w:pPr>
        <w:spacing w:after="200"/>
        <w:jc w:val="both"/>
      </w:pPr>
      <w:r>
        <w:t xml:space="preserve">Because respondents could select multiple non-monetary actions, percentages below are calculated out of all 60 respondents and sum to more than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1760"/>
      </w:tblGrid>
      <w:tr>
        <w:trPr>
          <w:tblHeader/>
        </w:trPr>
        <w:tc>
          <w:tcPr>
            <w:tcW w:type="dxa" w:w="4200"/>
            <w:shd w:fill="1F4E5F" w:color="auto" w:val="clear"/>
            <w:tcMar>
              <w:top w:type="dxa" w:w="80"/>
              <w:left w:type="dxa" w:w="100"/>
              <w:bottom w:type="dxa" w:w="80"/>
              <w:right w:type="dxa" w:w="100"/>
            </w:tcMar>
          </w:tcPr>
          <w:p>
            <w:pPr>
              <w:jc w:val="left"/>
            </w:pPr>
            <w:r>
              <w:rPr>
                <w:b/>
                <w:bCs/>
                <w:color w:val="FFFFFF"/>
                <w:sz w:val="21"/>
                <w:szCs w:val="21"/>
              </w:rPr>
              <w:t xml:space="preserve">Non-monetary action</w:t>
            </w:r>
          </w:p>
        </w:tc>
        <w:tc>
          <w:tcPr>
            <w:tcW w:type="dxa" w:w="2200"/>
            <w:shd w:fill="1F4E5F" w:color="auto" w:val="clear"/>
            <w:tcMar>
              <w:top w:type="dxa" w:w="80"/>
              <w:left w:type="dxa" w:w="100"/>
              <w:bottom w:type="dxa" w:w="80"/>
              <w:right w:type="dxa" w:w="100"/>
            </w:tcMar>
          </w:tcPr>
          <w:p>
            <w:pPr>
              <w:jc w:val="left"/>
            </w:pPr>
            <w:r>
              <w:rPr>
                <w:b/>
                <w:bCs/>
                <w:color w:val="FFFFFF"/>
                <w:sz w:val="21"/>
                <w:szCs w:val="21"/>
              </w:rPr>
              <w:t xml:space="preserve">n (of 60)</w:t>
            </w:r>
          </w:p>
        </w:tc>
        <w:tc>
          <w:tcPr>
            <w:tcW w:type="dxa" w:w="1760"/>
            <w:shd w:fill="1F4E5F" w:color="auto" w:val="clear"/>
            <w:tcMar>
              <w:top w:type="dxa" w:w="80"/>
              <w:left w:type="dxa" w:w="100"/>
              <w:bottom w:type="dxa" w:w="80"/>
              <w:right w:type="dxa" w:w="100"/>
            </w:tcMar>
          </w:tcPr>
          <w:p>
            <w:pPr>
              <w:jc w:val="left"/>
            </w:pPr>
            <w:r>
              <w:rPr>
                <w:b/>
                <w:bCs/>
                <w:color w:val="FFFFFF"/>
                <w:sz w:val="21"/>
                <w:szCs w:val="21"/>
              </w:rPr>
              <w:t xml:space="preserve">%</w:t>
            </w:r>
          </w:p>
        </w:tc>
      </w:tr>
      <w:tr>
        <w:tc>
          <w:tcPr>
            <w:tcW w:type="dxa" w:w="4200"/>
            <w:tcMar>
              <w:top w:type="dxa" w:w="80"/>
              <w:left w:type="dxa" w:w="100"/>
              <w:bottom w:type="dxa" w:w="80"/>
              <w:right w:type="dxa" w:w="100"/>
            </w:tcMar>
          </w:tcPr>
          <w:p>
            <w:pPr>
              <w:jc w:val="left"/>
            </w:pPr>
            <w:r>
              <w:rPr>
                <w:b w:val="false"/>
                <w:bCs w:val="false"/>
                <w:sz w:val="21"/>
                <w:szCs w:val="21"/>
              </w:rPr>
              <w:t xml:space="preserve">Bring own reusable water bottle or container</w:t>
            </w:r>
          </w:p>
        </w:tc>
        <w:tc>
          <w:tcPr>
            <w:tcW w:type="dxa" w:w="2200"/>
            <w:tcMar>
              <w:top w:type="dxa" w:w="80"/>
              <w:left w:type="dxa" w:w="100"/>
              <w:bottom w:type="dxa" w:w="80"/>
              <w:right w:type="dxa" w:w="100"/>
            </w:tcMar>
          </w:tcPr>
          <w:p>
            <w:pPr>
              <w:jc w:val="left"/>
            </w:pPr>
            <w:r>
              <w:rPr>
                <w:b w:val="false"/>
                <w:bCs w:val="false"/>
                <w:sz w:val="21"/>
                <w:szCs w:val="21"/>
              </w:rPr>
              <w:t xml:space="preserve">38</w:t>
            </w:r>
          </w:p>
        </w:tc>
        <w:tc>
          <w:tcPr>
            <w:tcW w:type="dxa" w:w="1760"/>
            <w:tcMar>
              <w:top w:type="dxa" w:w="80"/>
              <w:left w:type="dxa" w:w="100"/>
              <w:bottom w:type="dxa" w:w="80"/>
              <w:right w:type="dxa" w:w="100"/>
            </w:tcMar>
          </w:tcPr>
          <w:p>
            <w:pPr>
              <w:jc w:val="left"/>
            </w:pPr>
            <w:r>
              <w:rPr>
                <w:b w:val="false"/>
                <w:bCs w:val="false"/>
                <w:sz w:val="21"/>
                <w:szCs w:val="21"/>
              </w:rPr>
              <w:t xml:space="preserve">63.3%</w:t>
            </w:r>
          </w:p>
        </w:tc>
      </w:tr>
      <w:tr>
        <w:tc>
          <w:tcPr>
            <w:tcW w:type="dxa" w:w="4200"/>
            <w:tcMar>
              <w:top w:type="dxa" w:w="80"/>
              <w:left w:type="dxa" w:w="100"/>
              <w:bottom w:type="dxa" w:w="80"/>
              <w:right w:type="dxa" w:w="100"/>
            </w:tcMar>
          </w:tcPr>
          <w:p>
            <w:pPr>
              <w:jc w:val="left"/>
            </w:pPr>
            <w:r>
              <w:rPr>
                <w:b w:val="false"/>
                <w:bCs w:val="false"/>
                <w:sz w:val="21"/>
                <w:szCs w:val="21"/>
              </w:rPr>
              <w:t xml:space="preserve">Sort trash into designated recycling bins</w:t>
            </w:r>
          </w:p>
        </w:tc>
        <w:tc>
          <w:tcPr>
            <w:tcW w:type="dxa" w:w="2200"/>
            <w:tcMar>
              <w:top w:type="dxa" w:w="80"/>
              <w:left w:type="dxa" w:w="100"/>
              <w:bottom w:type="dxa" w:w="80"/>
              <w:right w:type="dxa" w:w="100"/>
            </w:tcMar>
          </w:tcPr>
          <w:p>
            <w:pPr>
              <w:jc w:val="left"/>
            </w:pPr>
            <w:r>
              <w:rPr>
                <w:b w:val="false"/>
                <w:bCs w:val="false"/>
                <w:sz w:val="21"/>
                <w:szCs w:val="21"/>
              </w:rPr>
              <w:t xml:space="preserve">33</w:t>
            </w:r>
          </w:p>
        </w:tc>
        <w:tc>
          <w:tcPr>
            <w:tcW w:type="dxa" w:w="1760"/>
            <w:tcMar>
              <w:top w:type="dxa" w:w="80"/>
              <w:left w:type="dxa" w:w="100"/>
              <w:bottom w:type="dxa" w:w="80"/>
              <w:right w:type="dxa" w:w="100"/>
            </w:tcMar>
          </w:tcPr>
          <w:p>
            <w:pPr>
              <w:jc w:val="left"/>
            </w:pPr>
            <w:r>
              <w:rPr>
                <w:b w:val="false"/>
                <w:bCs w:val="false"/>
                <w:sz w:val="21"/>
                <w:szCs w:val="21"/>
              </w:rPr>
              <w:t xml:space="preserve">55.0%</w:t>
            </w:r>
          </w:p>
        </w:tc>
      </w:tr>
      <w:tr>
        <w:tc>
          <w:tcPr>
            <w:tcW w:type="dxa" w:w="4200"/>
            <w:tcMar>
              <w:top w:type="dxa" w:w="80"/>
              <w:left w:type="dxa" w:w="100"/>
              <w:bottom w:type="dxa" w:w="80"/>
              <w:right w:type="dxa" w:w="100"/>
            </w:tcMar>
          </w:tcPr>
          <w:p>
            <w:pPr>
              <w:jc w:val="left"/>
            </w:pPr>
            <w:r>
              <w:rPr>
                <w:b w:val="false"/>
                <w:bCs w:val="false"/>
                <w:sz w:val="21"/>
                <w:szCs w:val="21"/>
              </w:rPr>
              <w:t xml:space="preserve">Volunteer in campus cleanup or awareness drives</w:t>
            </w:r>
          </w:p>
        </w:tc>
        <w:tc>
          <w:tcPr>
            <w:tcW w:type="dxa" w:w="2200"/>
            <w:tcMar>
              <w:top w:type="dxa" w:w="80"/>
              <w:left w:type="dxa" w:w="100"/>
              <w:bottom w:type="dxa" w:w="80"/>
              <w:right w:type="dxa" w:w="100"/>
            </w:tcMar>
          </w:tcPr>
          <w:p>
            <w:pPr>
              <w:jc w:val="left"/>
            </w:pPr>
            <w:r>
              <w:rPr>
                <w:b w:val="false"/>
                <w:bCs w:val="false"/>
                <w:sz w:val="21"/>
                <w:szCs w:val="21"/>
              </w:rPr>
              <w:t xml:space="preserve">14</w:t>
            </w:r>
          </w:p>
        </w:tc>
        <w:tc>
          <w:tcPr>
            <w:tcW w:type="dxa" w:w="1760"/>
            <w:tcMar>
              <w:top w:type="dxa" w:w="80"/>
              <w:left w:type="dxa" w:w="100"/>
              <w:bottom w:type="dxa" w:w="80"/>
              <w:right w:type="dxa" w:w="100"/>
            </w:tcMar>
          </w:tcPr>
          <w:p>
            <w:pPr>
              <w:jc w:val="left"/>
            </w:pPr>
            <w:r>
              <w:rPr>
                <w:b w:val="false"/>
                <w:bCs w:val="false"/>
                <w:sz w:val="21"/>
                <w:szCs w:val="21"/>
              </w:rPr>
              <w:t xml:space="preserve">23.3%</w:t>
            </w:r>
          </w:p>
        </w:tc>
      </w:tr>
      <w:tr>
        <w:tc>
          <w:tcPr>
            <w:tcW w:type="dxa" w:w="4200"/>
            <w:tcMar>
              <w:top w:type="dxa" w:w="80"/>
              <w:left w:type="dxa" w:w="100"/>
              <w:bottom w:type="dxa" w:w="80"/>
              <w:right w:type="dxa" w:w="100"/>
            </w:tcMar>
          </w:tcPr>
          <w:p>
            <w:pPr>
              <w:jc w:val="left"/>
            </w:pPr>
            <w:r>
              <w:rPr>
                <w:b w:val="false"/>
                <w:bCs w:val="false"/>
                <w:sz w:val="21"/>
                <w:szCs w:val="21"/>
              </w:rPr>
              <w:t xml:space="preserve">None of the above</w:t>
            </w:r>
          </w:p>
        </w:tc>
        <w:tc>
          <w:tcPr>
            <w:tcW w:type="dxa" w:w="2200"/>
            <w:tcMar>
              <w:top w:type="dxa" w:w="80"/>
              <w:left w:type="dxa" w:w="100"/>
              <w:bottom w:type="dxa" w:w="80"/>
              <w:right w:type="dxa" w:w="100"/>
            </w:tcMar>
          </w:tcPr>
          <w:p>
            <w:pPr>
              <w:jc w:val="left"/>
            </w:pPr>
            <w:r>
              <w:rPr>
                <w:b w:val="false"/>
                <w:bCs w:val="false"/>
                <w:sz w:val="21"/>
                <w:szCs w:val="21"/>
              </w:rPr>
              <w:t xml:space="preserve">3</w:t>
            </w:r>
          </w:p>
        </w:tc>
        <w:tc>
          <w:tcPr>
            <w:tcW w:type="dxa" w:w="1760"/>
            <w:tcMar>
              <w:top w:type="dxa" w:w="80"/>
              <w:left w:type="dxa" w:w="100"/>
              <w:bottom w:type="dxa" w:w="80"/>
              <w:right w:type="dxa" w:w="100"/>
            </w:tcMar>
          </w:tcPr>
          <w:p>
            <w:pPr>
              <w:jc w:val="left"/>
            </w:pPr>
            <w:r>
              <w:rPr>
                <w:b w:val="false"/>
                <w:bCs w:val="false"/>
                <w:sz w:val="21"/>
                <w:szCs w:val="21"/>
              </w:rPr>
              <w:t xml:space="preserve">5.0%</w:t>
            </w:r>
          </w:p>
        </w:tc>
      </w:tr>
    </w:tbl>
    <w:p>
      <w:pPr>
        <w:spacing w:after="200"/>
      </w:pPr>
    </w:p>
    <w:p>
      <w:pPr>
        <w:spacing w:after="200"/>
        <w:jc w:val="both"/>
      </w:pPr>
      <w:r>
        <w:t xml:space="preserve">Non-monetary willingness to support the initiative was considerably higher than monetary WTP. Nearly two-thirds of respondents (63.3%) were willing to bring their own reusable water bottle or container, and over half (55.0%) were willing to sort trash into designated recycling bins. A smaller but meaningful share (23.3%) indicated willingness to volunteer in cleanup or awareness activities, while only 5.0% were unwilling to take any of the listed non-monetary actions. Combined with the findings in Section 4.11, these results suggest that student support for the plastic-free campus initiative is more readily expressed through behavioural, in-kind contributions than through direct monetary payment.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2026-09-08T16:44:21.229Z</dcterms:created>
  <dcterms:modified xsi:type="dcterms:W3CDTF">2026-09-08T16:44:21.229Z</dcterms:modified>
</cp:coreProperties>
</file>

<file path=docProps/custom.xml><?xml version="1.0" encoding="utf-8"?>
<Properties xmlns="http://schemas.openxmlformats.org/officeDocument/2006/custom-properties" xmlns:vt="http://schemas.openxmlformats.org/officeDocument/2006/docPropsVTypes"/>
</file>