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4"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kitchen, permits,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Lemonade and brewed iced tea are not covered.</w:t>
      </w:r>
      <w:r>
        <w:t xml:space="preserve"> </w:t>
      </w:r>
      <w:r>
        <w:t xml:space="preserve">Beverages aren't on the exempt list, and only</w:t>
      </w:r>
      <w:r>
        <w:t xml:space="preserve"> </w:t>
      </w:r>
      <w:r>
        <w:rPr>
          <w:iCs/>
          <w:i/>
        </w:rPr>
        <w:t xml:space="preserve">dried</w:t>
      </w:r>
      <w:r>
        <w:t xml:space="preserve"> </w:t>
      </w:r>
      <w:r>
        <w:t xml:space="preserve">tea is. Selling lemonade or brewed tea needs a VDACS permit. Find out what permit she already has for the market (she has sold them for years). The app should only list drinks that her permit covers.</w:t>
      </w:r>
      <w:r>
        <w:t xml:space="preserve"> </w:t>
      </w:r>
      <w:r>
        <w:rPr>
          <w:bCs/>
          <w:b/>
        </w:rPr>
        <w:t xml:space="preserve">Dried tea blends sold as loose tea are fine without a permit.</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or "drink, needs permit."</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rPr>
          <w:bCs/>
          <w:b/>
        </w:rPr>
        <w:t xml:space="preserve">Her kitchen:</w:t>
      </w:r>
      <w:r>
        <w:t xml:space="preserve"> </w:t>
      </w:r>
      <w:r>
        <w:t xml:space="preserve">home kitchen only, or a licensed or commercial kitchen?</w:t>
      </w:r>
      <w:r>
        <w:t xml:space="preserve"> </w:t>
      </w:r>
      <w:r>
        <w:rPr>
          <w:bCs/>
          <w:b/>
        </w:rPr>
        <w:t xml:space="preserve">What permits does she already have</w:t>
      </w:r>
      <w:r>
        <w:t xml:space="preserve"> </w:t>
      </w:r>
      <w:r>
        <w:t xml:space="preserve">(especially for lemonade and tea)? This decides what the app can list.</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3" w:name="X4668657ba980d2ffeec34075834be331d37a7f9"/>
    <w:p>
      <w:pPr>
        <w:pStyle w:val="Heading2"/>
      </w:pPr>
      <w:r>
        <w:t xml:space="preserve">1.8 Sources for Part 1</w:t>
      </w:r>
    </w:p>
    <w:p>
      <w:pPr>
        <w:numPr>
          <w:ilvl w:val="0"/>
          <w:numId w:val="1019"/>
        </w:numPr>
        <w:pStyle w:val="Compact"/>
      </w:pPr>
      <w:r>
        <w:t xml:space="preserve">Virginia's Home Food Processing Exemptions FAQ (VDACS/VDH, July 2026):</w:t>
      </w:r>
      <w:r>
        <w:t xml:space="preserve"> </w:t>
      </w:r>
      <w:hyperlink r:id="rId30">
        <w:r>
          <w:rPr>
            <w:rStyle w:val="Hyperlink"/>
          </w:rPr>
          <w:t xml:space="preserve">https://www.vdh.virginia.gov/content/uploads/sites/126/Virginias-Home-Food-Processing-Exemptions-FAQ-July-2026-1.pdf</w:t>
        </w:r>
      </w:hyperlink>
    </w:p>
    <w:p>
      <w:pPr>
        <w:numPr>
          <w:ilvl w:val="0"/>
          <w:numId w:val="1019"/>
        </w:numPr>
        <w:pStyle w:val="Compact"/>
      </w:pPr>
      <w:r>
        <w:t xml:space="preserve">Virginia HB402 (cottage food online sales and delivery, effective July 1, 2026), summary:</w:t>
      </w:r>
      <w:r>
        <w:t xml:space="preserve"> </w:t>
      </w:r>
      <w:hyperlink r:id="rId31">
        <w:r>
          <w:rPr>
            <w:rStyle w:val="Hyperlink"/>
          </w:rPr>
          <w:t xml:space="preserve">https://beancount.io/it/blog/2026/07/20/virginia-hb402-cottage-food-online-sales-shipping-guide</w:t>
        </w:r>
      </w:hyperlink>
    </w:p>
    <w:p>
      <w:pPr>
        <w:numPr>
          <w:ilvl w:val="0"/>
          <w:numId w:val="1019"/>
        </w:numPr>
        <w:pStyle w:val="Compact"/>
      </w:pPr>
      <w:r>
        <w:t xml:space="preserve">VDACS home kitchen FAQ:</w:t>
      </w:r>
      <w:r>
        <w:t xml:space="preserve"> </w:t>
      </w:r>
      <w:hyperlink r:id="rId32">
        <w:r>
          <w:rPr>
            <w:rStyle w:val="Hyperlink"/>
          </w:rPr>
          <w:t xml:space="preserve">https://www.vdacs.virginia.gov/pdf/kitchenbillfaq.pdf</w:t>
        </w:r>
      </w:hyperlink>
    </w:p>
    <w:p>
      <w:r>
        <w:pict>
          <v:rect style="width:0;height:1.5pt" o:hralign="center" o:hrstd="t" o:hr="t"/>
        </w:pict>
      </w:r>
    </w:p>
    <w:bookmarkEnd w:id="33"/>
    <w:bookmarkEnd w:id="34"/>
    <w:bookmarkStart w:id="39"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5"/>
    <w:bookmarkStart w:id="3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6"/>
    <w:bookmarkStart w:id="3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7"/>
    <w:bookmarkEnd w:id="38"/>
    <w:bookmarkEnd w:id="39"/>
    <w:bookmarkStart w:id="75" w:name="X017b7a1639ac8691ae27e3c05d772596f6f14ce"/>
    <w:p>
      <w:pPr>
        <w:pStyle w:val="Heading1"/>
      </w:pPr>
      <w:r>
        <w:t xml:space="preserve">PART 3: Everything we learned (patterns, services, gotchas, every mistake and its rule)</w:t>
      </w:r>
    </w:p>
    <w:bookmarkStart w:id="51" w:name="X87907508cafbb11f68d1ad0282bdbf56862a8bf"/>
    <w:p>
      <w:pPr>
        <w:pStyle w:val="Heading2"/>
      </w:pPr>
      <w:r>
        <w:t xml:space="preserve">4. Patterns that worked (reuse them)</w:t>
      </w:r>
    </w:p>
    <w:bookmarkStart w:id="40"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0"/>
    <w:bookmarkStart w:id="41"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1"/>
    <w:bookmarkStart w:id="42"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2"/>
    <w:bookmarkStart w:id="43"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3"/>
    <w:bookmarkStart w:id="44"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4"/>
    <w:bookmarkStart w:id="45"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5"/>
    <w:bookmarkStart w:id="46"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6"/>
    <w:bookmarkStart w:id="47"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7"/>
    <w:bookmarkStart w:id="48"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48"/>
    <w:bookmarkStart w:id="49"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49"/>
    <w:bookmarkStart w:id="50"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0"/>
    <w:bookmarkEnd w:id="51"/>
    <w:bookmarkStart w:id="55"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2"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2"/>
    <w:bookmarkStart w:id="53"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3"/>
    <w:bookmarkStart w:id="54"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4"/>
    <w:bookmarkEnd w:id="55"/>
    <w:bookmarkStart w:id="56"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6"/>
    <w:bookmarkStart w:id="57"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7"/>
    <w:bookmarkStart w:id="58"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58"/>
    <w:bookmarkStart w:id="59"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59"/>
    <w:bookmarkStart w:id="60"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0"/>
    <w:bookmarkStart w:id="61"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1"/>
    <w:bookmarkStart w:id="62"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2"/>
    <w:bookmarkStart w:id="63"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3"/>
    <w:bookmarkStart w:id="64"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4"/>
    <w:bookmarkStart w:id="65"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5"/>
    <w:bookmarkStart w:id="66"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6"/>
    <w:bookmarkStart w:id="67"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7"/>
    <w:bookmarkStart w:id="73"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68"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68"/>
    <w:bookmarkStart w:id="69"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69"/>
    <w:bookmarkStart w:id="70"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0"/>
    <w:bookmarkStart w:id="71"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1"/>
    <w:bookmarkStart w:id="72"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2"/>
    <w:bookmarkEnd w:id="73"/>
    <w:bookmarkStart w:id="74"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4"/>
    <w:bookmarkEnd w:id="75"/>
    <w:bookmarkStart w:id="76"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eancount.io/it/blog/2026/07/20/virginia-hb402-cottage-food-online-sales-shipping-guide" TargetMode="External" /><Relationship Type="http://schemas.openxmlformats.org/officeDocument/2006/relationships/hyperlink" Id="rId32" Target="https://www.vdacs.virginia.gov/pdf/kitchenbillfaq.pdf" TargetMode="External" /><Relationship Type="http://schemas.openxmlformats.org/officeDocument/2006/relationships/hyperlink" Id="rId30"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1" Target="https://beancount.io/it/blog/2026/07/20/virginia-hb402-cottage-food-online-sales-shipping-guide" TargetMode="External" /><Relationship Type="http://schemas.openxmlformats.org/officeDocument/2006/relationships/hyperlink" Id="rId32" Target="https://www.vdacs.virginia.gov/pdf/kitchenbillfaq.pdf" TargetMode="External" /><Relationship Type="http://schemas.openxmlformats.org/officeDocument/2006/relationships/hyperlink" Id="rId30"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2026-10-24T17:04:27Z</dcterms:created>
  <dcterms:modified xsi:type="dcterms:W3CDTF">2026-10-24T17:04:27Z</dcterms:modified>
</cp:coreProperties>
</file>

<file path=docProps/custom.xml><?xml version="1.0" encoding="utf-8"?>
<Properties xmlns="http://schemas.openxmlformats.org/officeDocument/2006/custom-properties" xmlns:vt="http://schemas.openxmlformats.org/officeDocument/2006/docPropsVTypes"/>
</file>