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Estate</w:t>
      </w:r>
      <w:r>
        <w:t xml:space="preserve"> </w:t>
      </w:r>
      <w:r>
        <w:t xml:space="preserve">&amp;</w:t>
      </w:r>
      <w:r>
        <w:t xml:space="preserve"> </w:t>
      </w:r>
      <w:r>
        <w:t xml:space="preserve">Downsizing</w:t>
      </w:r>
      <w:r>
        <w:t xml:space="preserve"> </w:t>
      </w:r>
      <w:r>
        <w:t xml:space="preserve">Pack:</w:t>
      </w:r>
      <w:r>
        <w:t xml:space="preserve"> </w:t>
      </w:r>
      <w:r>
        <w:t xml:space="preserve">Legal</w:t>
      </w:r>
      <w:r>
        <w:t xml:space="preserve"> </w:t>
      </w:r>
      <w:r>
        <w:t xml:space="preserve">Research</w:t>
      </w:r>
      <w:r>
        <w:t xml:space="preserve"> </w:t>
      </w:r>
      <w:r>
        <w:t xml:space="preserve">Report</w:t>
      </w:r>
    </w:p>
    <w:p>
      <w:pPr>
        <w:pStyle w:val="Subtitle"/>
      </w:pPr>
      <w:r>
        <w:t xml:space="preserve">Virginia</w:t>
      </w:r>
      <w:r>
        <w:t xml:space="preserve"> </w:t>
      </w:r>
      <w:r>
        <w:t xml:space="preserve">first,</w:t>
      </w:r>
      <w:r>
        <w:t xml:space="preserve"> </w:t>
      </w:r>
      <w:r>
        <w:t xml:space="preserve">then</w:t>
      </w:r>
      <w:r>
        <w:t xml:space="preserve"> </w:t>
      </w:r>
      <w:r>
        <w:t xml:space="preserve">federal.</w:t>
      </w:r>
      <w:r>
        <w:t xml:space="preserve"> </w:t>
      </w:r>
      <w:r>
        <w:t xml:space="preserve">Researched</w:t>
      </w:r>
      <w:r>
        <w:t xml:space="preserve"> </w:t>
      </w:r>
      <w:r>
        <w:t xml:space="preserve">and</w:t>
      </w:r>
      <w:r>
        <w:t xml:space="preserve"> </w:t>
      </w:r>
      <w:r>
        <w:t xml:space="preserve">checked</w:t>
      </w:r>
      <w:r>
        <w:t xml:space="preserve"> </w:t>
      </w:r>
      <w:r>
        <w:t xml:space="preserve">October</w:t>
      </w:r>
      <w:r>
        <w:t xml:space="preserve"> </w:t>
      </w:r>
      <w:r>
        <w:t xml:space="preserve">1,</w:t>
      </w:r>
      <w:r>
        <w:t xml:space="preserve"> </w:t>
      </w:r>
      <w:r>
        <w:t xml:space="preserve">2026.</w:t>
      </w:r>
    </w:p>
    <w:p>
      <w:pPr>
        <w:pStyle w:val="Author"/>
      </w:pPr>
      <w:r>
        <w:t xml:space="preserve">Prepared</w:t>
      </w:r>
      <w:r>
        <w:t xml:space="preserve"> </w:t>
      </w:r>
      <w:r>
        <w:t xml:space="preserve">for</w:t>
      </w:r>
      <w:r>
        <w:t xml:space="preserve"> </w:t>
      </w:r>
      <w:r>
        <w:t xml:space="preserve">Shayne</w:t>
      </w:r>
      <w:r>
        <w:t xml:space="preserve"> </w:t>
      </w:r>
      <w:r>
        <w:t xml:space="preserve">Snavely,</w:t>
      </w:r>
      <w:r>
        <w:t xml:space="preserve"> </w:t>
      </w:r>
      <w:r>
        <w:t xml:space="preserve">Next</w:t>
      </w:r>
      <w:r>
        <w:t xml:space="preserve"> </w:t>
      </w:r>
      <w:r>
        <w:t xml:space="preserve">Owner</w:t>
      </w:r>
      <w:r>
        <w:t xml:space="preserve"> </w:t>
      </w:r>
      <w:r>
        <w:t xml:space="preserve">Market</w:t>
      </w:r>
    </w:p>
    <w:bookmarkStart w:id="20" w:name="the-bottom-line"/>
    <w:p>
      <w:pPr>
        <w:pStyle w:val="Heading1"/>
      </w:pPr>
      <w:r>
        <w:t xml:space="preserve">The bottom line</w:t>
      </w:r>
    </w:p>
    <w:p>
      <w:pPr>
        <w:pStyle w:val="FirstParagraph"/>
      </w:pPr>
      <w:r>
        <w:rPr>
          <w:bCs/>
          <w:b/>
        </w:rPr>
        <w:t xml:space="preserve">We can build the Estate &amp; Downsizing Pack.</w:t>
      </w:r>
      <w:r>
        <w:t xml:space="preserve"> </w:t>
      </w:r>
      <w:r>
        <w:t xml:space="preserve">Nothing in Virginia or federal law stops it. What the law does is set where the lines are. We now know where nearly all of them are.</w:t>
      </w:r>
    </w:p>
    <w:p>
      <w:pPr>
        <w:pStyle w:val="BodyText"/>
      </w:pPr>
      <w:r>
        <w:rPr>
          <w:bCs/>
          <w:b/>
        </w:rPr>
        <w:t xml:space="preserve">What the Pack can do safely:</w:t>
      </w:r>
    </w:p>
    <w:p>
      <w:pPr>
        <w:numPr>
          <w:ilvl w:val="0"/>
          <w:numId w:val="1001"/>
        </w:numPr>
        <w:pStyle w:val="Compact"/>
      </w:pPr>
      <w:r>
        <w:t xml:space="preserve">Ask a few questions and give a family a checklist with real Virginia deadlines.</w:t>
      </w:r>
    </w:p>
    <w:p>
      <w:pPr>
        <w:numPr>
          <w:ilvl w:val="0"/>
          <w:numId w:val="1001"/>
        </w:numPr>
        <w:pStyle w:val="Compact"/>
      </w:pPr>
      <w:r>
        <w:t xml:space="preserve">Explain the steps in plain words.</w:t>
      </w:r>
    </w:p>
    <w:p>
      <w:pPr>
        <w:numPr>
          <w:ilvl w:val="0"/>
          <w:numId w:val="1001"/>
        </w:numPr>
        <w:pStyle w:val="Compact"/>
      </w:pPr>
      <w:r>
        <w:t xml:space="preserve">Link to the official court forms (Virginia now has a single statewide Small Estate Affidavit, form CC-1685).</w:t>
      </w:r>
    </w:p>
    <w:p>
      <w:pPr>
        <w:numPr>
          <w:ilvl w:val="0"/>
          <w:numId w:val="1001"/>
        </w:numPr>
        <w:pStyle w:val="Compact"/>
      </w:pPr>
      <w:r>
        <w:t xml:space="preserve">Write simple letters that only</w:t>
      </w:r>
      <w:r>
        <w:t xml:space="preserve"> </w:t>
      </w:r>
      <w:r>
        <w:rPr>
          <w:iCs/>
          <w:i/>
        </w:rPr>
        <w:t xml:space="preserve">tell</w:t>
      </w:r>
      <w:r>
        <w:t xml:space="preserve"> </w:t>
      </w:r>
      <w:r>
        <w:t xml:space="preserve">a bank, utility or credit bureau that someone died.</w:t>
      </w:r>
    </w:p>
    <w:p>
      <w:pPr>
        <w:numPr>
          <w:ilvl w:val="0"/>
          <w:numId w:val="1001"/>
        </w:numPr>
        <w:pStyle w:val="Compact"/>
      </w:pPr>
      <w:r>
        <w:t xml:space="preserve">Estimate what the belongings are worth.</w:t>
      </w:r>
    </w:p>
    <w:p>
      <w:pPr>
        <w:numPr>
          <w:ilvl w:val="0"/>
          <w:numId w:val="1001"/>
        </w:numPr>
        <w:pStyle w:val="Compact"/>
      </w:pPr>
      <w:r>
        <w:t xml:space="preserve">Sell them through Next Owner Market.</w:t>
      </w:r>
    </w:p>
    <w:p>
      <w:pPr>
        <w:pStyle w:val="FirstParagraph"/>
      </w:pPr>
      <w:r>
        <w:rPr>
          <w:bCs/>
          <w:b/>
        </w:rPr>
        <w:t xml:space="preserve">What it must never do:</w:t>
      </w:r>
    </w:p>
    <w:p>
      <w:pPr>
        <w:numPr>
          <w:ilvl w:val="0"/>
          <w:numId w:val="1002"/>
        </w:numPr>
        <w:pStyle w:val="Compact"/>
      </w:pPr>
      <w:r>
        <w:t xml:space="preserve">Pick a legal path for the family ("you should use the small estate affidavit").</w:t>
      </w:r>
    </w:p>
    <w:p>
      <w:pPr>
        <w:numPr>
          <w:ilvl w:val="0"/>
          <w:numId w:val="1002"/>
        </w:numPr>
        <w:pStyle w:val="Compact"/>
      </w:pPr>
      <w:r>
        <w:t xml:space="preserve">Fill in court papers for them.</w:t>
      </w:r>
    </w:p>
    <w:p>
      <w:pPr>
        <w:numPr>
          <w:ilvl w:val="0"/>
          <w:numId w:val="1002"/>
        </w:numPr>
        <w:pStyle w:val="Compact"/>
      </w:pPr>
      <w:r>
        <w:t xml:space="preserve">Write letters that argue, dispute a debt or claim money.</w:t>
      </w:r>
    </w:p>
    <w:p>
      <w:pPr>
        <w:numPr>
          <w:ilvl w:val="0"/>
          <w:numId w:val="1002"/>
        </w:numPr>
        <w:pStyle w:val="Compact"/>
      </w:pPr>
      <w:r>
        <w:t xml:space="preserve">Call itself a lawyer, or call its estimates "appraisals."</w:t>
      </w:r>
    </w:p>
    <w:p>
      <w:pPr>
        <w:pStyle w:val="FirstParagraph"/>
      </w:pPr>
      <w:r>
        <w:rPr>
          <w:bCs/>
          <w:b/>
        </w:rPr>
        <w:t xml:space="preserve">Three findings matter beyond the Pack. They affect Next Owner Market today:</w:t>
      </w:r>
    </w:p>
    <w:p>
      <w:pPr>
        <w:numPr>
          <w:ilvl w:val="0"/>
          <w:numId w:val="1003"/>
        </w:numPr>
        <w:pStyle w:val="Compact"/>
      </w:pPr>
      <w:r>
        <w:rPr>
          <w:bCs/>
          <w:b/>
        </w:rPr>
        <w:t xml:space="preserve">Sales tax.</w:t>
      </w:r>
      <w:r>
        <w:t xml:space="preserve"> </w:t>
      </w:r>
      <w:r>
        <w:t xml:space="preserve">The checkout collects no Virginia sales tax right now. Virginia's tax rules say a business that sells other people's goods as their agent "must collect the tax on all sales including estate sales." That covers the warehouse consignment sales today. Seller-listed sales become our job once we pass $100,000 or 200 sales a year in Virginia.</w:t>
      </w:r>
      <w:r>
        <w:t xml:space="preserve"> </w:t>
      </w:r>
      <w:r>
        <w:rPr>
          <w:iCs/>
          <w:i/>
        </w:rPr>
        <w:t xml:space="preserve">This is the most important thing in this report.</w:t>
      </w:r>
    </w:p>
    <w:p>
      <w:pPr>
        <w:numPr>
          <w:ilvl w:val="0"/>
          <w:numId w:val="1003"/>
        </w:numPr>
        <w:pStyle w:val="Compact"/>
      </w:pPr>
      <w:r>
        <w:rPr>
          <w:bCs/>
          <w:b/>
        </w:rPr>
        <w:t xml:space="preserve">Buying jewelry and gold outright.</w:t>
      </w:r>
      <w:r>
        <w:t xml:space="preserve"> </w:t>
      </w:r>
      <w:r>
        <w:t xml:space="preserve">If we</w:t>
      </w:r>
      <w:r>
        <w:t xml:space="preserve"> </w:t>
      </w:r>
      <w:r>
        <w:rPr>
          <w:iCs/>
          <w:i/>
        </w:rPr>
        <w:t xml:space="preserve">buy</w:t>
      </w:r>
      <w:r>
        <w:t xml:space="preserve"> </w:t>
      </w:r>
      <w:r>
        <w:t xml:space="preserve">gold, silver or jewelry from the public, we need a police permit and a $10,000 bond. Consigning it, or buying from a court-qualified executor, does not need either.</w:t>
      </w:r>
    </w:p>
    <w:p>
      <w:pPr>
        <w:numPr>
          <w:ilvl w:val="0"/>
          <w:numId w:val="1003"/>
        </w:numPr>
        <w:pStyle w:val="Compact"/>
      </w:pPr>
      <w:r>
        <w:rPr>
          <w:bCs/>
          <w:b/>
        </w:rPr>
        <w:t xml:space="preserve">Secondhand watches.</w:t>
      </w:r>
      <w:r>
        <w:t xml:space="preserve"> </w:t>
      </w:r>
      <w:r>
        <w:t xml:space="preserve">Virginia law says any business selling a used watch must tag it and advertise it as "secondhand."</w:t>
      </w:r>
    </w:p>
    <w:p>
      <w:pPr>
        <w:pStyle w:val="FirstParagraph"/>
      </w:pPr>
      <w:r>
        <w:rPr>
          <w:bCs/>
          <w:b/>
        </w:rPr>
        <w:t xml:space="preserve">What still needs a real Virginia lawyer.</w:t>
      </w:r>
      <w:r>
        <w:t xml:space="preserve"> </w:t>
      </w:r>
      <w:r>
        <w:t xml:space="preserve">It is down to six questions, listed at the end, so one short paid consult should cover them. This report is research, not legal advice. Claude is not a lawyer. The report does the digging a lawyer would do first, with every rule tied to its source, so the lawyer only has to confirm.</w:t>
      </w:r>
    </w:p>
    <w:p>
      <w:pPr>
        <w:pStyle w:val="BodyText"/>
      </w:pPr>
      <w:r>
        <w:rPr>
          <w:bCs/>
          <w:b/>
        </w:rPr>
        <w:t xml:space="preserve">How sure we are.</w:t>
      </w:r>
      <w:r>
        <w:t xml:space="preserve"> </w:t>
      </w:r>
      <w:r>
        <w:t xml:space="preserve">Every key number and rule was checked a second time against the official source by a separate research pass. The twenty most important facts were all confirmed; two needed small corrections, which are already made below. Items marked</w:t>
      </w:r>
      <w:r>
        <w:t xml:space="preserve"> </w:t>
      </w:r>
      <w:r>
        <w:rPr>
          <w:bCs/>
          <w:b/>
        </w:rPr>
        <w:t xml:space="preserve">(check)</w:t>
      </w:r>
      <w:r>
        <w:t xml:space="preserve"> </w:t>
      </w:r>
      <w:r>
        <w:t xml:space="preserve">come from news or secondary sources, or could not be fully confirmed.</w:t>
      </w:r>
    </w:p>
    <w:bookmarkEnd w:id="20"/>
    <w:bookmarkStart w:id="25" w:name="part-a-helping-without-practicing-law"/>
    <w:p>
      <w:pPr>
        <w:pStyle w:val="Heading1"/>
      </w:pPr>
      <w:r>
        <w:t xml:space="preserve">Part A. Helping without "practicing law"</w:t>
      </w:r>
    </w:p>
    <w:bookmarkStart w:id="21" w:name="the-virginia-rule"/>
    <w:p>
      <w:pPr>
        <w:pStyle w:val="Heading2"/>
      </w:pPr>
      <w:r>
        <w:t xml:space="preserve">The Virginia rule</w:t>
      </w:r>
    </w:p>
    <w:p>
      <w:pPr>
        <w:pStyle w:val="FirstParagraph"/>
      </w:pPr>
      <w:r>
        <w:t xml:space="preserve">The Supreme Court of Virginia defines the practice of law. A person practices law when they hold themselves out as able to:</w:t>
      </w:r>
    </w:p>
    <w:p>
      <w:pPr>
        <w:numPr>
          <w:ilvl w:val="0"/>
          <w:numId w:val="1004"/>
        </w:numPr>
        <w:pStyle w:val="Compact"/>
      </w:pPr>
      <w:r>
        <w:t xml:space="preserve">give advice that applies the law to someone's own facts, for pay of any kind;</w:t>
      </w:r>
    </w:p>
    <w:p>
      <w:pPr>
        <w:numPr>
          <w:ilvl w:val="0"/>
          <w:numId w:val="1004"/>
        </w:numPr>
        <w:pStyle w:val="Compact"/>
      </w:pPr>
      <w:r>
        <w:t xml:space="preserve">"select, draft or complete legal documents or agreements which affect the legal rights" of a person;</w:t>
      </w:r>
    </w:p>
    <w:p>
      <w:pPr>
        <w:numPr>
          <w:ilvl w:val="0"/>
          <w:numId w:val="1004"/>
        </w:numPr>
        <w:pStyle w:val="Compact"/>
      </w:pPr>
      <w:r>
        <w:t xml:space="preserve">represent someone before a court; or</w:t>
      </w:r>
    </w:p>
    <w:p>
      <w:pPr>
        <w:numPr>
          <w:ilvl w:val="0"/>
          <w:numId w:val="1004"/>
        </w:numPr>
        <w:pStyle w:val="Compact"/>
      </w:pPr>
      <w:r>
        <w:t xml:space="preserve">negotiate someone's legal rights for them.</w:t>
      </w:r>
    </w:p>
    <w:p>
      <w:pPr>
        <w:pStyle w:val="FirstParagraph"/>
      </w:pPr>
      <w:r>
        <w:t xml:space="preserve">Source: Rules of the Supreme Court of Virginia, Part 6, §I. Doing this without a license is a Class 1 misdemeanor (Va. Code § 54.1-3904).</w:t>
      </w:r>
    </w:p>
    <w:p>
      <w:pPr>
        <w:pStyle w:val="BodyText"/>
      </w:pPr>
      <w:r>
        <w:rPr>
          <w:bCs/>
          <w:b/>
        </w:rPr>
        <w:t xml:space="preserve">Virginia has no safe harbor for software.</w:t>
      </w:r>
      <w:r>
        <w:t xml:space="preserve"> </w:t>
      </w:r>
      <w:r>
        <w:t xml:space="preserve">Texas law says legal software is not practicing law if it clearly says it is no substitute for a lawyer. Virginia has nothing like that. A disclaimer helps, but it is not a shield here.</w:t>
      </w:r>
    </w:p>
    <w:p>
      <w:pPr>
        <w:pStyle w:val="BodyText"/>
      </w:pPr>
      <w:r>
        <w:rPr>
          <w:bCs/>
          <w:b/>
        </w:rPr>
        <w:t xml:space="preserve">Virginia does allow "selling legal forms,"</w:t>
      </w:r>
      <w:r>
        <w:t xml:space="preserve"> </w:t>
      </w:r>
      <w:r>
        <w:t xml:space="preserve">provided no legal advice is given to complete them (Part 6 §I, exclusions).</w:t>
      </w:r>
      <w:r>
        <w:t xml:space="preserve"> </w:t>
      </w:r>
      <w:r>
        <w:rPr>
          <w:bCs/>
          <w:b/>
        </w:rPr>
        <w:t xml:space="preserve">(check with lawyer: how far this reaches.)</w:t>
      </w:r>
    </w:p>
    <w:p>
      <w:pPr>
        <w:pStyle w:val="BodyText"/>
      </w:pPr>
      <w:r>
        <w:rPr>
          <w:bCs/>
          <w:b/>
        </w:rPr>
        <w:t xml:space="preserve">The most useful Virginia opinion is UPL Opinion 219 (2023).</w:t>
      </w:r>
      <w:r>
        <w:t xml:space="preserve"> </w:t>
      </w:r>
      <w:r>
        <w:t xml:space="preserve">It says that helping someone fill in a form</w:t>
      </w:r>
      <w:r>
        <w:t xml:space="preserve"> </w:t>
      </w:r>
      <w:r>
        <w:rPr>
          <w:iCs/>
          <w:i/>
        </w:rPr>
        <w:t xml:space="preserve">they chose</w:t>
      </w:r>
      <w:r>
        <w:t xml:space="preserve">, using</w:t>
      </w:r>
      <w:r>
        <w:t xml:space="preserve"> </w:t>
      </w:r>
      <w:r>
        <w:rPr>
          <w:iCs/>
          <w:i/>
        </w:rPr>
        <w:t xml:space="preserve">their own words</w:t>
      </w:r>
      <w:r>
        <w:t xml:space="preserve">, is not practicing law. Giving paid advice about which legal steps to take is.</w:t>
      </w:r>
    </w:p>
    <w:p>
      <w:pPr>
        <w:pStyle w:val="BodyText"/>
      </w:pPr>
      <w:r>
        <w:rPr>
          <w:bCs/>
          <w:b/>
        </w:rPr>
        <w:t xml:space="preserve">That gives us the design rule: the family picks; we inform.</w:t>
      </w:r>
    </w:p>
    <w:bookmarkEnd w:id="21"/>
    <w:bookmarkStart w:id="22" w:name="safe-zone-and-danger-zone"/>
    <w:p>
      <w:pPr>
        <w:pStyle w:val="Heading2"/>
      </w:pPr>
      <w:r>
        <w:t xml:space="preserve">Safe zone and danger zone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Safe: the Pack can do this</w:t>
            </w:r>
          </w:p>
        </w:tc>
        <w:tc>
          <w:tcPr/>
          <w:p>
            <w:pPr>
              <w:pStyle w:val="Compact"/>
              <w:jc w:val="left"/>
            </w:pPr>
            <w:r>
              <w:t xml:space="preserve">Danger: the Pack must not do this</w:t>
            </w:r>
          </w:p>
        </w:tc>
      </w:tr>
      <w:tr>
        <w:tc>
          <w:tcPr/>
          <w:p>
            <w:pPr>
              <w:pStyle w:val="Compact"/>
              <w:jc w:val="left"/>
            </w:pPr>
            <w:r>
              <w:t xml:space="preserve">General checklists with Virginia deadlines</w:t>
            </w:r>
          </w:p>
        </w:tc>
        <w:tc>
          <w:tcPr/>
          <w:p>
            <w:pPr>
              <w:pStyle w:val="Compact"/>
              <w:jc w:val="left"/>
            </w:pPr>
            <w:r>
              <w:t xml:space="preserve">"In your situation you should…"</w:t>
            </w:r>
          </w:p>
        </w:tc>
      </w:tr>
      <w:tr>
        <w:tc>
          <w:tcPr/>
          <w:p>
            <w:pPr>
              <w:pStyle w:val="Compact"/>
              <w:jc w:val="left"/>
            </w:pPr>
            <w:r>
              <w:t xml:space="preserve">Explaining what a small estate affidavit is and when the law allows it</w:t>
            </w:r>
          </w:p>
        </w:tc>
        <w:tc>
          <w:tcPr/>
          <w:p>
            <w:pPr>
              <w:pStyle w:val="Compact"/>
              <w:jc w:val="left"/>
            </w:pPr>
            <w:r>
              <w:t xml:space="preserve">Choosing between probate and the affidavit for them</w:t>
            </w:r>
          </w:p>
        </w:tc>
      </w:tr>
      <w:tr>
        <w:tc>
          <w:tcPr/>
          <w:p>
            <w:pPr>
              <w:pStyle w:val="Compact"/>
              <w:jc w:val="left"/>
            </w:pPr>
            <w:r>
              <w:t xml:space="preserve">Linking to the official court forms (CC-1685, CC-1670, etc.)</w:t>
            </w:r>
          </w:p>
        </w:tc>
        <w:tc>
          <w:tcPr/>
          <w:p>
            <w:pPr>
              <w:pStyle w:val="Compact"/>
              <w:jc w:val="left"/>
            </w:pPr>
            <w:r>
              <w:t xml:space="preserve">Filling in court forms for them</w:t>
            </w:r>
          </w:p>
        </w:tc>
      </w:tr>
      <w:tr>
        <w:tc>
          <w:tcPr/>
          <w:p>
            <w:pPr>
              <w:pStyle w:val="Compact"/>
              <w:jc w:val="left"/>
            </w:pPr>
            <w:r>
              <w:t xml:space="preserve">Letters that only give notice: "Jane Doe died on (date). Please close or freeze account #___ and send what you need from me."</w:t>
            </w:r>
          </w:p>
        </w:tc>
        <w:tc>
          <w:tcPr/>
          <w:p>
            <w:pPr>
              <w:pStyle w:val="Compact"/>
              <w:jc w:val="left"/>
            </w:pPr>
            <w:r>
              <w:t xml:space="preserve">Letters that dispute a debt, say the estate doesn't owe, demand an asset, or give up any right</w:t>
            </w:r>
          </w:p>
        </w:tc>
      </w:tr>
      <w:tr>
        <w:tc>
          <w:tcPr/>
          <w:p>
            <w:pPr>
              <w:pStyle w:val="Compact"/>
              <w:jc w:val="left"/>
            </w:pPr>
            <w:r>
              <w:t xml:space="preserve">A belongings list with estimated values</w:t>
            </w:r>
          </w:p>
        </w:tc>
        <w:tc>
          <w:tcPr/>
          <w:p>
            <w:pPr>
              <w:pStyle w:val="Compact"/>
              <w:jc w:val="left"/>
            </w:pPr>
            <w:r>
              <w:t xml:space="preserve">Calling an estimate an "appraisal" or "certified"</w:t>
            </w:r>
          </w:p>
        </w:tc>
      </w:tr>
      <w:tr>
        <w:tc>
          <w:tcPr/>
          <w:p>
            <w:pPr>
              <w:pStyle w:val="Compact"/>
              <w:jc w:val="left"/>
            </w:pPr>
            <w:r>
              <w:t xml:space="preserve">A neutral list of local estate lawyers</w:t>
            </w:r>
          </w:p>
        </w:tc>
        <w:tc>
          <w:tcPr/>
          <w:p>
            <w:pPr>
              <w:pStyle w:val="Compact"/>
              <w:jc w:val="left"/>
            </w:pPr>
            <w:r>
              <w:t xml:space="preserve">Recommending one lawyer who pays us</w:t>
            </w:r>
          </w:p>
        </w:tc>
      </w:tr>
      <w:tr>
        <w:tc>
          <w:tcPr/>
          <w:p>
            <w:pPr>
              <w:pStyle w:val="Compact"/>
              <w:jc w:val="left"/>
            </w:pPr>
            <w:r>
              <w:t xml:space="preserve">"This is information, not legal advice" on every screen</w:t>
            </w:r>
          </w:p>
        </w:tc>
        <w:tc>
          <w:tcPr/>
          <w:p>
            <w:pPr>
              <w:pStyle w:val="Compact"/>
              <w:jc w:val="left"/>
            </w:pPr>
            <w:r>
              <w:t xml:space="preserve">"AI lawyer," "replaces a lawyer," "legal help"</w:t>
            </w:r>
          </w:p>
        </w:tc>
      </w:tr>
    </w:tbl>
    <w:bookmarkEnd w:id="22"/>
    <w:bookmarkStart w:id="23" w:name="why-the-wording-matters-ftc-v-donotpay"/>
    <w:p>
      <w:pPr>
        <w:pStyle w:val="Heading2"/>
      </w:pPr>
      <w:r>
        <w:t xml:space="preserve">Why the wording matters: FTC v. DoNotPay</w:t>
      </w:r>
    </w:p>
    <w:p>
      <w:pPr>
        <w:pStyle w:val="FirstParagraph"/>
      </w:pPr>
      <w:r>
        <w:t xml:space="preserve">In February 2025 the FTC finalized an order against DoNotPay, which marketed itself as "the world's first robot lawyer." It paid $193,000, had to notify its subscribers, and is barred from claiming it performs like a real lawyer without proof.</w:t>
      </w:r>
    </w:p>
    <w:p>
      <w:pPr>
        <w:pStyle w:val="BodyText"/>
      </w:pPr>
      <w:r>
        <w:rPr>
          <w:bCs/>
          <w:b/>
        </w:rPr>
        <w:t xml:space="preserve">Rule for us:</w:t>
      </w:r>
      <w:r>
        <w:t xml:space="preserve"> </w:t>
      </w:r>
      <w:r>
        <w:t xml:space="preserve">never call the Pack a lawyer or legal service, and never claim accuracy we can't back up.</w:t>
      </w:r>
    </w:p>
    <w:bookmarkEnd w:id="23"/>
    <w:bookmarkStart w:id="24" w:name="recent-changes-20252026"/>
    <w:p>
      <w:pPr>
        <w:pStyle w:val="Heading2"/>
      </w:pPr>
      <w:r>
        <w:t xml:space="preserve">Recent changes (2025–2026)</w:t>
      </w:r>
    </w:p>
    <w:p>
      <w:pPr>
        <w:numPr>
          <w:ilvl w:val="0"/>
          <w:numId w:val="1005"/>
        </w:numPr>
        <w:pStyle w:val="Compact"/>
      </w:pPr>
      <w:r>
        <w:t xml:space="preserve">Virginia is considering letting court-approved "navigators" help people with official forms. The State Bar approved it in February 2026 and it is waiting on the Supreme Court. It covers trained people,</w:t>
      </w:r>
      <w:r>
        <w:t xml:space="preserve"> </w:t>
      </w:r>
      <w:r>
        <w:rPr>
          <w:bCs/>
          <w:b/>
        </w:rPr>
        <w:t xml:space="preserve">not companies or software.</w:t>
      </w:r>
    </w:p>
    <w:p>
      <w:pPr>
        <w:numPr>
          <w:ilvl w:val="0"/>
          <w:numId w:val="1005"/>
        </w:numPr>
        <w:pStyle w:val="Compact"/>
      </w:pPr>
      <w:r>
        <w:t xml:space="preserve">No Virginia "sandbox" for legal tech, and no change to who may own a law firm (State Bar, August 2026).</w:t>
      </w:r>
    </w:p>
    <w:bookmarkEnd w:id="24"/>
    <w:bookmarkEnd w:id="25"/>
    <w:bookmarkStart w:id="28" w:name="X7b5e935ee4915ba330b579bc99398f21b3a742b"/>
    <w:p>
      <w:pPr>
        <w:pStyle w:val="Heading1"/>
      </w:pPr>
      <w:r>
        <w:t xml:space="preserve">Part B. Who is allowed to sell the belongings</w:t>
      </w:r>
    </w:p>
    <w:p>
      <w:pPr>
        <w:pStyle w:val="FirstParagraph"/>
      </w:pPr>
      <w:r>
        <w:t xml:space="preserve">This is the most important question for the Pack, because selling something for the wrong person can make us liable to the real owner. That is a "conversion" claim, and in Virginia it does not require bad intent (</w:t>
      </w:r>
      <w:r>
        <w:rPr>
          <w:iCs/>
          <w:i/>
        </w:rPr>
        <w:t xml:space="preserve">Mackey v. McDannald</w:t>
      </w:r>
      <w:r>
        <w:t xml:space="preserve">, Va. 2020).</w:t>
      </w:r>
    </w:p>
    <w:bookmarkStart w:id="26" w:name="who-can-sell-by-situation"/>
    <w:p>
      <w:pPr>
        <w:pStyle w:val="Heading2"/>
      </w:pPr>
      <w:r>
        <w:t xml:space="preserve">Who can sell, by situation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Who can sell</w:t>
            </w:r>
          </w:p>
        </w:tc>
        <w:tc>
          <w:tcPr/>
          <w:p>
            <w:pPr>
              <w:pStyle w:val="Compact"/>
              <w:jc w:val="left"/>
            </w:pPr>
            <w:r>
              <w:t xml:space="preserve">What we ask for</w:t>
            </w:r>
          </w:p>
        </w:tc>
      </w:tr>
      <w:tr>
        <w:tc>
          <w:tcPr/>
          <w:p>
            <w:pPr>
              <w:pStyle w:val="Compact"/>
              <w:jc w:val="left"/>
            </w:pPr>
            <w:r>
              <w:t xml:space="preserve">A parent downsizing who can still decide</w:t>
            </w:r>
          </w:p>
        </w:tc>
        <w:tc>
          <w:tcPr/>
          <w:p>
            <w:pPr>
              <w:pStyle w:val="Compact"/>
              <w:jc w:val="left"/>
            </w:pPr>
            <w:r>
              <w:t xml:space="preserve">The parent</w:t>
            </w:r>
          </w:p>
        </w:tc>
        <w:tc>
          <w:tcPr/>
          <w:p>
            <w:pPr>
              <w:pStyle w:val="Compact"/>
              <w:jc w:val="left"/>
            </w:pPr>
            <w:r>
              <w:t xml:space="preserve">Nothing extra. If they seem confused, or someone else is driving the decisions, pause and ask for a power of attorney.</w:t>
            </w:r>
          </w:p>
        </w:tc>
      </w:tr>
      <w:tr>
        <w:tc>
          <w:tcPr/>
          <w:p>
            <w:pPr>
              <w:pStyle w:val="Compact"/>
              <w:jc w:val="left"/>
            </w:pPr>
            <w:r>
              <w:t xml:space="preserve">A parent who can't manage, with a power of attorney</w:t>
            </w:r>
          </w:p>
        </w:tc>
        <w:tc>
          <w:tcPr/>
          <w:p>
            <w:pPr>
              <w:pStyle w:val="Compact"/>
              <w:jc w:val="left"/>
            </w:pPr>
            <w:r>
              <w:t xml:space="preserve">The agent, if the document gives power over "tangible personal property"</w:t>
            </w:r>
          </w:p>
        </w:tc>
        <w:tc>
          <w:tcPr/>
          <w:p>
            <w:pPr>
              <w:pStyle w:val="Compact"/>
              <w:jc w:val="left"/>
            </w:pPr>
            <w:r>
              <w:t xml:space="preserve">A copy of the signed,</w:t>
            </w:r>
            <w:r>
              <w:t xml:space="preserve"> </w:t>
            </w:r>
            <w:r>
              <w:rPr>
                <w:bCs/>
                <w:b/>
              </w:rPr>
              <w:t xml:space="preserve">notarized</w:t>
            </w:r>
            <w:r>
              <w:t xml:space="preserve"> </w:t>
            </w:r>
            <w:r>
              <w:t xml:space="preserve">power of attorney. Notarized is what protects us when we rely on it in good faith (Va. Code § 64.2-1617).</w:t>
            </w:r>
          </w:p>
        </w:tc>
      </w:tr>
      <w:tr>
        <w:tc>
          <w:tcPr/>
          <w:p>
            <w:pPr>
              <w:pStyle w:val="Compact"/>
              <w:jc w:val="left"/>
            </w:pPr>
            <w:r>
              <w:t xml:space="preserve">A parent with a court-appointed conservator</w:t>
            </w:r>
          </w:p>
        </w:tc>
        <w:tc>
          <w:tcPr/>
          <w:p>
            <w:pPr>
              <w:pStyle w:val="Compact"/>
              <w:jc w:val="left"/>
            </w:pPr>
            <w:r>
              <w:t xml:space="preserve">The conservator. No extra court order is needed for belongings unless the appointment order limits it (§ 64.2-2022).</w:t>
            </w:r>
          </w:p>
        </w:tc>
        <w:tc>
          <w:tcPr/>
          <w:p>
            <w:pPr>
              <w:pStyle w:val="Compact"/>
              <w:jc w:val="left"/>
            </w:pPr>
            <w:r>
              <w:t xml:space="preserve">The court's appointment order</w:t>
            </w:r>
          </w:p>
        </w:tc>
      </w:tr>
      <w:tr>
        <w:tc>
          <w:tcPr/>
          <w:p>
            <w:pPr>
              <w:pStyle w:val="Compact"/>
              <w:jc w:val="left"/>
            </w:pPr>
            <w:r>
              <w:t xml:space="preserve">Someone died, and an executor or administrator is qualified</w:t>
            </w:r>
          </w:p>
        </w:tc>
        <w:tc>
          <w:tcPr/>
          <w:p>
            <w:pPr>
              <w:pStyle w:val="Compact"/>
              <w:jc w:val="left"/>
            </w:pPr>
            <w:r>
              <w:t xml:space="preserve">The executor or administrator</w:t>
            </w:r>
          </w:p>
        </w:tc>
        <w:tc>
          <w:tcPr/>
          <w:p>
            <w:pPr>
              <w:pStyle w:val="Compact"/>
              <w:jc w:val="left"/>
            </w:pPr>
            <w:r>
              <w:t xml:space="preserve">The</w:t>
            </w:r>
            <w:r>
              <w:t xml:space="preserve"> </w:t>
            </w:r>
            <w:r>
              <w:rPr>
                <w:bCs/>
                <w:b/>
              </w:rPr>
              <w:t xml:space="preserve">Certificate of Qualification</w:t>
            </w:r>
            <w:r>
              <w:t xml:space="preserve"> </w:t>
            </w:r>
            <w:r>
              <w:t xml:space="preserve">from the circuit court clerk. Anyone dealing in good faith may rely on it (§ 64.2-520.2).</w:t>
            </w:r>
          </w:p>
        </w:tc>
      </w:tr>
      <w:tr>
        <w:tc>
          <w:tcPr/>
          <w:p>
            <w:pPr>
              <w:pStyle w:val="Compact"/>
              <w:jc w:val="left"/>
            </w:pPr>
            <w:r>
              <w:t xml:space="preserve">Someone died, the estate is small, and no one has qualified</w:t>
            </w:r>
          </w:p>
        </w:tc>
        <w:tc>
          <w:tcPr/>
          <w:p>
            <w:pPr>
              <w:pStyle w:val="Compact"/>
              <w:jc w:val="left"/>
            </w:pPr>
            <w:r>
              <w:t xml:space="preserve">The "designated successor" named in a Small Estate Affidavit</w:t>
            </w:r>
          </w:p>
        </w:tc>
        <w:tc>
          <w:tcPr/>
          <w:p>
            <w:pPr>
              <w:pStyle w:val="Compact"/>
              <w:jc w:val="left"/>
            </w:pPr>
            <w:r>
              <w:t xml:space="preserve">The affidavit on form</w:t>
            </w:r>
            <w:r>
              <w:t xml:space="preserve"> </w:t>
            </w:r>
            <w:r>
              <w:rPr>
                <w:bCs/>
                <w:b/>
              </w:rPr>
              <w:t xml:space="preserve">CC-1685</w:t>
            </w:r>
            <w:r>
              <w:t xml:space="preserve">, signed by</w:t>
            </w:r>
            <w:r>
              <w:t xml:space="preserve"> </w:t>
            </w:r>
            <w:r>
              <w:rPr>
                <w:bCs/>
                <w:b/>
              </w:rPr>
              <w:t xml:space="preserve">all</w:t>
            </w:r>
            <w:r>
              <w:t xml:space="preserve"> </w:t>
            </w:r>
            <w:r>
              <w:t xml:space="preserve">heirs, notarized, and at least</w:t>
            </w:r>
            <w:r>
              <w:t xml:space="preserve"> </w:t>
            </w:r>
            <w:r>
              <w:rPr>
                <w:bCs/>
                <w:b/>
              </w:rPr>
              <w:t xml:space="preserve">60 days</w:t>
            </w:r>
            <w:r>
              <w:t xml:space="preserve"> </w:t>
            </w:r>
            <w:r>
              <w:t xml:space="preserve">after the death. The estate's personal property must total</w:t>
            </w:r>
            <w:r>
              <w:t xml:space="preserve"> </w:t>
            </w:r>
            <w:r>
              <w:rPr>
                <w:bCs/>
                <w:b/>
              </w:rPr>
              <w:t xml:space="preserve">$75,000 or less</w:t>
            </w:r>
            <w:r>
              <w:t xml:space="preserve"> </w:t>
            </w:r>
            <w:r>
              <w:t xml:space="preserve">(§ 64.2-601).</w:t>
            </w:r>
          </w:p>
        </w:tc>
      </w:tr>
      <w:tr>
        <w:tc>
          <w:tcPr/>
          <w:p>
            <w:pPr>
              <w:pStyle w:val="Compact"/>
              <w:jc w:val="left"/>
            </w:pPr>
            <w:r>
              <w:t xml:space="preserve">The car</w:t>
            </w:r>
          </w:p>
        </w:tc>
        <w:tc>
          <w:tcPr/>
          <w:p>
            <w:pPr>
              <w:pStyle w:val="Compact"/>
              <w:jc w:val="left"/>
            </w:pPr>
            <w:r>
              <w:t xml:space="preserve">Transfer-on-death beneficiary, surviving joint owner, executor, or heirs using DMV form VSA 24</w:t>
            </w:r>
          </w:p>
        </w:tc>
        <w:tc>
          <w:tcPr/>
          <w:p>
            <w:pPr>
              <w:pStyle w:val="Compact"/>
              <w:jc w:val="left"/>
            </w:pPr>
            <w:r>
              <w:t xml:space="preserve">The DMV papers (see Part C)</w:t>
            </w:r>
          </w:p>
        </w:tc>
      </w:tr>
    </w:tbl>
    <w:p>
      <w:pPr>
        <w:pStyle w:val="BodyText"/>
      </w:pPr>
      <w:r>
        <w:rPr>
          <w:bCs/>
          <w:b/>
        </w:rPr>
        <w:t xml:space="preserve">A power of attorney ends the moment the person dies</w:t>
      </w:r>
      <w:r>
        <w:t xml:space="preserve"> </w:t>
      </w:r>
      <w:r>
        <w:t xml:space="preserve">(§ 64.2-1608). After that, the agent cannot sell anything. This is the most common mistake families make, so the Pack has to say it plainly.</w:t>
      </w:r>
    </w:p>
    <w:p>
      <w:pPr>
        <w:pStyle w:val="BodyText"/>
      </w:pPr>
      <w:r>
        <w:rPr>
          <w:bCs/>
          <w:b/>
        </w:rPr>
        <w:t xml:space="preserve">Giving things away under a power of attorney needs express gift power,</w:t>
      </w:r>
      <w:r>
        <w:t xml:space="preserve"> </w:t>
      </w:r>
      <w:r>
        <w:t xml:space="preserve">and is capped at the federal annual gift amount, $19,000 per person for 2026 (§§ 64.2-1622, -1638). Giving Mom's things or sale money to the kids counts as a gift.</w:t>
      </w:r>
    </w:p>
    <w:bookmarkEnd w:id="26"/>
    <w:bookmarkStart w:id="27" w:name="check-these-before-selling-anything"/>
    <w:p>
      <w:pPr>
        <w:pStyle w:val="Heading2"/>
      </w:pPr>
      <w:r>
        <w:t xml:space="preserve">Check these before selling anything</w:t>
      </w:r>
    </w:p>
    <w:p>
      <w:pPr>
        <w:numPr>
          <w:ilvl w:val="0"/>
          <w:numId w:val="1006"/>
        </w:numPr>
        <w:pStyle w:val="Compact"/>
      </w:pPr>
      <w:r>
        <w:rPr>
          <w:bCs/>
          <w:b/>
        </w:rPr>
        <w:t xml:space="preserve">Is there a signed list of who gets what?</w:t>
      </w:r>
      <w:r>
        <w:t xml:space="preserve"> </w:t>
      </w:r>
      <w:r>
        <w:t xml:space="preserve">A Virginia will can point to a separate signed list of belongings (§ 64.2-400). The person named on it can recover the item, or its value, within a year. Ask before listing.</w:t>
      </w:r>
    </w:p>
    <w:p>
      <w:pPr>
        <w:numPr>
          <w:ilvl w:val="0"/>
          <w:numId w:val="1006"/>
        </w:numPr>
        <w:pStyle w:val="Compact"/>
      </w:pPr>
      <w:r>
        <w:rPr>
          <w:bCs/>
          <w:b/>
        </w:rPr>
        <w:t xml:space="preserve">Is there a surviving spouse?</w:t>
      </w:r>
      <w:r>
        <w:t xml:space="preserve"> </w:t>
      </w:r>
      <w:r>
        <w:t xml:space="preserve">The spouse can claim up to</w:t>
      </w:r>
      <w:r>
        <w:t xml:space="preserve"> </w:t>
      </w:r>
      <w:r>
        <w:rPr>
          <w:bCs/>
          <w:b/>
        </w:rPr>
        <w:t xml:space="preserve">$25,000 of household furniture, cars, appliances and personal effects ahead of creditors</w:t>
      </w:r>
      <w:r>
        <w:t xml:space="preserve"> </w:t>
      </w:r>
      <w:r>
        <w:t xml:space="preserve">(exempt property, § 64.2-310). There is also a family allowance of up to $30,000 (§ 64.2-309) and a homestead allowance of $25,000 (§ 64.2-311). The claim window is 1 year. Ask whether the spouse wants anything first.</w:t>
      </w:r>
    </w:p>
    <w:p>
      <w:pPr>
        <w:numPr>
          <w:ilvl w:val="0"/>
          <w:numId w:val="1006"/>
        </w:numPr>
        <w:pStyle w:val="Compact"/>
      </w:pPr>
      <w:r>
        <w:rPr>
          <w:bCs/>
          <w:b/>
        </w:rPr>
        <w:t xml:space="preserve">Is the executor buying something themselves?</w:t>
      </w:r>
      <w:r>
        <w:t xml:space="preserve"> </w:t>
      </w:r>
      <w:r>
        <w:t xml:space="preserve">Then require written consent from every heir, or a documented fair price.</w:t>
      </w:r>
      <w:r>
        <w:t xml:space="preserve"> </w:t>
      </w:r>
      <w:r>
        <w:rPr>
          <w:bCs/>
          <w:b/>
        </w:rPr>
        <w:t xml:space="preserve">(check with lawyer)</w:t>
      </w:r>
    </w:p>
    <w:p>
      <w:pPr>
        <w:numPr>
          <w:ilvl w:val="0"/>
          <w:numId w:val="1006"/>
        </w:numPr>
        <w:pStyle w:val="Compact"/>
      </w:pPr>
      <w:r>
        <w:rPr>
          <w:bCs/>
          <w:b/>
        </w:rPr>
        <w:t xml:space="preserve">Is there a dispute?</w:t>
      </w:r>
      <w:r>
        <w:t xml:space="preserve"> </w:t>
      </w:r>
      <w:r>
        <w:t xml:space="preserve">If any heir objects, we pause the listing and freeze the money until the heirs agree in writing or a court decides.</w:t>
      </w:r>
    </w:p>
    <w:p>
      <w:pPr>
        <w:pStyle w:val="FirstParagraph"/>
      </w:pPr>
      <w:r>
        <w:rPr>
          <w:bCs/>
          <w:b/>
        </w:rPr>
        <w:t xml:space="preserve">Selling is allowed before 6 months.</w:t>
      </w:r>
      <w:r>
        <w:t xml:space="preserve"> </w:t>
      </w:r>
      <w:r>
        <w:t xml:space="preserve">The six-month rules are about handing money out to heirs (§ 64.2-554), not about selling. An executor actually has a duty to sell things that would lose value (§ 64.2-526).</w:t>
      </w:r>
    </w:p>
    <w:bookmarkEnd w:id="27"/>
    <w:bookmarkEnd w:id="28"/>
    <w:bookmarkStart w:id="29" w:name="X50245002bb3accb6a6386f11c1e97e34c2f2a3d"/>
    <w:p>
      <w:pPr>
        <w:pStyle w:val="Heading1"/>
      </w:pPr>
      <w:r>
        <w:t xml:space="preserve">Part C. The deadlines (what the checklist will contain)</w:t>
      </w:r>
    </w:p>
    <w:p>
      <w:pPr>
        <w:pStyle w:val="FirstParagraph"/>
      </w:pPr>
      <w:r>
        <w:t xml:space="preserve">These are the real Virginia and federal deadlines. They go into the Pack as a fixed rules list in the code. The AI does not invent law.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What</w:t>
            </w:r>
          </w:p>
        </w:tc>
        <w:tc>
          <w:tcPr/>
          <w:p>
            <w:pPr>
              <w:pStyle w:val="Compact"/>
              <w:jc w:val="left"/>
            </w:pPr>
            <w:r>
              <w:t xml:space="preserve">Rule</w:t>
            </w:r>
          </w:p>
        </w:tc>
      </w:tr>
      <w:tr>
        <w:tc>
          <w:tcPr/>
          <w:p>
            <w:pPr>
              <w:pStyle w:val="Compact"/>
              <w:jc w:val="left"/>
            </w:pPr>
            <w:r>
              <w:t xml:space="preserve">Right away</w:t>
            </w:r>
          </w:p>
        </w:tc>
        <w:tc>
          <w:tcPr/>
          <w:p>
            <w:pPr>
              <w:pStyle w:val="Compact"/>
              <w:jc w:val="left"/>
            </w:pPr>
            <w:r>
              <w:t xml:space="preserve">Order several certified death certificates (Virginia Dept. of Health, Office of Vital Records)</w:t>
            </w:r>
          </w:p>
        </w:tc>
        <w:tc>
          <w:tcPr/>
          <w:p>
            <w:pPr>
              <w:pStyle w:val="Compact"/>
              <w:jc w:val="left"/>
            </w:pPr>
            <w:r>
              <w:t xml:space="preserve">—</w:t>
            </w:r>
          </w:p>
        </w:tc>
      </w:tr>
      <w:tr>
        <w:tc>
          <w:tcPr/>
          <w:p>
            <w:pPr>
              <w:pStyle w:val="Compact"/>
              <w:jc w:val="left"/>
            </w:pPr>
            <w:r>
              <w:t xml:space="preserve">Right away</w:t>
            </w:r>
          </w:p>
        </w:tc>
        <w:tc>
          <w:tcPr/>
          <w:p>
            <w:pPr>
              <w:pStyle w:val="Compact"/>
              <w:jc w:val="left"/>
            </w:pPr>
            <w:r>
              <w:t xml:space="preserve">Secure the house and belongings. A named executor may protect the estate before qualifying.</w:t>
            </w:r>
          </w:p>
        </w:tc>
        <w:tc>
          <w:tcPr/>
          <w:p>
            <w:pPr>
              <w:pStyle w:val="Compact"/>
              <w:jc w:val="left"/>
            </w:pPr>
            <w:r>
              <w:t xml:space="preserve">§ 64.2-511</w:t>
            </w:r>
          </w:p>
        </w:tc>
      </w:tr>
      <w:tr>
        <w:tc>
          <w:tcPr/>
          <w:p>
            <w:pPr>
              <w:pStyle w:val="Compact"/>
              <w:jc w:val="left"/>
            </w:pPr>
            <w:r>
              <w:t xml:space="preserve">Right away</w:t>
            </w:r>
          </w:p>
        </w:tc>
        <w:tc>
          <w:tcPr/>
          <w:p>
            <w:pPr>
              <w:pStyle w:val="Compact"/>
              <w:jc w:val="left"/>
            </w:pPr>
            <w:r>
              <w:t xml:space="preserve">Social Security. The funeral home usually reports. Benefits for the</w:t>
            </w:r>
            <w:r>
              <w:t xml:space="preserve"> </w:t>
            </w:r>
            <w:r>
              <w:rPr>
                <w:bCs/>
                <w:b/>
              </w:rPr>
              <w:t xml:space="preserve">month of death and later must be returned.</w:t>
            </w:r>
            <w:r>
              <w:t xml:space="preserve"> </w:t>
            </w:r>
            <w:r>
              <w:t xml:space="preserve">A $255 lump sum may be paid to the spouse or children; apply within 2 years. Phone 1-800-772-1213.</w:t>
            </w:r>
          </w:p>
        </w:tc>
        <w:tc>
          <w:tcPr/>
          <w:p>
            <w:pPr>
              <w:pStyle w:val="Compact"/>
              <w:jc w:val="left"/>
            </w:pPr>
            <w:r>
              <w:t xml:space="preserve">ssa.gov</w:t>
            </w:r>
          </w:p>
        </w:tc>
      </w:tr>
      <w:tr>
        <w:tc>
          <w:tcPr/>
          <w:p>
            <w:pPr>
              <w:pStyle w:val="Compact"/>
              <w:jc w:val="left"/>
            </w:pPr>
            <w:r>
              <w:t xml:space="preserve">Right away</w:t>
            </w:r>
          </w:p>
        </w:tc>
        <w:tc>
          <w:tcPr/>
          <w:p>
            <w:pPr>
              <w:pStyle w:val="Compact"/>
              <w:jc w:val="left"/>
            </w:pPr>
            <w:r>
              <w:t xml:space="preserve">Send credit bureaus a death certificate and ask for a "deceased" alert. Keep the obituary short; thieves use them.</w:t>
            </w:r>
          </w:p>
        </w:tc>
        <w:tc>
          <w:tcPr/>
          <w:p>
            <w:pPr>
              <w:pStyle w:val="Compact"/>
              <w:jc w:val="left"/>
            </w:pPr>
            <w:r>
              <w:t xml:space="preserve">IRS ID theft guide</w:t>
            </w:r>
          </w:p>
        </w:tc>
      </w:tr>
      <w:tr>
        <w:tc>
          <w:tcPr/>
          <w:p>
            <w:pPr>
              <w:pStyle w:val="Compact"/>
              <w:jc w:val="left"/>
            </w:pPr>
            <w:r>
              <w:t xml:space="preserve">First 30 days</w:t>
            </w:r>
          </w:p>
        </w:tc>
        <w:tc>
          <w:tcPr/>
          <w:p>
            <w:pPr>
              <w:pStyle w:val="Compact"/>
              <w:jc w:val="left"/>
            </w:pPr>
            <w:r>
              <w:t xml:space="preserve">Find the will, and the signed list of belongings if there is one</w:t>
            </w:r>
          </w:p>
        </w:tc>
        <w:tc>
          <w:tcPr/>
          <w:p>
            <w:pPr>
              <w:pStyle w:val="Compact"/>
              <w:jc w:val="left"/>
            </w:pPr>
            <w:r>
              <w:t xml:space="preserve">§ 64.2-400</w:t>
            </w:r>
          </w:p>
        </w:tc>
      </w:tr>
      <w:tr>
        <w:tc>
          <w:tcPr/>
          <w:p>
            <w:pPr>
              <w:pStyle w:val="Compact"/>
              <w:jc w:val="left"/>
            </w:pPr>
            <w:r>
              <w:t xml:space="preserve">Within 30 days</w:t>
            </w:r>
          </w:p>
        </w:tc>
        <w:tc>
          <w:tcPr/>
          <w:p>
            <w:pPr>
              <w:pStyle w:val="Compact"/>
              <w:jc w:val="left"/>
            </w:pPr>
            <w:r>
              <w:t xml:space="preserve">Heirs get first priority to be named administrator when there is no will</w:t>
            </w:r>
          </w:p>
        </w:tc>
        <w:tc>
          <w:tcPr/>
          <w:p>
            <w:pPr>
              <w:pStyle w:val="Compact"/>
              <w:jc w:val="left"/>
            </w:pPr>
            <w:r>
              <w:t xml:space="preserve">§ 64.2-502</w:t>
            </w:r>
          </w:p>
        </w:tc>
      </w:tr>
      <w:tr>
        <w:tc>
          <w:tcPr/>
          <w:p>
            <w:pPr>
              <w:pStyle w:val="Compact"/>
              <w:jc w:val="left"/>
            </w:pPr>
            <w:r>
              <w:t xml:space="preserve">As soon as qualified</w:t>
            </w:r>
          </w:p>
        </w:tc>
        <w:tc>
          <w:tcPr/>
          <w:p>
            <w:pPr>
              <w:pStyle w:val="Compact"/>
              <w:jc w:val="left"/>
            </w:pPr>
            <w:r>
              <w:t xml:space="preserve">Get an estate tax ID (free, IRS Form SS-4), open an estate bank account, file IRS Form 56</w:t>
            </w:r>
          </w:p>
        </w:tc>
        <w:tc>
          <w:tcPr/>
          <w:p>
            <w:pPr>
              <w:pStyle w:val="Compact"/>
              <w:jc w:val="left"/>
            </w:pPr>
            <w:r>
              <w:t xml:space="preserve">IRS Pub. 559</w:t>
            </w:r>
          </w:p>
        </w:tc>
      </w:tr>
      <w:tr>
        <w:tc>
          <w:tcPr/>
          <w:p>
            <w:pPr>
              <w:pStyle w:val="Compact"/>
              <w:jc w:val="left"/>
            </w:pPr>
            <w:r>
              <w:t xml:space="preserve">30 days after qualifying</w:t>
            </w:r>
          </w:p>
        </w:tc>
        <w:tc>
          <w:tcPr/>
          <w:p>
            <w:pPr>
              <w:pStyle w:val="Compact"/>
              <w:jc w:val="left"/>
            </w:pPr>
            <w:r>
              <w:t xml:space="preserve">Mail notice to the spouse, heirs and beneficiaries (form CC-1617)</w:t>
            </w:r>
          </w:p>
        </w:tc>
        <w:tc>
          <w:tcPr/>
          <w:p>
            <w:pPr>
              <w:pStyle w:val="Compact"/>
              <w:jc w:val="left"/>
            </w:pPr>
            <w:r>
              <w:t xml:space="preserve">§ 64.2-508</w:t>
            </w:r>
          </w:p>
        </w:tc>
      </w:tr>
      <w:tr>
        <w:tc>
          <w:tcPr/>
          <w:p>
            <w:pPr>
              <w:pStyle w:val="Compact"/>
              <w:jc w:val="left"/>
            </w:pPr>
            <w:r>
              <w:t xml:space="preserve">60 days after death</w:t>
            </w:r>
          </w:p>
        </w:tc>
        <w:tc>
          <w:tcPr/>
          <w:p>
            <w:pPr>
              <w:pStyle w:val="Compact"/>
              <w:jc w:val="left"/>
            </w:pPr>
            <w:r>
              <w:t xml:space="preserve">The earliest a Small Estate Affidavit can be used</w:t>
            </w:r>
          </w:p>
        </w:tc>
        <w:tc>
          <w:tcPr/>
          <w:p>
            <w:pPr>
              <w:pStyle w:val="Compact"/>
              <w:jc w:val="left"/>
            </w:pPr>
            <w:r>
              <w:t xml:space="preserve">§ 64.2-601</w:t>
            </w:r>
          </w:p>
        </w:tc>
      </w:tr>
      <w:tr>
        <w:tc>
          <w:tcPr/>
          <w:p>
            <w:pPr>
              <w:pStyle w:val="Compact"/>
              <w:jc w:val="left"/>
            </w:pPr>
            <w:r>
              <w:t xml:space="preserve">120 days after death</w:t>
            </w:r>
          </w:p>
        </w:tc>
        <w:tc>
          <w:tcPr/>
          <w:p>
            <w:pPr>
              <w:pStyle w:val="Compact"/>
              <w:jc w:val="left"/>
            </w:pPr>
            <w:r>
              <w:t xml:space="preserve">Transfer-on-death car beneficiary must apply at DMV</w:t>
            </w:r>
          </w:p>
        </w:tc>
        <w:tc>
          <w:tcPr/>
          <w:p>
            <w:pPr>
              <w:pStyle w:val="Compact"/>
              <w:jc w:val="left"/>
            </w:pPr>
            <w:r>
              <w:t xml:space="preserve">§ 46.2-633.2</w:t>
            </w:r>
          </w:p>
        </w:tc>
      </w:tr>
      <w:tr>
        <w:tc>
          <w:tcPr/>
          <w:p>
            <w:pPr>
              <w:pStyle w:val="Compact"/>
              <w:jc w:val="left"/>
            </w:pPr>
            <w:r>
              <w:t xml:space="preserve">4 months after qualifying</w:t>
            </w:r>
          </w:p>
        </w:tc>
        <w:tc>
          <w:tcPr/>
          <w:p>
            <w:pPr>
              <w:pStyle w:val="Compact"/>
              <w:jc w:val="left"/>
            </w:pPr>
            <w:r>
              <w:t xml:space="preserve">Inventory to the Commissioner of Accounts (form CC-1670), with values as of the date of death. Proof of notice to heirs is also due.</w:t>
            </w:r>
          </w:p>
        </w:tc>
        <w:tc>
          <w:tcPr/>
          <w:p>
            <w:pPr>
              <w:pStyle w:val="Compact"/>
              <w:jc w:val="left"/>
            </w:pPr>
            <w:r>
              <w:t xml:space="preserve">§§ 64.2-1300, -508</w:t>
            </w:r>
          </w:p>
        </w:tc>
      </w:tr>
      <w:tr>
        <w:tc>
          <w:tcPr/>
          <w:p>
            <w:pPr>
              <w:pStyle w:val="Compact"/>
              <w:jc w:val="left"/>
            </w:pPr>
            <w:r>
              <w:t xml:space="preserve">6 months after qualifying</w:t>
            </w:r>
          </w:p>
        </w:tc>
        <w:tc>
          <w:tcPr/>
          <w:p>
            <w:pPr>
              <w:pStyle w:val="Compact"/>
              <w:jc w:val="left"/>
            </w:pPr>
            <w:r>
              <w:t xml:space="preserve">Heirs can't force a payout before this</w:t>
            </w:r>
          </w:p>
        </w:tc>
        <w:tc>
          <w:tcPr/>
          <w:p>
            <w:pPr>
              <w:pStyle w:val="Compact"/>
              <w:jc w:val="left"/>
            </w:pPr>
            <w:r>
              <w:t xml:space="preserve">§ 64.2-554</w:t>
            </w:r>
          </w:p>
        </w:tc>
      </w:tr>
      <w:tr>
        <w:tc>
          <w:tcPr/>
          <w:p>
            <w:pPr>
              <w:pStyle w:val="Compact"/>
              <w:jc w:val="left"/>
            </w:pPr>
            <w:r>
              <w:t xml:space="preserve">1 year</w:t>
            </w:r>
          </w:p>
        </w:tc>
        <w:tc>
          <w:tcPr/>
          <w:p>
            <w:pPr>
              <w:pStyle w:val="Compact"/>
              <w:jc w:val="left"/>
            </w:pPr>
            <w:r>
              <w:t xml:space="preserve">Spouse or children claim the family allowance, exempt property or homestead</w:t>
            </w:r>
          </w:p>
        </w:tc>
        <w:tc>
          <w:tcPr/>
          <w:p>
            <w:pPr>
              <w:pStyle w:val="Compact"/>
              <w:jc w:val="left"/>
            </w:pPr>
            <w:r>
              <w:t xml:space="preserve">§ 64.2-313</w:t>
            </w:r>
          </w:p>
        </w:tc>
      </w:tr>
      <w:tr>
        <w:tc>
          <w:tcPr/>
          <w:p>
            <w:pPr>
              <w:pStyle w:val="Compact"/>
              <w:jc w:val="left"/>
            </w:pPr>
            <w:r>
              <w:t xml:space="preserve">16 months after qualifying</w:t>
            </w:r>
          </w:p>
        </w:tc>
        <w:tc>
          <w:tcPr/>
          <w:p>
            <w:pPr>
              <w:pStyle w:val="Compact"/>
              <w:jc w:val="left"/>
            </w:pPr>
            <w:r>
              <w:t xml:space="preserve">First accounting to the Commissioner of Accounts</w:t>
            </w:r>
          </w:p>
        </w:tc>
        <w:tc>
          <w:tcPr/>
          <w:p>
            <w:pPr>
              <w:pStyle w:val="Compact"/>
              <w:jc w:val="left"/>
            </w:pPr>
            <w:r>
              <w:t xml:space="preserve">§ 64.2-1304</w:t>
            </w:r>
          </w:p>
        </w:tc>
      </w:tr>
    </w:tbl>
    <w:p>
      <w:pPr>
        <w:pStyle w:val="BodyText"/>
      </w:pPr>
      <w:r>
        <w:rPr>
          <w:bCs/>
          <w:b/>
        </w:rPr>
        <w:t xml:space="preserve">Value estimates on the inventory.</w:t>
      </w:r>
      <w:r>
        <w:t xml:space="preserve"> </w:t>
      </w:r>
      <w:r>
        <w:t xml:space="preserve">The Fairfax Commissioner of Accounts says "estimated values are acceptable in the case of ordinary household goods," and items of "unusual value may need a formal appraisal."</w:t>
      </w:r>
    </w:p>
    <w:p>
      <w:pPr>
        <w:pStyle w:val="BodyText"/>
      </w:pPr>
      <w:r>
        <w:t xml:space="preserve">So the Pack's estimates can help an executor fill in the inventory for ordinary household goods. We recommend a real appraisal for jewelry, art, guns and collectibles. Actual sale prices are good proof of value.</w:t>
      </w:r>
    </w:p>
    <w:p>
      <w:pPr>
        <w:pStyle w:val="BodyText"/>
      </w:pPr>
      <w:r>
        <w:rPr>
          <w:bCs/>
          <w:b/>
        </w:rPr>
        <w:t xml:space="preserve">Estates of $35,000 or less don't need an inventory</w:t>
      </w:r>
      <w:r>
        <w:t xml:space="preserve"> </w:t>
      </w:r>
      <w:r>
        <w:t xml:space="preserve">(§ 64.2-1302).</w:t>
      </w:r>
    </w:p>
    <w:p>
      <w:pPr>
        <w:pStyle w:val="BodyText"/>
      </w:pPr>
      <w:r>
        <w:rPr>
          <w:bCs/>
          <w:b/>
        </w:rPr>
        <w:t xml:space="preserve">Cars (Virginia DMV):</w:t>
      </w:r>
    </w:p>
    <w:p>
      <w:pPr>
        <w:numPr>
          <w:ilvl w:val="0"/>
          <w:numId w:val="1007"/>
        </w:numPr>
        <w:pStyle w:val="Compact"/>
      </w:pPr>
      <w:r>
        <w:t xml:space="preserve">A car titled "transfer on death" goes to the named person (VSA 17A or 17B plus a death certificate).</w:t>
      </w:r>
    </w:p>
    <w:p>
      <w:pPr>
        <w:numPr>
          <w:ilvl w:val="0"/>
          <w:numId w:val="1007"/>
        </w:numPr>
        <w:pStyle w:val="Compact"/>
      </w:pPr>
      <w:r>
        <w:t xml:space="preserve">A car owned jointly "or" or "with survivorship" goes to the survivor with the title and death certificate.</w:t>
      </w:r>
    </w:p>
    <w:p>
      <w:pPr>
        <w:numPr>
          <w:ilvl w:val="0"/>
          <w:numId w:val="1007"/>
        </w:numPr>
        <w:pStyle w:val="Compact"/>
      </w:pPr>
      <w:r>
        <w:t xml:space="preserve">If no estate is opened, heirs can transfer it with form VSA 24 and everyone's written consent.</w:t>
      </w:r>
    </w:p>
    <w:p>
      <w:pPr>
        <w:numPr>
          <w:ilvl w:val="0"/>
          <w:numId w:val="1007"/>
        </w:numPr>
        <w:pStyle w:val="Compact"/>
      </w:pPr>
      <w:r>
        <w:t xml:space="preserve">Family transfers are exempt from car sales tax.</w:t>
      </w:r>
    </w:p>
    <w:p>
      <w:pPr>
        <w:numPr>
          <w:ilvl w:val="0"/>
          <w:numId w:val="1007"/>
        </w:numPr>
        <w:pStyle w:val="Compact"/>
      </w:pPr>
      <w:r>
        <w:t xml:space="preserve">Return the plates and any disabled parking placard.</w:t>
      </w:r>
    </w:p>
    <w:p>
      <w:pPr>
        <w:pStyle w:val="FirstParagraph"/>
      </w:pPr>
      <w:r>
        <w:rPr>
          <w:bCs/>
          <w:b/>
        </w:rPr>
        <w:t xml:space="preserve">Phones and computers.</w:t>
      </w:r>
      <w:r>
        <w:t xml:space="preserve"> </w:t>
      </w:r>
      <w:r>
        <w:t xml:space="preserve">Only someone with authority over the belongings may unlock, wipe and sell them (§ 64.2-129(E)).</w:t>
      </w:r>
      <w:r>
        <w:t xml:space="preserve"> </w:t>
      </w:r>
      <w:r>
        <w:rPr>
          <w:bCs/>
          <w:b/>
        </w:rPr>
        <w:t xml:space="preserve">Back up photos and records first;</w:t>
      </w:r>
      <w:r>
        <w:t xml:space="preserve"> </w:t>
      </w:r>
      <w:r>
        <w:t xml:space="preserve">wiping can destroy estate records.</w:t>
      </w:r>
    </w:p>
    <w:p>
      <w:pPr>
        <w:pStyle w:val="BodyText"/>
      </w:pPr>
      <w:r>
        <w:rPr>
          <w:bCs/>
          <w:b/>
        </w:rPr>
        <w:t xml:space="preserve">Recent Virginia changes the Pack must use:</w:t>
      </w:r>
    </w:p>
    <w:p>
      <w:pPr>
        <w:numPr>
          <w:ilvl w:val="0"/>
          <w:numId w:val="1008"/>
        </w:numPr>
        <w:pStyle w:val="Compact"/>
      </w:pPr>
      <w:r>
        <w:t xml:space="preserve">2025 raised the dollar limits. The small estate limit went to $75,000 (from $50,000), and the exempt property to $25,000.</w:t>
      </w:r>
    </w:p>
    <w:p>
      <w:pPr>
        <w:numPr>
          <w:ilvl w:val="0"/>
          <w:numId w:val="1008"/>
        </w:numPr>
        <w:pStyle w:val="Compact"/>
      </w:pPr>
      <w:r>
        <w:t xml:space="preserve">2026 created the statewide CC-1685 form.</w:t>
      </w:r>
    </w:p>
    <w:p>
      <w:pPr>
        <w:numPr>
          <w:ilvl w:val="0"/>
          <w:numId w:val="1008"/>
        </w:numPr>
        <w:pStyle w:val="Compact"/>
      </w:pPr>
      <w:r>
        <w:t xml:space="preserve">2026 added an optional creditor notice (§ 64.2-508.1).</w:t>
      </w:r>
    </w:p>
    <w:p>
      <w:pPr>
        <w:numPr>
          <w:ilvl w:val="0"/>
          <w:numId w:val="1008"/>
        </w:numPr>
        <w:pStyle w:val="Compact"/>
      </w:pPr>
      <w:r>
        <w:t xml:space="preserve">Older county pamphlets still say $50,000.</w:t>
      </w:r>
      <w:r>
        <w:t xml:space="preserve"> </w:t>
      </w:r>
      <w:r>
        <w:rPr>
          <w:bCs/>
          <w:b/>
        </w:rPr>
        <w:t xml:space="preserve">Do not copy them.</w:t>
      </w:r>
    </w:p>
    <w:bookmarkEnd w:id="29"/>
    <w:bookmarkStart w:id="36" w:name="Xb023ffaad354e79cdc809112b68d99ad2f7f08b"/>
    <w:p>
      <w:pPr>
        <w:pStyle w:val="Heading1"/>
      </w:pPr>
      <w:r>
        <w:t xml:space="preserve">Part D. The rules for Next Owner Market itself</w:t>
      </w:r>
    </w:p>
    <w:bookmarkStart w:id="30" w:name="auctions"/>
    <w:p>
      <w:pPr>
        <w:pStyle w:val="Heading2"/>
      </w:pPr>
      <w:r>
        <w:t xml:space="preserve">Auctions</w:t>
      </w:r>
    </w:p>
    <w:p>
      <w:pPr>
        <w:numPr>
          <w:ilvl w:val="0"/>
          <w:numId w:val="1009"/>
        </w:numPr>
        <w:pStyle w:val="Compact"/>
      </w:pPr>
      <w:r>
        <w:rPr>
          <w:bCs/>
          <w:b/>
        </w:rPr>
        <w:t xml:space="preserve">Online-only auctions need no Virginia license.</w:t>
      </w:r>
      <w:r>
        <w:t xml:space="preserve"> </w:t>
      </w:r>
      <w:r>
        <w:t xml:space="preserve">The Auctioneers Board says: "Virginia does not regulate online auctions, so no license is needed."</w:t>
      </w:r>
    </w:p>
    <w:p>
      <w:pPr>
        <w:numPr>
          <w:ilvl w:val="0"/>
          <w:numId w:val="1009"/>
        </w:numPr>
        <w:pStyle w:val="Compact"/>
      </w:pPr>
      <w:r>
        <w:rPr>
          <w:bCs/>
          <w:b/>
        </w:rPr>
        <w:t xml:space="preserve">Any live or in-person auction needs an auctioneer license and a firm license</w:t>
      </w:r>
      <w:r>
        <w:t xml:space="preserve"> </w:t>
      </w:r>
      <w:r>
        <w:t xml:space="preserve">(§ 54.1-603). The executor's own exemption does not cover a company the executor hires.</w:t>
      </w:r>
    </w:p>
    <w:p>
      <w:pPr>
        <w:numPr>
          <w:ilvl w:val="0"/>
          <w:numId w:val="1009"/>
        </w:numPr>
        <w:pStyle w:val="Compact"/>
      </w:pPr>
      <w:r>
        <w:rPr>
          <w:bCs/>
          <w:b/>
        </w:rPr>
        <w:t xml:space="preserve">Best practice anyway:</w:t>
      </w:r>
      <w:r>
        <w:t xml:space="preserve"> </w:t>
      </w:r>
      <w:r>
        <w:t xml:space="preserve">follow the licensed-auctioneer rules on our online auctions. That means a written contract with an itemized list, a daily accounting, money kept in a separate account, and payout within 30 days (18VAC25-21-110, -150). It is the regulator's own standard for fair dealing and protects us if questioned.</w:t>
      </w:r>
    </w:p>
    <w:bookmarkEnd w:id="30"/>
    <w:bookmarkStart w:id="31" w:name="sales-tax-the-big-one"/>
    <w:p>
      <w:pPr>
        <w:pStyle w:val="Heading2"/>
      </w:pPr>
      <w:r>
        <w:t xml:space="preserve">Sales tax (the big one)</w:t>
      </w:r>
    </w:p>
    <w:p>
      <w:pPr>
        <w:numPr>
          <w:ilvl w:val="0"/>
          <w:numId w:val="1010"/>
        </w:numPr>
        <w:pStyle w:val="Compact"/>
      </w:pPr>
      <w:r>
        <w:rPr>
          <w:bCs/>
          <w:b/>
        </w:rPr>
        <w:t xml:space="preserve">Selling for someone else.</w:t>
      </w:r>
      <w:r>
        <w:t xml:space="preserve"> </w:t>
      </w:r>
      <w:r>
        <w:t xml:space="preserve">Virginia regulation 23VAC10-210-140 says "an auctioneer, factor or agent must collect the tax on all sales including estate sales." The family's one-time "occasional sale" exemption does</w:t>
      </w:r>
      <w:r>
        <w:t xml:space="preserve"> </w:t>
      </w:r>
      <w:r>
        <w:rPr>
          <w:bCs/>
          <w:b/>
        </w:rPr>
        <w:t xml:space="preserve">not</w:t>
      </w:r>
      <w:r>
        <w:t xml:space="preserve"> </w:t>
      </w:r>
      <w:r>
        <w:t xml:space="preserve">cover sales we make for them. The only exception is selling off a business's assets within 3 days.</w:t>
      </w:r>
    </w:p>
    <w:p>
      <w:pPr>
        <w:numPr>
          <w:ilvl w:val="0"/>
          <w:numId w:val="1010"/>
        </w:numPr>
        <w:pStyle w:val="Compact"/>
      </w:pPr>
      <w:r>
        <w:rPr>
          <w:bCs/>
          <w:b/>
        </w:rPr>
        <w:t xml:space="preserve">Seller-listed marketplace sales.</w:t>
      </w:r>
      <w:r>
        <w:t xml:space="preserve"> </w:t>
      </w:r>
      <w:r>
        <w:t xml:space="preserve">Once Next Owner Market passes</w:t>
      </w:r>
      <w:r>
        <w:t xml:space="preserve"> </w:t>
      </w:r>
      <w:r>
        <w:rPr>
          <w:bCs/>
          <w:b/>
        </w:rPr>
        <w:t xml:space="preserve">$100,000 in Virginia sales or 200 sales</w:t>
      </w:r>
      <w:r>
        <w:t xml:space="preserve"> </w:t>
      </w:r>
      <w:r>
        <w:t xml:space="preserve">in a year, we become the "marketplace facilitator." We must collect tax on every sale we facilitate, and sellers must stop (§ 58.1-612.1).</w:t>
      </w:r>
    </w:p>
    <w:p>
      <w:pPr>
        <w:numPr>
          <w:ilvl w:val="0"/>
          <w:numId w:val="1010"/>
        </w:numPr>
        <w:pStyle w:val="Compact"/>
      </w:pPr>
      <w:r>
        <w:rPr>
          <w:bCs/>
          <w:b/>
        </w:rPr>
        <w:t xml:space="preserve">Rates.</w:t>
      </w:r>
      <w:r>
        <w:t xml:space="preserve"> </w:t>
      </w:r>
      <w:r>
        <w:t xml:space="preserve">5.3% in most of Virginia, 6% in Northern Virginia, Hampton Roads and the Richmond area, 6.3% or 7% in some localities.</w:t>
      </w:r>
      <w:r>
        <w:t xml:space="preserve"> </w:t>
      </w:r>
      <w:r>
        <w:rPr>
          <w:bCs/>
          <w:b/>
        </w:rPr>
        <w:t xml:space="preserve">New in 2026:</w:t>
      </w:r>
      <w:r>
        <w:t xml:space="preserve"> </w:t>
      </w:r>
      <w:r>
        <w:t xml:space="preserve">any locality may add 1% by referendum, so rates must be looked up by ZIP code, not typed in once.</w:t>
      </w:r>
    </w:p>
    <w:p>
      <w:pPr>
        <w:numPr>
          <w:ilvl w:val="0"/>
          <w:numId w:val="1010"/>
        </w:numPr>
        <w:pStyle w:val="Compact"/>
      </w:pPr>
      <w:r>
        <w:rPr>
          <w:bCs/>
          <w:b/>
        </w:rPr>
        <w:t xml:space="preserve">Gold, silver and platinum bullion and legal coins stay tax-free through June 30, 2028</w:t>
      </w:r>
      <w:r>
        <w:t xml:space="preserve"> </w:t>
      </w:r>
      <w:r>
        <w:t xml:space="preserve">(extended by the 2026 budget).</w:t>
      </w:r>
      <w:r>
        <w:t xml:space="preserve"> </w:t>
      </w:r>
      <w:r>
        <w:rPr>
          <w:bCs/>
          <w:b/>
        </w:rPr>
        <w:t xml:space="preserve">(check)</w:t>
      </w:r>
    </w:p>
    <w:p>
      <w:pPr>
        <w:numPr>
          <w:ilvl w:val="0"/>
          <w:numId w:val="1010"/>
        </w:numPr>
        <w:pStyle w:val="Compact"/>
      </w:pPr>
      <w:r>
        <w:rPr>
          <w:bCs/>
          <w:b/>
        </w:rPr>
        <w:t xml:space="preserve">Today the checkout collects no sales tax.</w:t>
      </w:r>
      <w:r>
        <w:t xml:space="preserve"> </w:t>
      </w:r>
      <w:r>
        <w:t xml:space="preserve">We recommend a decision on this before the Pack launches. Options are in "What to build" below.</w:t>
      </w:r>
    </w:p>
    <w:bookmarkEnd w:id="31"/>
    <w:bookmarkStart w:id="32" w:name="Xa0713cbfc23550275e8024a3aeea78f41831092"/>
    <w:p>
      <w:pPr>
        <w:pStyle w:val="Heading2"/>
      </w:pPr>
      <w:r>
        <w:t xml:space="preserve">Buying versus consigning jewelry and gold</w:t>
      </w:r>
    </w:p>
    <w:p>
      <w:pPr>
        <w:numPr>
          <w:ilvl w:val="0"/>
          <w:numId w:val="1011"/>
        </w:numPr>
        <w:pStyle w:val="Compact"/>
      </w:pPr>
      <w:r>
        <w:rPr>
          <w:bCs/>
          <w:b/>
        </w:rPr>
        <w:t xml:space="preserve">Consigning is fine.</w:t>
      </w:r>
      <w:r>
        <w:t xml:space="preserve"> </w:t>
      </w:r>
      <w:r>
        <w:t xml:space="preserve">We never own the item, so the precious-metals dealer law doesn't apply.</w:t>
      </w:r>
    </w:p>
    <w:p>
      <w:pPr>
        <w:numPr>
          <w:ilvl w:val="0"/>
          <w:numId w:val="1011"/>
        </w:numPr>
        <w:pStyle w:val="Compact"/>
      </w:pPr>
      <w:r>
        <w:rPr>
          <w:bCs/>
          <w:b/>
        </w:rPr>
        <w:t xml:space="preserve">Buying from a court-qualified executor is fine.</w:t>
      </w:r>
      <w:r>
        <w:t xml:space="preserve"> </w:t>
      </w:r>
      <w:r>
        <w:t xml:space="preserve">The law excludes it (§ 54.1-4100).</w:t>
      </w:r>
    </w:p>
    <w:p>
      <w:pPr>
        <w:numPr>
          <w:ilvl w:val="0"/>
          <w:numId w:val="1011"/>
        </w:numPr>
        <w:pStyle w:val="Compact"/>
      </w:pPr>
      <w:r>
        <w:rPr>
          <w:bCs/>
          <w:b/>
        </w:rPr>
        <w:t xml:space="preserve">Buying from heirs, downsizers or walk-ins makes us a "dealer."</w:t>
      </w:r>
      <w:r>
        <w:t xml:space="preserve"> </w:t>
      </w:r>
      <w:r>
        <w:t xml:space="preserve">That requires a local police or sheriff permit ($200 a year), a $10,000 bond, a copy of the seller's ID, a report to police within 24 hours, and a 15-day hold before resale (§§ 54.1-4101 to -4110).</w:t>
      </w:r>
    </w:p>
    <w:bookmarkEnd w:id="32"/>
    <w:bookmarkStart w:id="33" w:name="secondhand-watches"/>
    <w:p>
      <w:pPr>
        <w:pStyle w:val="Heading2"/>
      </w:pPr>
      <w:r>
        <w:t xml:space="preserve">Secondhand watches</w:t>
      </w:r>
    </w:p>
    <w:p>
      <w:pPr>
        <w:pStyle w:val="FirstParagraph"/>
      </w:pPr>
      <w:r>
        <w:t xml:space="preserve">Any business that sells used watches must:</w:t>
      </w:r>
    </w:p>
    <w:p>
      <w:pPr>
        <w:numPr>
          <w:ilvl w:val="0"/>
          <w:numId w:val="1012"/>
        </w:numPr>
        <w:pStyle w:val="Compact"/>
      </w:pPr>
      <w:r>
        <w:t xml:space="preserve">tag each one "secondhand";</w:t>
      </w:r>
    </w:p>
    <w:p>
      <w:pPr>
        <w:numPr>
          <w:ilvl w:val="0"/>
          <w:numId w:val="1012"/>
        </w:numPr>
        <w:pStyle w:val="Compact"/>
      </w:pPr>
      <w:r>
        <w:t xml:space="preserve">say "secondhand" clearly in every ad; and</w:t>
      </w:r>
    </w:p>
    <w:p>
      <w:pPr>
        <w:numPr>
          <w:ilvl w:val="0"/>
          <w:numId w:val="1012"/>
        </w:numPr>
        <w:pStyle w:val="Compact"/>
      </w:pPr>
      <w:r>
        <w:t xml:space="preserve">give a written invoice marked "secondhand watch" and keep a copy for 5 years.</w:t>
      </w:r>
    </w:p>
    <w:p>
      <w:pPr>
        <w:pStyle w:val="FirstParagraph"/>
      </w:pPr>
      <w:r>
        <w:t xml:space="preserve">Source: Va. Code §§ 59.1-131 to -136. Fine up to $500.</w:t>
      </w:r>
    </w:p>
    <w:p>
      <w:pPr>
        <w:pStyle w:val="BodyText"/>
      </w:pPr>
      <w:r>
        <w:rPr>
          <w:bCs/>
          <w:b/>
        </w:rPr>
        <w:t xml:space="preserve">Easy fix:</w:t>
      </w:r>
      <w:r>
        <w:t xml:space="preserve"> </w:t>
      </w:r>
      <w:r>
        <w:t xml:space="preserve">the listing writer adds "Secondhand watch" automatically to any watch.</w:t>
      </w:r>
    </w:p>
    <w:bookmarkEnd w:id="33"/>
    <w:bookmarkStart w:id="34" w:name="describing-items-honestly"/>
    <w:p>
      <w:pPr>
        <w:pStyle w:val="Heading2"/>
      </w:pPr>
      <w:r>
        <w:t xml:space="preserve">Describing items honestly</w:t>
      </w:r>
    </w:p>
    <w:p>
      <w:pPr>
        <w:numPr>
          <w:ilvl w:val="0"/>
          <w:numId w:val="1013"/>
        </w:numPr>
        <w:pStyle w:val="Compact"/>
      </w:pPr>
      <w:r>
        <w:rPr>
          <w:bCs/>
          <w:b/>
        </w:rPr>
        <w:t xml:space="preserve">Say "used."</w:t>
      </w:r>
      <w:r>
        <w:t xml:space="preserve"> </w:t>
      </w:r>
      <w:r>
        <w:t xml:space="preserve">Virginia's Consumer Protection Act requires a seller to say "clearly and unequivocally" that goods are used, secondhand, or damaged (§ 59.1-200(A)(7)).</w:t>
      </w:r>
    </w:p>
    <w:p>
      <w:pPr>
        <w:numPr>
          <w:ilvl w:val="0"/>
          <w:numId w:val="1013"/>
        </w:numPr>
        <w:pStyle w:val="Compact"/>
      </w:pPr>
      <w:r>
        <w:rPr>
          <w:bCs/>
          <w:b/>
        </w:rPr>
        <w:t xml:space="preserve">"As is" works</w:t>
      </w:r>
      <w:r>
        <w:t xml:space="preserve"> </w:t>
      </w:r>
      <w:r>
        <w:t xml:space="preserve">for implied warranties (§ 8.2-316). It does</w:t>
      </w:r>
      <w:r>
        <w:t xml:space="preserve"> </w:t>
      </w:r>
      <w:r>
        <w:rPr>
          <w:bCs/>
          <w:b/>
        </w:rPr>
        <w:t xml:space="preserve">not</w:t>
      </w:r>
      <w:r>
        <w:t xml:space="preserve"> </w:t>
      </w:r>
      <w:r>
        <w:t xml:space="preserve">undo what the listing itself promises. If the description says "works perfectly," that is a promise.</w:t>
      </w:r>
    </w:p>
    <w:p>
      <w:pPr>
        <w:numPr>
          <w:ilvl w:val="0"/>
          <w:numId w:val="1013"/>
        </w:numPr>
        <w:pStyle w:val="Compact"/>
      </w:pPr>
      <w:r>
        <w:rPr>
          <w:bCs/>
          <w:b/>
        </w:rPr>
        <w:t xml:space="preserve">"Estimated," never "appraised,"</w:t>
      </w:r>
      <w:r>
        <w:t xml:space="preserve"> </w:t>
      </w:r>
      <w:r>
        <w:t xml:space="preserve">unless there is a written appraisal.</w:t>
      </w:r>
    </w:p>
    <w:p>
      <w:pPr>
        <w:numPr>
          <w:ilvl w:val="0"/>
          <w:numId w:val="1013"/>
        </w:numPr>
        <w:pStyle w:val="Compact"/>
      </w:pPr>
      <w:r>
        <w:rPr>
          <w:bCs/>
          <w:b/>
        </w:rPr>
        <w:t xml:space="preserve">Jewelry words</w:t>
      </w:r>
      <w:r>
        <w:t xml:space="preserve"> </w:t>
      </w:r>
      <w:r>
        <w:t xml:space="preserve">follow the FTC Jewelry Guides (16 CFR Part 23):</w:t>
      </w:r>
    </w:p>
    <w:p>
      <w:pPr>
        <w:numPr>
          <w:ilvl w:val="1"/>
          <w:numId w:val="1014"/>
        </w:numPr>
        <w:pStyle w:val="Compact"/>
      </w:pPr>
      <w:r>
        <w:t xml:space="preserve">"Gold" alone means 24k; otherwise state the karat.</w:t>
      </w:r>
    </w:p>
    <w:p>
      <w:pPr>
        <w:numPr>
          <w:ilvl w:val="1"/>
          <w:numId w:val="1014"/>
        </w:numPr>
        <w:pStyle w:val="Compact"/>
      </w:pPr>
      <w:r>
        <w:t xml:space="preserve">"Sterling" means 92.5% silver.</w:t>
      </w:r>
    </w:p>
    <w:p>
      <w:pPr>
        <w:numPr>
          <w:ilvl w:val="1"/>
          <w:numId w:val="1014"/>
        </w:numPr>
        <w:pStyle w:val="Compact"/>
      </w:pPr>
      <w:r>
        <w:t xml:space="preserve">"Plated" or "filled" must be said.</w:t>
      </w:r>
    </w:p>
    <w:p>
      <w:pPr>
        <w:numPr>
          <w:ilvl w:val="1"/>
          <w:numId w:val="1014"/>
        </w:numPr>
        <w:pStyle w:val="Compact"/>
      </w:pPr>
      <w:r>
        <w:t xml:space="preserve">Lab-made stones and cultured pearls must be labeled.</w:t>
      </w:r>
    </w:p>
    <w:p>
      <w:pPr>
        <w:numPr>
          <w:ilvl w:val="0"/>
          <w:numId w:val="1013"/>
        </w:numPr>
        <w:pStyle w:val="Compact"/>
      </w:pPr>
      <w:r>
        <w:rPr>
          <w:bCs/>
          <w:b/>
        </w:rPr>
        <w:t xml:space="preserve">Reviews.</w:t>
      </w:r>
      <w:r>
        <w:t xml:space="preserve"> </w:t>
      </w:r>
      <w:r>
        <w:t xml:space="preserve">No fake or paid reviews (FTC rule, 16 CFR Part 465, in effect since October 2024).</w:t>
      </w:r>
    </w:p>
    <w:bookmarkEnd w:id="34"/>
    <w:bookmarkStart w:id="35" w:name="the-consignment-agreement-for-estates"/>
    <w:p>
      <w:pPr>
        <w:pStyle w:val="Heading2"/>
      </w:pPr>
      <w:r>
        <w:t xml:space="preserve">The consignment agreement for estates</w:t>
      </w:r>
    </w:p>
    <w:p>
      <w:pPr>
        <w:pStyle w:val="FirstParagraph"/>
      </w:pPr>
      <w:r>
        <w:t xml:space="preserve">Household goods from an estate are "consumer goods," so the special UCC consignment rules usually don't apply (§ 8.9A-102(a)(20)). Ordinary agency law applies, and the estate keeps ownership until the sale. The written agreement should cover:</w:t>
      </w:r>
    </w:p>
    <w:p>
      <w:pPr>
        <w:numPr>
          <w:ilvl w:val="0"/>
          <w:numId w:val="1015"/>
        </w:numPr>
        <w:pStyle w:val="Compact"/>
      </w:pPr>
      <w:r>
        <w:t xml:space="preserve">who is signing, and the proof of their authority (Part B);</w:t>
      </w:r>
    </w:p>
    <w:p>
      <w:pPr>
        <w:numPr>
          <w:ilvl w:val="0"/>
          <w:numId w:val="1015"/>
        </w:numPr>
        <w:pStyle w:val="Compact"/>
      </w:pPr>
      <w:r>
        <w:t xml:space="preserve">an itemized list with photos;</w:t>
      </w:r>
    </w:p>
    <w:p>
      <w:pPr>
        <w:numPr>
          <w:ilvl w:val="0"/>
          <w:numId w:val="1015"/>
        </w:numPr>
        <w:pStyle w:val="Compact"/>
      </w:pPr>
      <w:r>
        <w:t xml:space="preserve">our commission and fees;</w:t>
      </w:r>
    </w:p>
    <w:p>
      <w:pPr>
        <w:numPr>
          <w:ilvl w:val="0"/>
          <w:numId w:val="1015"/>
        </w:numPr>
        <w:pStyle w:val="Compact"/>
      </w:pPr>
      <w:r>
        <w:t xml:space="preserve">that the estate owns the items until they sell;</w:t>
      </w:r>
    </w:p>
    <w:p>
      <w:pPr>
        <w:numPr>
          <w:ilvl w:val="0"/>
          <w:numId w:val="1015"/>
        </w:numPr>
        <w:pStyle w:val="Compact"/>
      </w:pPr>
      <w:r>
        <w:t xml:space="preserve">who covers loss or damage at the warehouse;</w:t>
      </w:r>
    </w:p>
    <w:p>
      <w:pPr>
        <w:numPr>
          <w:ilvl w:val="0"/>
          <w:numId w:val="1015"/>
        </w:numPr>
        <w:pStyle w:val="Compact"/>
      </w:pPr>
      <w:r>
        <w:t xml:space="preserve">who sets prices and minimums;</w:t>
      </w:r>
    </w:p>
    <w:p>
      <w:pPr>
        <w:numPr>
          <w:ilvl w:val="0"/>
          <w:numId w:val="1015"/>
        </w:numPr>
        <w:pStyle w:val="Compact"/>
      </w:pPr>
      <w:r>
        <w:t xml:space="preserve">payout within 30 days;</w:t>
      </w:r>
    </w:p>
    <w:p>
      <w:pPr>
        <w:numPr>
          <w:ilvl w:val="0"/>
          <w:numId w:val="1015"/>
        </w:numPr>
        <w:pStyle w:val="Compact"/>
      </w:pPr>
      <w:r>
        <w:t xml:space="preserve">what happens to unsold items, and by when;</w:t>
      </w:r>
    </w:p>
    <w:p>
      <w:pPr>
        <w:numPr>
          <w:ilvl w:val="0"/>
          <w:numId w:val="1015"/>
        </w:numPr>
        <w:pStyle w:val="Compact"/>
      </w:pPr>
      <w:r>
        <w:t xml:space="preserve">the estate's tax ID and a W-9;</w:t>
      </w:r>
    </w:p>
    <w:p>
      <w:pPr>
        <w:numPr>
          <w:ilvl w:val="0"/>
          <w:numId w:val="1015"/>
        </w:numPr>
        <w:pStyle w:val="Compact"/>
      </w:pPr>
      <w:r>
        <w:t xml:space="preserve">the seller's promise that they have the right to sell, and to cover us if they don't;</w:t>
      </w:r>
    </w:p>
    <w:p>
      <w:pPr>
        <w:numPr>
          <w:ilvl w:val="0"/>
          <w:numId w:val="1015"/>
        </w:numPr>
        <w:pStyle w:val="Compact"/>
      </w:pPr>
      <w:r>
        <w:t xml:space="preserve">the list of items we won't take (Part F).</w:t>
      </w:r>
    </w:p>
    <w:bookmarkEnd w:id="35"/>
    <w:bookmarkEnd w:id="36"/>
    <w:bookmarkStart w:id="42" w:name="part-e-money-and-taxes"/>
    <w:p>
      <w:pPr>
        <w:pStyle w:val="Heading1"/>
      </w:pPr>
      <w:r>
        <w:t xml:space="preserve">Part E. Money and taxes</w:t>
      </w:r>
    </w:p>
    <w:bookmarkStart w:id="37" w:name="paying-the-right-person"/>
    <w:p>
      <w:pPr>
        <w:pStyle w:val="Heading2"/>
      </w:pPr>
      <w:r>
        <w:t xml:space="preserve">Paying the right person</w:t>
      </w:r>
    </w:p>
    <w:p>
      <w:pPr>
        <w:numPr>
          <w:ilvl w:val="0"/>
          <w:numId w:val="1016"/>
        </w:numPr>
        <w:pStyle w:val="Compact"/>
      </w:pPr>
      <w:r>
        <w:t xml:space="preserve">After a death, the money belongs to</w:t>
      </w:r>
      <w:r>
        <w:t xml:space="preserve"> </w:t>
      </w:r>
      <w:r>
        <w:rPr>
          <w:bCs/>
          <w:b/>
        </w:rPr>
        <w:t xml:space="preserve">the estate, not the person who died and not the executor personally.</w:t>
      </w:r>
    </w:p>
    <w:p>
      <w:pPr>
        <w:numPr>
          <w:ilvl w:val="0"/>
          <w:numId w:val="1016"/>
        </w:numPr>
        <w:pStyle w:val="Compact"/>
      </w:pPr>
      <w:r>
        <w:t xml:space="preserve">Payouts should go to an estate bank account under the estate's own tax ID (EIN). IRS Pub. 559 says not to use the dead person's Social Security number after the final return.</w:t>
      </w:r>
    </w:p>
    <w:p>
      <w:pPr>
        <w:numPr>
          <w:ilvl w:val="0"/>
          <w:numId w:val="1016"/>
        </w:numPr>
        <w:pStyle w:val="Compact"/>
      </w:pPr>
      <w:r>
        <w:rPr>
          <w:bCs/>
          <w:b/>
        </w:rPr>
        <w:t xml:space="preserve">Stripe question (check with Stripe).</w:t>
      </w:r>
      <w:r>
        <w:t xml:space="preserve"> </w:t>
      </w:r>
      <w:r>
        <w:t xml:space="preserve">Stripe's account types are individual, company, non-profit and government. No "estate" type is listed. Stripe support needs to confirm that an estate can sign up as a "company" with its EIN, with the executor as the representative.</w:t>
      </w:r>
    </w:p>
    <w:p>
      <w:pPr>
        <w:numPr>
          <w:ilvl w:val="0"/>
          <w:numId w:val="1016"/>
        </w:numPr>
        <w:pStyle w:val="Compact"/>
      </w:pPr>
      <w:r>
        <w:t xml:space="preserve">Until Stripe confirms, the fallback is paying the executor as an individual, noted as "for the estate." That puts the tax form under the executor's number, which their accountant should know about.</w:t>
      </w:r>
    </w:p>
    <w:bookmarkEnd w:id="37"/>
    <w:bookmarkStart w:id="38" w:name="tax-forms-sellers-will-get"/>
    <w:p>
      <w:pPr>
        <w:pStyle w:val="Heading2"/>
      </w:pPr>
      <w:r>
        <w:t xml:space="preserve">Tax forms sellers will get</w:t>
      </w:r>
    </w:p>
    <w:p>
      <w:pPr>
        <w:numPr>
          <w:ilvl w:val="0"/>
          <w:numId w:val="1017"/>
        </w:numPr>
        <w:pStyle w:val="Compact"/>
      </w:pPr>
      <w:r>
        <w:rPr>
          <w:bCs/>
          <w:b/>
        </w:rPr>
        <w:t xml:space="preserve">Federal 1099-K:</w:t>
      </w:r>
      <w:r>
        <w:t xml:space="preserve"> </w:t>
      </w:r>
      <w:r>
        <w:t xml:space="preserve">only over</w:t>
      </w:r>
      <w:r>
        <w:t xml:space="preserve"> </w:t>
      </w:r>
      <w:r>
        <w:rPr>
          <w:bCs/>
          <w:b/>
        </w:rPr>
        <w:t xml:space="preserve">$20,000 and over 200 sales</w:t>
      </w:r>
      <w:r>
        <w:t xml:space="preserve"> </w:t>
      </w:r>
      <w:r>
        <w:t xml:space="preserve">in a year. The One Big Beautiful Bill restored this limit in 2025.</w:t>
      </w:r>
    </w:p>
    <w:p>
      <w:pPr>
        <w:numPr>
          <w:ilvl w:val="0"/>
          <w:numId w:val="1017"/>
        </w:numPr>
        <w:pStyle w:val="Compact"/>
      </w:pPr>
      <w:r>
        <w:rPr>
          <w:bCs/>
          <w:b/>
        </w:rPr>
        <w:t xml:space="preserve">Virginia: $600.</w:t>
      </w:r>
      <w:r>
        <w:t xml:space="preserve"> </w:t>
      </w:r>
      <w:r>
        <w:t xml:space="preserve">Virginia requires payment companies to report Virginia sellers at $600 or more (Tax Bulletin 20-10), and Stripe files those. So Virginia families selling over $600 will get a form. Our help text should explain that</w:t>
      </w:r>
      <w:r>
        <w:t xml:space="preserve"> </w:t>
      </w:r>
      <w:r>
        <w:rPr>
          <w:bCs/>
          <w:b/>
        </w:rPr>
        <w:t xml:space="preserve">a form is not a tax bill.</w:t>
      </w:r>
    </w:p>
    <w:bookmarkEnd w:id="38"/>
    <w:bookmarkStart w:id="39" w:name="do-heirs-owe-tax-when-they-sell"/>
    <w:p>
      <w:pPr>
        <w:pStyle w:val="Heading2"/>
      </w:pPr>
      <w:r>
        <w:t xml:space="preserve">Do heirs owe tax when they sell?</w:t>
      </w:r>
    </w:p>
    <w:p>
      <w:pPr>
        <w:pStyle w:val="FirstParagraph"/>
      </w:pPr>
      <w:r>
        <w:t xml:space="preserve">Usually little or none.</w:t>
      </w:r>
    </w:p>
    <w:p>
      <w:pPr>
        <w:numPr>
          <w:ilvl w:val="0"/>
          <w:numId w:val="1018"/>
        </w:numPr>
        <w:pStyle w:val="Compact"/>
      </w:pPr>
      <w:r>
        <w:t xml:space="preserve">Inherited items take a "stepped-up" value as of the date of death (IRC § 1014). Selling near that value means little or no gain.</w:t>
      </w:r>
    </w:p>
    <w:p>
      <w:pPr>
        <w:numPr>
          <w:ilvl w:val="0"/>
          <w:numId w:val="1018"/>
        </w:numPr>
        <w:pStyle w:val="Compact"/>
      </w:pPr>
      <w:r>
        <w:t xml:space="preserve">Losses on personal items can't be deducted, but they also aren't taxed.</w:t>
      </w:r>
    </w:p>
    <w:p>
      <w:pPr>
        <w:numPr>
          <w:ilvl w:val="0"/>
          <w:numId w:val="1018"/>
        </w:numPr>
        <w:pStyle w:val="Compact"/>
      </w:pPr>
      <w:r>
        <w:t xml:space="preserve">Virginia has</w:t>
      </w:r>
      <w:r>
        <w:t xml:space="preserve"> </w:t>
      </w:r>
      <w:r>
        <w:rPr>
          <w:bCs/>
          <w:b/>
        </w:rPr>
        <w:t xml:space="preserve">no estate tax and no inheritance tax.</w:t>
      </w:r>
    </w:p>
    <w:p>
      <w:pPr>
        <w:numPr>
          <w:ilvl w:val="0"/>
          <w:numId w:val="1018"/>
        </w:numPr>
        <w:pStyle w:val="Compact"/>
      </w:pPr>
      <w:r>
        <w:t xml:space="preserve">The federal estate tax applies only to estates over</w:t>
      </w:r>
      <w:r>
        <w:t xml:space="preserve"> </w:t>
      </w:r>
      <w:r>
        <w:rPr>
          <w:bCs/>
          <w:b/>
        </w:rPr>
        <w:t xml:space="preserve">$15,000,000</w:t>
      </w:r>
      <w:r>
        <w:t xml:space="preserve"> </w:t>
      </w:r>
      <w:r>
        <w:t xml:space="preserve">for 2026.</w:t>
      </w:r>
    </w:p>
    <w:p>
      <w:pPr>
        <w:numPr>
          <w:ilvl w:val="0"/>
          <w:numId w:val="1018"/>
        </w:numPr>
        <w:pStyle w:val="Compact"/>
      </w:pPr>
      <w:r>
        <w:rPr>
          <w:bCs/>
          <w:b/>
        </w:rPr>
        <w:t xml:space="preserve">Living downsizers are different.</w:t>
      </w:r>
      <w:r>
        <w:t xml:space="preserve"> </w:t>
      </w:r>
      <w:r>
        <w:t xml:space="preserve">Their cost is what they paid, and they usually sell at a loss, which is not taxed.</w:t>
      </w:r>
    </w:p>
    <w:p>
      <w:pPr>
        <w:numPr>
          <w:ilvl w:val="0"/>
          <w:numId w:val="1018"/>
        </w:numPr>
        <w:pStyle w:val="Compact"/>
      </w:pPr>
      <w:r>
        <w:rPr>
          <w:bCs/>
          <w:b/>
        </w:rPr>
        <w:t xml:space="preserve">Collectibles</w:t>
      </w:r>
      <w:r>
        <w:t xml:space="preserve"> </w:t>
      </w:r>
      <w:r>
        <w:t xml:space="preserve">(coins, art) that sell for a gain are taxed at up to 28%.</w:t>
      </w:r>
    </w:p>
    <w:p>
      <w:pPr>
        <w:numPr>
          <w:ilvl w:val="0"/>
          <w:numId w:val="1018"/>
        </w:numPr>
        <w:pStyle w:val="Compact"/>
      </w:pPr>
      <w:r>
        <w:t xml:space="preserve">The Pack explains this in plain words and points to IRS Pub. 559. It never prepares a return.</w:t>
      </w:r>
    </w:p>
    <w:bookmarkEnd w:id="39"/>
    <w:bookmarkStart w:id="40" w:name="donating-whats-left"/>
    <w:p>
      <w:pPr>
        <w:pStyle w:val="Heading2"/>
      </w:pPr>
      <w:r>
        <w:t xml:space="preserve">Donating what's left</w:t>
      </w:r>
    </w:p>
    <w:p>
      <w:pPr>
        <w:numPr>
          <w:ilvl w:val="0"/>
          <w:numId w:val="1019"/>
        </w:numPr>
        <w:pStyle w:val="Compact"/>
      </w:pPr>
      <w:r>
        <w:t xml:space="preserve">Clothes and household items must be in "good used condition or better" to deduct.</w:t>
      </w:r>
    </w:p>
    <w:p>
      <w:pPr>
        <w:numPr>
          <w:ilvl w:val="0"/>
          <w:numId w:val="1019"/>
        </w:numPr>
        <w:pStyle w:val="Compact"/>
      </w:pPr>
      <w:r>
        <w:t xml:space="preserve">Over $500 total needs IRS Form 8283.</w:t>
      </w:r>
    </w:p>
    <w:p>
      <w:pPr>
        <w:numPr>
          <w:ilvl w:val="0"/>
          <w:numId w:val="1019"/>
        </w:numPr>
        <w:pStyle w:val="Compact"/>
      </w:pPr>
      <w:r>
        <w:t xml:space="preserve">Over $5,000 for one item or a group of similar items needs a qualified appraisal. Our estimate does not count.</w:t>
      </w:r>
    </w:p>
    <w:p>
      <w:pPr>
        <w:numPr>
          <w:ilvl w:val="0"/>
          <w:numId w:val="1019"/>
        </w:numPr>
        <w:pStyle w:val="Compact"/>
      </w:pPr>
      <w:r>
        <w:t xml:space="preserve">From 2026, people who don't itemize can deduct only</w:t>
      </w:r>
      <w:r>
        <w:t xml:space="preserve"> </w:t>
      </w:r>
      <w:r>
        <w:rPr>
          <w:iCs/>
          <w:i/>
        </w:rPr>
        <w:t xml:space="preserve">cash</w:t>
      </w:r>
      <w:r>
        <w:t xml:space="preserve"> </w:t>
      </w:r>
      <w:r>
        <w:t xml:space="preserve">gifts (up to $1,000, or $2,000 for couples), not donated goods.</w:t>
      </w:r>
    </w:p>
    <w:bookmarkEnd w:id="40"/>
    <w:bookmarkStart w:id="41" w:name="money-nobody-collects"/>
    <w:p>
      <w:pPr>
        <w:pStyle w:val="Heading2"/>
      </w:pPr>
      <w:r>
        <w:t xml:space="preserve">Money nobody collects</w:t>
      </w:r>
    </w:p>
    <w:p>
      <w:pPr>
        <w:numPr>
          <w:ilvl w:val="0"/>
          <w:numId w:val="1020"/>
        </w:numPr>
        <w:pStyle w:val="Compact"/>
      </w:pPr>
      <w:r>
        <w:rPr>
          <w:bCs/>
          <w:b/>
        </w:rPr>
        <w:t xml:space="preserve">Virginia unclaimed property.</w:t>
      </w:r>
      <w:r>
        <w:t xml:space="preserve"> </w:t>
      </w:r>
      <w:r>
        <w:t xml:space="preserve">Money owed to a seller that sits unclaimed for</w:t>
      </w:r>
      <w:r>
        <w:t xml:space="preserve"> </w:t>
      </w:r>
      <w:r>
        <w:rPr>
          <w:bCs/>
          <w:b/>
        </w:rPr>
        <w:t xml:space="preserve">5 years</w:t>
      </w:r>
      <w:r>
        <w:t xml:space="preserve"> </w:t>
      </w:r>
      <w:r>
        <w:t xml:space="preserve">must be reported to the state by November 1 (§ 55.1-2500 and following). Before reporting, we must send a notice 60 days ahead if the amount is $100 or more.</w:t>
      </w:r>
    </w:p>
    <w:p>
      <w:pPr>
        <w:numPr>
          <w:ilvl w:val="0"/>
          <w:numId w:val="1020"/>
        </w:numPr>
        <w:pStyle w:val="Compact"/>
      </w:pPr>
      <w:r>
        <w:rPr>
          <w:bCs/>
          <w:b/>
        </w:rPr>
        <w:t xml:space="preserve">Stripe</w:t>
      </w:r>
      <w:r>
        <w:t xml:space="preserve"> </w:t>
      </w:r>
      <w:r>
        <w:t xml:space="preserve">holds payouts up to 2 years and handles unclaimed balances inside Stripe itself.</w:t>
      </w:r>
    </w:p>
    <w:p>
      <w:pPr>
        <w:numPr>
          <w:ilvl w:val="0"/>
          <w:numId w:val="1020"/>
        </w:numPr>
        <w:pStyle w:val="Compact"/>
      </w:pPr>
      <w:r>
        <w:rPr>
          <w:bCs/>
          <w:b/>
        </w:rPr>
        <w:t xml:space="preserve">Our own held money</w:t>
      </w:r>
      <w:r>
        <w:t xml:space="preserve"> </w:t>
      </w:r>
      <w:r>
        <w:t xml:space="preserve">is ours to report: the "$X is waiting" balances for sellers without payouts.</w:t>
      </w:r>
    </w:p>
    <w:bookmarkEnd w:id="41"/>
    <w:bookmarkEnd w:id="42"/>
    <w:bookmarkStart w:id="43" w:name="X524ba65bfe10d31a485a49c6288dd16b27d5381"/>
    <w:p>
      <w:pPr>
        <w:pStyle w:val="Heading1"/>
      </w:pPr>
      <w:r>
        <w:t xml:space="preserve">Part F. What we can and can't sell from an estate</w:t>
      </w:r>
    </w:p>
    <w:p>
      <w:pPr>
        <w:pStyle w:val="FirstParagraph"/>
      </w:pPr>
      <w:r>
        <w:t xml:space="preserve">This list becomes the Pack's "set aside, don't list" screen and extends the listing writer's existing warning.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Can we sell it?</w:t>
            </w:r>
          </w:p>
        </w:tc>
        <w:tc>
          <w:tcPr/>
          <w:p>
            <w:pPr>
              <w:pStyle w:val="Compact"/>
              <w:jc w:val="left"/>
            </w:pPr>
            <w:r>
              <w:t xml:space="preserve">The rule in plain words</w:t>
            </w:r>
          </w:p>
        </w:tc>
      </w:tr>
      <w:tr>
        <w:tc>
          <w:tcPr/>
          <w:p>
            <w:pPr>
              <w:pStyle w:val="Compact"/>
              <w:jc w:val="left"/>
            </w:pPr>
            <w:r>
              <w:t xml:space="preserve">Prescription drugs</w:t>
            </w:r>
          </w:p>
        </w:tc>
        <w:tc>
          <w:tcPr/>
          <w:p>
            <w:pPr>
              <w:pStyle w:val="Compact"/>
              <w:jc w:val="left"/>
            </w:pPr>
            <w:r>
              <w:rPr>
                <w:bCs/>
                <w:b/>
              </w:rPr>
              <w:t xml:space="preserve">No</w:t>
            </w:r>
          </w:p>
        </w:tc>
        <w:tc>
          <w:tcPr/>
          <w:p>
            <w:pPr>
              <w:pStyle w:val="Compact"/>
              <w:jc w:val="left"/>
            </w:pPr>
            <w:r>
              <w:t xml:space="preserve">Never. Take them to a pharmacy take-back kiosk or mail-back envelope (21 CFR 1317.30).</w:t>
            </w:r>
          </w:p>
        </w:tc>
      </w:tr>
      <w:tr>
        <w:tc>
          <w:tcPr/>
          <w:p>
            <w:pPr>
              <w:pStyle w:val="Compact"/>
              <w:jc w:val="left"/>
            </w:pPr>
            <w:r>
              <w:t xml:space="preserve">CPAP, oxygen, prescription hearing aids and other prescription devices</w:t>
            </w:r>
          </w:p>
        </w:tc>
        <w:tc>
          <w:tcPr/>
          <w:p>
            <w:pPr>
              <w:pStyle w:val="Compact"/>
              <w:jc w:val="left"/>
            </w:pPr>
            <w:r>
              <w:rPr>
                <w:bCs/>
                <w:b/>
              </w:rPr>
              <w:t xml:space="preserve">No</w:t>
            </w:r>
          </w:p>
        </w:tc>
        <w:tc>
          <w:tcPr/>
          <w:p>
            <w:pPr>
              <w:pStyle w:val="Compact"/>
              <w:jc w:val="left"/>
            </w:pPr>
            <w:r>
              <w:t xml:space="preserve">Can only be sold on a prescription (21 CFR 801.109). Return oxygen tanks to the supplier.</w:t>
            </w:r>
          </w:p>
        </w:tc>
      </w:tr>
      <w:tr>
        <w:tc>
          <w:tcPr/>
          <w:p>
            <w:pPr>
              <w:pStyle w:val="Compact"/>
              <w:jc w:val="left"/>
            </w:pPr>
            <w:r>
              <w:t xml:space="preserve">Wine and liquor</w:t>
            </w:r>
          </w:p>
        </w:tc>
        <w:tc>
          <w:tcPr/>
          <w:p>
            <w:pPr>
              <w:pStyle w:val="Compact"/>
              <w:jc w:val="left"/>
            </w:pPr>
            <w:r>
              <w:rPr>
                <w:bCs/>
                <w:b/>
              </w:rPr>
              <w:t xml:space="preserve">No, not to the public</w:t>
            </w:r>
          </w:p>
        </w:tc>
        <w:tc>
          <w:tcPr/>
          <w:p>
            <w:pPr>
              <w:pStyle w:val="Compact"/>
              <w:jc w:val="left"/>
            </w:pPr>
            <w:r>
              <w:t xml:space="preserve">The executor can get a $50 Virginia ABC one-time permit and sell only to ABC-licensed businesses (Va. Code § 4.1-212(A)(10)). Heirs may keep and drink it.</w:t>
            </w:r>
          </w:p>
        </w:tc>
      </w:tr>
      <w:tr>
        <w:tc>
          <w:tcPr/>
          <w:p>
            <w:pPr>
              <w:pStyle w:val="Compact"/>
              <w:jc w:val="left"/>
            </w:pPr>
            <w:r>
              <w:t xml:space="preserve">Cigarettes, vapes</w:t>
            </w:r>
          </w:p>
        </w:tc>
        <w:tc>
          <w:tcPr/>
          <w:p>
            <w:pPr>
              <w:pStyle w:val="Compact"/>
              <w:jc w:val="left"/>
            </w:pPr>
            <w:r>
              <w:rPr>
                <w:bCs/>
                <w:b/>
              </w:rPr>
              <w:t xml:space="preserve">No</w:t>
            </w:r>
          </w:p>
        </w:tc>
        <w:tc>
          <w:tcPr/>
          <w:p>
            <w:pPr>
              <w:pStyle w:val="Compact"/>
              <w:jc w:val="left"/>
            </w:pPr>
            <w:r>
              <w:t xml:space="preserve">Virginia now requires a tobacco retail permit (from October 1, 2026). Cigars and pipe tobacco are excluded.</w:t>
            </w:r>
          </w:p>
        </w:tc>
      </w:tr>
      <w:tr>
        <w:tc>
          <w:tcPr/>
          <w:p>
            <w:pPr>
              <w:pStyle w:val="Compact"/>
              <w:jc w:val="left"/>
            </w:pPr>
            <w:r>
              <w:t xml:space="preserve">Recalled products</w:t>
            </w:r>
          </w:p>
        </w:tc>
        <w:tc>
          <w:tcPr/>
          <w:p>
            <w:pPr>
              <w:pStyle w:val="Compact"/>
              <w:jc w:val="left"/>
            </w:pPr>
            <w:r>
              <w:rPr>
                <w:bCs/>
                <w:b/>
              </w:rPr>
              <w:t xml:space="preserve">No</w:t>
            </w:r>
          </w:p>
        </w:tc>
        <w:tc>
          <w:tcPr/>
          <w:p>
            <w:pPr>
              <w:pStyle w:val="Compact"/>
              <w:jc w:val="left"/>
            </w:pPr>
            <w:r>
              <w:t xml:space="preserve">Illegal to sell anything recalled, even used (15 U.S.C. § 2068). Resellers must check.</w:t>
            </w:r>
          </w:p>
        </w:tc>
      </w:tr>
      <w:tr>
        <w:tc>
          <w:tcPr/>
          <w:p>
            <w:pPr>
              <w:pStyle w:val="Compact"/>
              <w:jc w:val="left"/>
            </w:pPr>
            <w:r>
              <w:t xml:space="preserve">Cribs made before mid-2011, drop-side cribs</w:t>
            </w:r>
          </w:p>
        </w:tc>
        <w:tc>
          <w:tcPr/>
          <w:p>
            <w:pPr>
              <w:pStyle w:val="Compact"/>
              <w:jc w:val="left"/>
            </w:pPr>
            <w:r>
              <w:rPr>
                <w:bCs/>
                <w:b/>
              </w:rPr>
              <w:t xml:space="preserve">No</w:t>
            </w:r>
          </w:p>
        </w:tc>
        <w:tc>
          <w:tcPr/>
          <w:p>
            <w:pPr>
              <w:pStyle w:val="Compact"/>
              <w:jc w:val="left"/>
            </w:pPr>
            <w:r>
              <w:t xml:space="preserve">Federal crib rules (16 CFR 1219/1220).</w:t>
            </w:r>
          </w:p>
        </w:tc>
      </w:tr>
      <w:tr>
        <w:tc>
          <w:tcPr/>
          <w:p>
            <w:pPr>
              <w:pStyle w:val="Compact"/>
              <w:jc w:val="left"/>
            </w:pPr>
            <w:r>
              <w:t xml:space="preserve">Inclined baby sleepers, padded crib bumpers</w:t>
            </w:r>
          </w:p>
        </w:tc>
        <w:tc>
          <w:tcPr/>
          <w:p>
            <w:pPr>
              <w:pStyle w:val="Compact"/>
              <w:jc w:val="left"/>
            </w:pPr>
            <w:r>
              <w:rPr>
                <w:bCs/>
                <w:b/>
              </w:rPr>
              <w:t xml:space="preserve">No</w:t>
            </w:r>
          </w:p>
        </w:tc>
        <w:tc>
          <w:tcPr/>
          <w:p>
            <w:pPr>
              <w:pStyle w:val="Compact"/>
              <w:jc w:val="left"/>
            </w:pPr>
            <w:r>
              <w:t xml:space="preserve">Banned no matter how old (Safe Sleep for Babies Act, 2022).</w:t>
            </w:r>
          </w:p>
        </w:tc>
      </w:tr>
      <w:tr>
        <w:tc>
          <w:tcPr/>
          <w:p>
            <w:pPr>
              <w:pStyle w:val="Compact"/>
              <w:jc w:val="left"/>
            </w:pPr>
            <w:r>
              <w:t xml:space="preserve">Old painted children's items or furniture with lead</w:t>
            </w:r>
          </w:p>
        </w:tc>
        <w:tc>
          <w:tcPr/>
          <w:p>
            <w:pPr>
              <w:pStyle w:val="Compact"/>
              <w:jc w:val="left"/>
            </w:pPr>
            <w:r>
              <w:rPr>
                <w:bCs/>
                <w:b/>
              </w:rPr>
              <w:t xml:space="preserve">No, if we know</w:t>
            </w:r>
          </w:p>
        </w:tc>
        <w:tc>
          <w:tcPr/>
          <w:p>
            <w:pPr>
              <w:pStyle w:val="Compact"/>
              <w:jc w:val="left"/>
            </w:pPr>
            <w:r>
              <w:t xml:space="preserve">Pre-1978 paint is high risk (CPSIA).</w:t>
            </w:r>
          </w:p>
        </w:tc>
      </w:tr>
      <w:tr>
        <w:tc>
          <w:tcPr/>
          <w:p>
            <w:pPr>
              <w:pStyle w:val="Compact"/>
              <w:jc w:val="left"/>
            </w:pPr>
            <w:r>
              <w:t xml:space="preserve">Car seats</w:t>
            </w:r>
          </w:p>
        </w:tc>
        <w:tc>
          <w:tcPr/>
          <w:p>
            <w:pPr>
              <w:pStyle w:val="Compact"/>
              <w:jc w:val="left"/>
            </w:pPr>
            <w:r>
              <w:rPr>
                <w:bCs/>
                <w:b/>
              </w:rPr>
              <w:t xml:space="preserve">Only if not expired or recalled and history known</w:t>
            </w:r>
          </w:p>
        </w:tc>
        <w:tc>
          <w:tcPr/>
          <w:p>
            <w:pPr>
              <w:pStyle w:val="Compact"/>
              <w:jc w:val="left"/>
            </w:pPr>
            <w:r>
              <w:t xml:space="preserve">Our policy. No federal ban.</w:t>
            </w:r>
          </w:p>
        </w:tc>
      </w:tr>
      <w:tr>
        <w:tc>
          <w:tcPr/>
          <w:p>
            <w:pPr>
              <w:pStyle w:val="Compact"/>
              <w:jc w:val="left"/>
            </w:pPr>
            <w:r>
              <w:t xml:space="preserve">U.S. military medals and ribbons</w:t>
            </w:r>
          </w:p>
        </w:tc>
        <w:tc>
          <w:tcPr/>
          <w:p>
            <w:pPr>
              <w:pStyle w:val="Compact"/>
              <w:jc w:val="left"/>
            </w:pPr>
            <w:r>
              <w:rPr>
                <w:bCs/>
                <w:b/>
              </w:rPr>
              <w:t xml:space="preserve">No</w:t>
            </w:r>
          </w:p>
        </w:tc>
        <w:tc>
          <w:tcPr/>
          <w:p>
            <w:pPr>
              <w:pStyle w:val="Compact"/>
              <w:jc w:val="left"/>
            </w:pPr>
            <w:r>
              <w:t xml:space="preserve">Federal law still bans selling them (18 U.S.C. § 704(a)). Foreign medals are OK. Uniforms are OK.</w:t>
            </w:r>
          </w:p>
        </w:tc>
      </w:tr>
      <w:tr>
        <w:tc>
          <w:tcPr/>
          <w:p>
            <w:pPr>
              <w:pStyle w:val="Compact"/>
              <w:jc w:val="left"/>
            </w:pPr>
            <w:r>
              <w:t xml:space="preserve">Military grave markers</w:t>
            </w:r>
          </w:p>
        </w:tc>
        <w:tc>
          <w:tcPr/>
          <w:p>
            <w:pPr>
              <w:pStyle w:val="Compact"/>
              <w:jc w:val="left"/>
            </w:pPr>
            <w:r>
              <w:rPr>
                <w:bCs/>
                <w:b/>
              </w:rPr>
              <w:t xml:space="preserve">No</w:t>
            </w:r>
          </w:p>
        </w:tc>
        <w:tc>
          <w:tcPr/>
          <w:p>
            <w:pPr>
              <w:pStyle w:val="Compact"/>
              <w:jc w:val="left"/>
            </w:pPr>
            <w:r>
              <w:t xml:space="preserve">Va. Code § 18.2-511</w:t>
            </w:r>
          </w:p>
        </w:tc>
      </w:tr>
      <w:tr>
        <w:tc>
          <w:tcPr/>
          <w:p>
            <w:pPr>
              <w:pStyle w:val="Compact"/>
              <w:jc w:val="left"/>
            </w:pPr>
            <w:r>
              <w:t xml:space="preserve">Eagle feathers or parts (including in regalia)</w:t>
            </w:r>
          </w:p>
        </w:tc>
        <w:tc>
          <w:tcPr/>
          <w:p>
            <w:pPr>
              <w:pStyle w:val="Compact"/>
              <w:jc w:val="left"/>
            </w:pPr>
            <w:r>
              <w:rPr>
                <w:bCs/>
                <w:b/>
              </w:rPr>
              <w:t xml:space="preserve">No, ever</w:t>
            </w:r>
          </w:p>
        </w:tc>
        <w:tc>
          <w:tcPr/>
          <w:p>
            <w:pPr>
              <w:pStyle w:val="Compact"/>
              <w:jc w:val="left"/>
            </w:pPr>
            <w:r>
              <w:t xml:space="preserve">Bald and Golden Eagle Protection Act</w:t>
            </w:r>
          </w:p>
        </w:tc>
      </w:tr>
      <w:tr>
        <w:tc>
          <w:tcPr/>
          <w:p>
            <w:pPr>
              <w:pStyle w:val="Compact"/>
              <w:jc w:val="left"/>
            </w:pPr>
            <w:r>
              <w:t xml:space="preserve">Migratory bird feathers, mounts, nests, egg collections</w:t>
            </w:r>
          </w:p>
        </w:tc>
        <w:tc>
          <w:tcPr/>
          <w:p>
            <w:pPr>
              <w:pStyle w:val="Compact"/>
              <w:jc w:val="left"/>
            </w:pPr>
            <w:r>
              <w:rPr>
                <w:bCs/>
                <w:b/>
              </w:rPr>
              <w:t xml:space="preserve">No</w:t>
            </w:r>
          </w:p>
        </w:tc>
        <w:tc>
          <w:tcPr/>
          <w:p>
            <w:pPr>
              <w:pStyle w:val="Compact"/>
              <w:jc w:val="left"/>
            </w:pPr>
            <w:r>
              <w:t xml:space="preserve">Migratory Bird Treaty Act, no matter how old</w:t>
            </w:r>
          </w:p>
        </w:tc>
      </w:tr>
      <w:tr>
        <w:tc>
          <w:tcPr/>
          <w:p>
            <w:pPr>
              <w:pStyle w:val="Compact"/>
              <w:jc w:val="left"/>
            </w:pPr>
            <w:r>
              <w:t xml:space="preserve">Elephant ivory</w:t>
            </w:r>
          </w:p>
        </w:tc>
        <w:tc>
          <w:tcPr/>
          <w:p>
            <w:pPr>
              <w:pStyle w:val="Compact"/>
              <w:jc w:val="left"/>
            </w:pPr>
            <w:r>
              <w:rPr>
                <w:bCs/>
                <w:b/>
              </w:rPr>
              <w:t xml:space="preserve">Inside Virginia only, with proof of age; out of state only if a true antique (100+ years) or very small</w:t>
            </w:r>
          </w:p>
        </w:tc>
        <w:tc>
          <w:tcPr/>
          <w:p>
            <w:pPr>
              <w:pStyle w:val="Compact"/>
              <w:jc w:val="left"/>
            </w:pPr>
            <w:r>
              <w:t xml:space="preserve">50 CFR 17.40(e). Virginia has no ivory law of its own, but many buyer states ban it.</w:t>
            </w:r>
            <w:r>
              <w:t xml:space="preserve"> </w:t>
            </w:r>
            <w:r>
              <w:rPr>
                <w:bCs/>
                <w:b/>
              </w:rPr>
              <w:t xml:space="preserve">Our policy: no ivory shipping.</w:t>
            </w:r>
          </w:p>
        </w:tc>
      </w:tr>
      <w:tr>
        <w:tc>
          <w:tcPr/>
          <w:p>
            <w:pPr>
              <w:pStyle w:val="Compact"/>
              <w:jc w:val="left"/>
            </w:pPr>
            <w:r>
              <w:t xml:space="preserve">Whale teeth, scrimshaw, tortoiseshell, rhino horn</w:t>
            </w:r>
          </w:p>
        </w:tc>
        <w:tc>
          <w:tcPr/>
          <w:p>
            <w:pPr>
              <w:pStyle w:val="Compact"/>
              <w:jc w:val="left"/>
            </w:pPr>
            <w:r>
              <w:rPr>
                <w:bCs/>
                <w:b/>
              </w:rPr>
              <w:t xml:space="preserve">Generally no</w:t>
            </w:r>
          </w:p>
        </w:tc>
        <w:tc>
          <w:tcPr/>
          <w:p>
            <w:pPr>
              <w:pStyle w:val="Compact"/>
              <w:jc w:val="left"/>
            </w:pPr>
            <w:r>
              <w:t xml:space="preserve">Federal wildlife laws; narrow exceptions need federal paperwork</w:t>
            </w:r>
          </w:p>
        </w:tc>
      </w:tr>
      <w:tr>
        <w:tc>
          <w:tcPr/>
          <w:p>
            <w:pPr>
              <w:pStyle w:val="Compact"/>
              <w:jc w:val="left"/>
            </w:pPr>
            <w:r>
              <w:t xml:space="preserve">Native American human remains, grave items, artifacts from public land</w:t>
            </w:r>
          </w:p>
        </w:tc>
        <w:tc>
          <w:tcPr/>
          <w:p>
            <w:pPr>
              <w:pStyle w:val="Compact"/>
              <w:jc w:val="left"/>
            </w:pPr>
            <w:r>
              <w:rPr>
                <w:bCs/>
                <w:b/>
              </w:rPr>
              <w:t xml:space="preserve">No</w:t>
            </w:r>
          </w:p>
        </w:tc>
        <w:tc>
          <w:tcPr/>
          <w:p>
            <w:pPr>
              <w:pStyle w:val="Compact"/>
              <w:jc w:val="left"/>
            </w:pPr>
            <w:r>
              <w:t xml:space="preserve">Federal NAGPRA/ARPA and Va. Code § 18.2-126</w:t>
            </w:r>
          </w:p>
        </w:tc>
      </w:tr>
      <w:tr>
        <w:tc>
          <w:tcPr/>
          <w:p>
            <w:pPr>
              <w:pStyle w:val="Compact"/>
              <w:jc w:val="left"/>
            </w:pPr>
            <w:r>
              <w:t xml:space="preserve">"Native American made"</w:t>
            </w:r>
          </w:p>
        </w:tc>
        <w:tc>
          <w:tcPr/>
          <w:p>
            <w:pPr>
              <w:pStyle w:val="Compact"/>
              <w:jc w:val="left"/>
            </w:pPr>
            <w:r>
              <w:rPr>
                <w:bCs/>
                <w:b/>
              </w:rPr>
              <w:t xml:space="preserve">Only if verified</w:t>
            </w:r>
          </w:p>
        </w:tc>
        <w:tc>
          <w:tcPr/>
          <w:p>
            <w:pPr>
              <w:pStyle w:val="Compact"/>
              <w:jc w:val="left"/>
            </w:pPr>
            <w:r>
              <w:t xml:space="preserve">Indian Arts and Crafts Act</w:t>
            </w:r>
          </w:p>
        </w:tc>
      </w:tr>
      <w:tr>
        <w:tc>
          <w:tcPr/>
          <w:p>
            <w:pPr>
              <w:pStyle w:val="Compact"/>
              <w:jc w:val="left"/>
            </w:pPr>
            <w:r>
              <w:t xml:space="preserve">Human skulls, bones, ashes</w:t>
            </w:r>
          </w:p>
        </w:tc>
        <w:tc>
          <w:tcPr/>
          <w:p>
            <w:pPr>
              <w:pStyle w:val="Compact"/>
              <w:jc w:val="left"/>
            </w:pPr>
            <w:r>
              <w:rPr>
                <w:bCs/>
                <w:b/>
              </w:rPr>
              <w:t xml:space="preserve">No (our policy)</w:t>
            </w:r>
          </w:p>
        </w:tc>
        <w:tc>
          <w:tcPr/>
          <w:p>
            <w:pPr>
              <w:pStyle w:val="Compact"/>
              <w:jc w:val="left"/>
            </w:pPr>
            <w:r>
              <w:t xml:space="preserve">Ashes go to family only</w:t>
            </w:r>
          </w:p>
        </w:tc>
      </w:tr>
      <w:tr>
        <w:tc>
          <w:tcPr/>
          <w:p>
            <w:pPr>
              <w:pStyle w:val="Compact"/>
              <w:jc w:val="left"/>
            </w:pPr>
            <w:r>
              <w:t xml:space="preserve">Handguns and long guns</w:t>
            </w:r>
          </w:p>
        </w:tc>
        <w:tc>
          <w:tcPr/>
          <w:p>
            <w:pPr>
              <w:pStyle w:val="Compact"/>
              <w:jc w:val="left"/>
            </w:pPr>
            <w:r>
              <w:rPr>
                <w:bCs/>
                <w:b/>
              </w:rPr>
              <w:t xml:space="preserve">Through a licensed gun dealer only (our policy)</w:t>
            </w:r>
          </w:p>
        </w:tc>
        <w:tc>
          <w:tcPr/>
          <w:p>
            <w:pPr>
              <w:pStyle w:val="Compact"/>
              <w:jc w:val="left"/>
            </w:pPr>
            <w:r>
              <w:t xml:space="preserve">Virginia requires a background check through a dealer for private sales (§ 18.2-308.2:5). Out-of-state buyers must go through a dealer. Stripe restricts weapons. Repeated gun consignment can require a federal license.</w:t>
            </w:r>
          </w:p>
        </w:tc>
      </w:tr>
      <w:tr>
        <w:tc>
          <w:tcPr/>
          <w:p>
            <w:pPr>
              <w:pStyle w:val="Compact"/>
              <w:jc w:val="left"/>
            </w:pPr>
            <w:r>
              <w:t xml:space="preserve">Guns Virginia calls "assault firearms," magazines over 15 rounds</w:t>
            </w:r>
          </w:p>
        </w:tc>
        <w:tc>
          <w:tcPr/>
          <w:p>
            <w:pPr>
              <w:pStyle w:val="Compact"/>
              <w:jc w:val="left"/>
            </w:pPr>
            <w:r>
              <w:rPr>
                <w:bCs/>
                <w:b/>
              </w:rPr>
              <w:t xml:space="preserve">No</w:t>
            </w:r>
          </w:p>
        </w:tc>
        <w:tc>
          <w:tcPr/>
          <w:p>
            <w:pPr>
              <w:pStyle w:val="Compact"/>
              <w:jc w:val="left"/>
            </w:pPr>
            <w:r>
              <w:t xml:space="preserve">New 2026 law. Currently blocked by court order while on appeal, but write the rule as if it's in force.</w:t>
            </w:r>
            <w:r>
              <w:t xml:space="preserve"> </w:t>
            </w:r>
            <w:r>
              <w:rPr>
                <w:bCs/>
                <w:b/>
              </w:rPr>
              <w:t xml:space="preserve">(check)</w:t>
            </w:r>
          </w:p>
        </w:tc>
      </w:tr>
      <w:tr>
        <w:tc>
          <w:tcPr/>
          <w:p>
            <w:pPr>
              <w:pStyle w:val="Compact"/>
              <w:jc w:val="left"/>
            </w:pPr>
            <w:r>
              <w:t xml:space="preserve">Machine guns, silencers, short-barreled rifles and shotguns</w:t>
            </w:r>
          </w:p>
        </w:tc>
        <w:tc>
          <w:tcPr/>
          <w:p>
            <w:pPr>
              <w:pStyle w:val="Compact"/>
              <w:jc w:val="left"/>
            </w:pPr>
            <w:r>
              <w:rPr>
                <w:bCs/>
                <w:b/>
              </w:rPr>
              <w:t xml:space="preserve">No</w:t>
            </w:r>
          </w:p>
        </w:tc>
        <w:tc>
          <w:tcPr/>
          <w:p>
            <w:pPr>
              <w:pStyle w:val="Compact"/>
              <w:jc w:val="left"/>
            </w:pPr>
            <w:r>
              <w:t xml:space="preserve">Federal NFA paperwork (ATF Form 5 to heirs). If unregistered, call ATF.</w:t>
            </w:r>
          </w:p>
        </w:tc>
      </w:tr>
      <w:tr>
        <w:tc>
          <w:tcPr/>
          <w:p>
            <w:pPr>
              <w:pStyle w:val="Compact"/>
              <w:jc w:val="left"/>
            </w:pPr>
            <w:r>
              <w:t xml:space="preserve">Guns made before 1899 (true antiques)</w:t>
            </w:r>
          </w:p>
        </w:tc>
        <w:tc>
          <w:tcPr/>
          <w:p>
            <w:pPr>
              <w:pStyle w:val="Compact"/>
              <w:jc w:val="left"/>
            </w:pPr>
            <w:r>
              <w:rPr>
                <w:bCs/>
                <w:b/>
              </w:rPr>
              <w:t xml:space="preserve">Yes</w:t>
            </w:r>
          </w:p>
        </w:tc>
        <w:tc>
          <w:tcPr/>
          <w:p>
            <w:pPr>
              <w:pStyle w:val="Compact"/>
              <w:jc w:val="left"/>
            </w:pPr>
            <w:r>
              <w:t xml:space="preserve">Outside federal gun law (18 U.S.C. § 921(a)(16))</w:t>
            </w:r>
          </w:p>
        </w:tc>
      </w:tr>
      <w:tr>
        <w:tc>
          <w:tcPr/>
          <w:p>
            <w:pPr>
              <w:pStyle w:val="Compact"/>
              <w:jc w:val="left"/>
            </w:pPr>
            <w:r>
              <w:t xml:space="preserve">Ammunition</w:t>
            </w:r>
          </w:p>
        </w:tc>
        <w:tc>
          <w:tcPr/>
          <w:p>
            <w:pPr>
              <w:pStyle w:val="Compact"/>
              <w:jc w:val="left"/>
            </w:pPr>
            <w:r>
              <w:rPr>
                <w:bCs/>
                <w:b/>
              </w:rPr>
              <w:t xml:space="preserve">Local pickup only</w:t>
            </w:r>
          </w:p>
        </w:tc>
        <w:tc>
          <w:tcPr/>
          <w:p>
            <w:pPr>
              <w:pStyle w:val="Compact"/>
              <w:jc w:val="left"/>
            </w:pPr>
            <w:r>
              <w:t xml:space="preserve">Can't be mailed</w:t>
            </w:r>
          </w:p>
        </w:tc>
      </w:tr>
      <w:tr>
        <w:tc>
          <w:tcPr/>
          <w:p>
            <w:pPr>
              <w:pStyle w:val="Compact"/>
              <w:jc w:val="left"/>
            </w:pPr>
            <w:r>
              <w:t xml:space="preserve">Black powder, fireworks, gasoline, asbestos items</w:t>
            </w:r>
          </w:p>
        </w:tc>
        <w:tc>
          <w:tcPr/>
          <w:p>
            <w:pPr>
              <w:pStyle w:val="Compact"/>
              <w:jc w:val="left"/>
            </w:pPr>
            <w:r>
              <w:rPr>
                <w:bCs/>
                <w:b/>
              </w:rPr>
              <w:t xml:space="preserve">No</w:t>
            </w:r>
          </w:p>
        </w:tc>
        <w:tc>
          <w:tcPr/>
          <w:p>
            <w:pPr>
              <w:pStyle w:val="Compact"/>
              <w:jc w:val="left"/>
            </w:pPr>
            <w:r>
              <w:t xml:space="preserve">Hazardous; USPS Pub. 52 and Va. Code § 27-97</w:t>
            </w:r>
          </w:p>
        </w:tc>
      </w:tr>
      <w:tr>
        <w:tc>
          <w:tcPr/>
          <w:p>
            <w:pPr>
              <w:pStyle w:val="Compact"/>
              <w:jc w:val="left"/>
            </w:pPr>
            <w:r>
              <w:t xml:space="preserve">Brass knuckles, throwing stars, blackjacks</w:t>
            </w:r>
          </w:p>
        </w:tc>
        <w:tc>
          <w:tcPr/>
          <w:p>
            <w:pPr>
              <w:pStyle w:val="Compact"/>
              <w:jc w:val="left"/>
            </w:pPr>
            <w:r>
              <w:rPr>
                <w:bCs/>
                <w:b/>
              </w:rPr>
              <w:t xml:space="preserve">No</w:t>
            </w:r>
          </w:p>
        </w:tc>
        <w:tc>
          <w:tcPr/>
          <w:p>
            <w:pPr>
              <w:pStyle w:val="Compact"/>
              <w:jc w:val="left"/>
            </w:pPr>
            <w:r>
              <w:t xml:space="preserve">Va. Code § 18.2-311</w:t>
            </w:r>
          </w:p>
        </w:tc>
      </w:tr>
      <w:tr>
        <w:tc>
          <w:tcPr/>
          <w:p>
            <w:pPr>
              <w:pStyle w:val="Compact"/>
              <w:jc w:val="left"/>
            </w:pPr>
            <w:r>
              <w:t xml:space="preserve">Switchblades</w:t>
            </w:r>
          </w:p>
        </w:tc>
        <w:tc>
          <w:tcPr/>
          <w:p>
            <w:pPr>
              <w:pStyle w:val="Compact"/>
              <w:jc w:val="left"/>
            </w:pPr>
            <w:r>
              <w:rPr>
                <w:bCs/>
                <w:b/>
              </w:rPr>
              <w:t xml:space="preserve">Local pickup only</w:t>
            </w:r>
          </w:p>
        </w:tc>
        <w:tc>
          <w:tcPr/>
          <w:p>
            <w:pPr>
              <w:pStyle w:val="Compact"/>
              <w:jc w:val="left"/>
            </w:pPr>
            <w:r>
              <w:t xml:space="preserve">Legal in Virginia since 2022; federal law bans interstate shipping</w:t>
            </w:r>
          </w:p>
        </w:tc>
      </w:tr>
      <w:tr>
        <w:tc>
          <w:tcPr/>
          <w:p>
            <w:pPr>
              <w:pStyle w:val="Compact"/>
              <w:jc w:val="left"/>
            </w:pPr>
            <w:r>
              <w:t xml:space="preserve">Swords, ordinary knives, stun guns, body armor</w:t>
            </w:r>
          </w:p>
        </w:tc>
        <w:tc>
          <w:tcPr/>
          <w:p>
            <w:pPr>
              <w:pStyle w:val="Compact"/>
              <w:jc w:val="left"/>
            </w:pPr>
            <w:r>
              <w:rPr>
                <w:bCs/>
                <w:b/>
              </w:rPr>
              <w:t xml:space="preserve">Yes</w:t>
            </w:r>
          </w:p>
        </w:tc>
        <w:tc>
          <w:tcPr/>
          <w:p>
            <w:pPr>
              <w:pStyle w:val="Compact"/>
              <w:jc w:val="left"/>
            </w:pPr>
            <w:r>
              <w:t xml:space="preserve">Ship carefully; some buyer states restrict</w:t>
            </w:r>
          </w:p>
        </w:tc>
      </w:tr>
      <w:tr>
        <w:tc>
          <w:tcPr/>
          <w:p>
            <w:pPr>
              <w:pStyle w:val="Compact"/>
              <w:jc w:val="left"/>
            </w:pPr>
            <w:r>
              <w:t xml:space="preserve">Radium-dial clocks, uranium glass, Fiestaware</w:t>
            </w:r>
          </w:p>
        </w:tc>
        <w:tc>
          <w:tcPr/>
          <w:p>
            <w:pPr>
              <w:pStyle w:val="Compact"/>
              <w:jc w:val="left"/>
            </w:pPr>
            <w:r>
              <w:rPr>
                <w:bCs/>
                <w:b/>
              </w:rPr>
              <w:t xml:space="preserve">Yes, with a note</w:t>
            </w:r>
          </w:p>
        </w:tc>
        <w:tc>
          <w:tcPr/>
          <w:p>
            <w:pPr>
              <w:pStyle w:val="Compact"/>
              <w:jc w:val="left"/>
            </w:pPr>
            <w:r>
              <w:t xml:space="preserve">Ground shipping only, don't open; disclose</w:t>
            </w:r>
          </w:p>
        </w:tc>
      </w:tr>
      <w:tr>
        <w:tc>
          <w:tcPr/>
          <w:p>
            <w:pPr>
              <w:pStyle w:val="Compact"/>
              <w:jc w:val="left"/>
            </w:pPr>
            <w:r>
              <w:t xml:space="preserve">Mercury thermometers and barometers</w:t>
            </w:r>
          </w:p>
        </w:tc>
        <w:tc>
          <w:tcPr/>
          <w:p>
            <w:pPr>
              <w:pStyle w:val="Compact"/>
              <w:jc w:val="left"/>
            </w:pPr>
            <w:r>
              <w:rPr>
                <w:bCs/>
                <w:b/>
              </w:rPr>
              <w:t xml:space="preserve">Local pickup only (our policy)</w:t>
            </w:r>
          </w:p>
        </w:tc>
        <w:tc>
          <w:tcPr/>
          <w:p>
            <w:pPr>
              <w:pStyle w:val="Compact"/>
              <w:jc w:val="left"/>
            </w:pPr>
            <w:r>
              <w:t xml:space="preserve">Some states ban them</w:t>
            </w:r>
          </w:p>
        </w:tc>
      </w:tr>
      <w:tr>
        <w:tc>
          <w:tcPr/>
          <w:p>
            <w:pPr>
              <w:pStyle w:val="Compact"/>
              <w:jc w:val="left"/>
            </w:pPr>
            <w:r>
              <w:t xml:space="preserve">Perfume, aerosols, lithium batteries</w:t>
            </w:r>
          </w:p>
        </w:tc>
        <w:tc>
          <w:tcPr/>
          <w:p>
            <w:pPr>
              <w:pStyle w:val="Compact"/>
              <w:jc w:val="left"/>
            </w:pPr>
            <w:r>
              <w:rPr>
                <w:bCs/>
                <w:b/>
              </w:rPr>
              <w:t xml:space="preserve">Yes</w:t>
            </w:r>
          </w:p>
        </w:tc>
        <w:tc>
          <w:tcPr/>
          <w:p>
            <w:pPr>
              <w:pStyle w:val="Compact"/>
              <w:jc w:val="left"/>
            </w:pPr>
            <w:r>
              <w:t xml:space="preserve">Ground shipping rules</w:t>
            </w:r>
          </w:p>
        </w:tc>
      </w:tr>
      <w:tr>
        <w:tc>
          <w:tcPr/>
          <w:p>
            <w:pPr>
              <w:pStyle w:val="Compact"/>
              <w:jc w:val="left"/>
            </w:pPr>
            <w:r>
              <w:t xml:space="preserve">Old coins and paper money</w:t>
            </w:r>
          </w:p>
        </w:tc>
        <w:tc>
          <w:tcPr/>
          <w:p>
            <w:pPr>
              <w:pStyle w:val="Compact"/>
              <w:jc w:val="left"/>
            </w:pPr>
            <w:r>
              <w:rPr>
                <w:bCs/>
                <w:b/>
              </w:rPr>
              <w:t xml:space="preserve">Yes</w:t>
            </w:r>
          </w:p>
        </w:tc>
        <w:tc>
          <w:tcPr/>
          <w:p>
            <w:pPr>
              <w:pStyle w:val="Compact"/>
              <w:jc w:val="left"/>
            </w:pPr>
            <w:r>
              <w:t xml:space="preserve">—</w:t>
            </w:r>
          </w:p>
        </w:tc>
      </w:tr>
      <w:tr>
        <w:tc>
          <w:tcPr/>
          <w:p>
            <w:pPr>
              <w:pStyle w:val="Compact"/>
              <w:jc w:val="left"/>
            </w:pPr>
            <w:r>
              <w:t xml:space="preserve">Replica coins not marked "COPY"</w:t>
            </w:r>
          </w:p>
        </w:tc>
        <w:tc>
          <w:tcPr/>
          <w:p>
            <w:pPr>
              <w:pStyle w:val="Compact"/>
              <w:jc w:val="left"/>
            </w:pPr>
            <w:r>
              <w:rPr>
                <w:bCs/>
                <w:b/>
              </w:rPr>
              <w:t xml:space="preserve">No</w:t>
            </w:r>
          </w:p>
        </w:tc>
        <w:tc>
          <w:tcPr/>
          <w:p>
            <w:pPr>
              <w:pStyle w:val="Compact"/>
              <w:jc w:val="left"/>
            </w:pPr>
            <w:r>
              <w:t xml:space="preserve">Hobby Protection Act</w:t>
            </w:r>
          </w:p>
        </w:tc>
      </w:tr>
      <w:tr>
        <w:tc>
          <w:tcPr/>
          <w:p>
            <w:pPr>
              <w:pStyle w:val="Compact"/>
              <w:jc w:val="left"/>
            </w:pPr>
            <w:r>
              <w:t xml:space="preserve">Fake designer goods</w:t>
            </w:r>
          </w:p>
        </w:tc>
        <w:tc>
          <w:tcPr/>
          <w:p>
            <w:pPr>
              <w:pStyle w:val="Compact"/>
              <w:jc w:val="left"/>
            </w:pPr>
            <w:r>
              <w:rPr>
                <w:bCs/>
                <w:b/>
              </w:rPr>
              <w:t xml:space="preserve">No</w:t>
            </w:r>
          </w:p>
        </w:tc>
        <w:tc>
          <w:tcPr/>
          <w:p>
            <w:pPr>
              <w:pStyle w:val="Compact"/>
              <w:jc w:val="left"/>
            </w:pPr>
            <w:r>
              <w:t xml:space="preserve">Federal counterfeit law; calling it a "replica" doesn't fix it</w:t>
            </w:r>
          </w:p>
        </w:tc>
      </w:tr>
      <w:tr>
        <w:tc>
          <w:tcPr/>
          <w:p>
            <w:pPr>
              <w:pStyle w:val="Compact"/>
              <w:jc w:val="left"/>
            </w:pPr>
            <w:r>
              <w:t xml:space="preserve">Phones, computers, hard drives</w:t>
            </w:r>
          </w:p>
        </w:tc>
        <w:tc>
          <w:tcPr/>
          <w:p>
            <w:pPr>
              <w:pStyle w:val="Compact"/>
              <w:jc w:val="left"/>
            </w:pPr>
            <w:r>
              <w:rPr>
                <w:bCs/>
                <w:b/>
              </w:rPr>
              <w:t xml:space="preserve">Yes, after wiping</w:t>
            </w:r>
          </w:p>
        </w:tc>
        <w:tc>
          <w:tcPr/>
          <w:p>
            <w:pPr>
              <w:pStyle w:val="Compact"/>
              <w:jc w:val="left"/>
            </w:pPr>
            <w:r>
              <w:t xml:space="preserve">Back up first; log the wipe</w:t>
            </w:r>
          </w:p>
        </w:tc>
      </w:tr>
      <w:tr>
        <w:tc>
          <w:tcPr/>
          <w:p>
            <w:pPr>
              <w:pStyle w:val="Compact"/>
              <w:jc w:val="left"/>
            </w:pPr>
            <w:r>
              <w:t xml:space="preserve">Papers with Social Security numbers, old checks, IDs</w:t>
            </w:r>
          </w:p>
        </w:tc>
        <w:tc>
          <w:tcPr/>
          <w:p>
            <w:pPr>
              <w:pStyle w:val="Compact"/>
              <w:jc w:val="left"/>
            </w:pPr>
            <w:r>
              <w:rPr>
                <w:bCs/>
                <w:b/>
              </w:rPr>
              <w:t xml:space="preserve">No</w:t>
            </w:r>
          </w:p>
        </w:tc>
        <w:tc>
          <w:tcPr/>
          <w:p>
            <w:pPr>
              <w:pStyle w:val="Compact"/>
              <w:jc w:val="left"/>
            </w:pPr>
            <w:r>
              <w:t xml:space="preserve">Shred</w:t>
            </w:r>
          </w:p>
        </w:tc>
      </w:tr>
    </w:tbl>
    <w:bookmarkEnd w:id="43"/>
    <w:bookmarkStart w:id="50" w:name="X194cf8c763562079ab7bab66e945bb03e67543c"/>
    <w:p>
      <w:pPr>
        <w:pStyle w:val="Heading1"/>
      </w:pPr>
      <w:r>
        <w:t xml:space="preserve">Part G. Protecting families and Next Owner Market</w:t>
      </w:r>
    </w:p>
    <w:bookmarkStart w:id="44" w:name="elder-financial-exploitation"/>
    <w:p>
      <w:pPr>
        <w:pStyle w:val="Heading2"/>
      </w:pPr>
      <w:r>
        <w:t xml:space="preserve">Elder financial exploitation</w:t>
      </w:r>
    </w:p>
    <w:p>
      <w:pPr>
        <w:numPr>
          <w:ilvl w:val="0"/>
          <w:numId w:val="1021"/>
        </w:numPr>
        <w:pStyle w:val="Compact"/>
      </w:pPr>
      <w:r>
        <w:rPr>
          <w:bCs/>
          <w:b/>
        </w:rPr>
        <w:t xml:space="preserve">The crime.</w:t>
      </w:r>
      <w:r>
        <w:t xml:space="preserve"> </w:t>
      </w:r>
      <w:r>
        <w:t xml:space="preserve">Virginia makes it a crime to use a vulnerable adult's impairment to take their property (§ 18.2-178.1). Acting in good faith for their benefit is a defense.</w:t>
      </w:r>
    </w:p>
    <w:p>
      <w:pPr>
        <w:numPr>
          <w:ilvl w:val="0"/>
          <w:numId w:val="1021"/>
        </w:numPr>
        <w:pStyle w:val="Compact"/>
      </w:pPr>
      <w:r>
        <w:rPr>
          <w:bCs/>
          <w:b/>
        </w:rPr>
        <w:t xml:space="preserve">Reporting.</w:t>
      </w:r>
      <w:r>
        <w:t xml:space="preserve"> </w:t>
      </w:r>
      <w:r>
        <w:t xml:space="preserve">We are</w:t>
      </w:r>
      <w:r>
        <w:t xml:space="preserve"> </w:t>
      </w:r>
      <w:r>
        <w:rPr>
          <w:bCs/>
          <w:b/>
        </w:rPr>
        <w:t xml:space="preserve">not</w:t>
      </w:r>
      <w:r>
        <w:t xml:space="preserve"> </w:t>
      </w:r>
      <w:r>
        <w:t xml:space="preserve">required to report, but</w:t>
      </w:r>
      <w:r>
        <w:t xml:space="preserve"> </w:t>
      </w:r>
      <w:r>
        <w:rPr>
          <w:bCs/>
          <w:b/>
        </w:rPr>
        <w:t xml:space="preserve">anyone may.</w:t>
      </w:r>
      <w:r>
        <w:t xml:space="preserve"> </w:t>
      </w:r>
      <w:r>
        <w:t xml:space="preserve">Good-faith reporters are immune from liability (§ 63.2-1606). Adult Protective Services hotline:</w:t>
      </w:r>
      <w:r>
        <w:t xml:space="preserve"> </w:t>
      </w:r>
      <w:r>
        <w:rPr>
          <w:bCs/>
          <w:b/>
        </w:rPr>
        <w:t xml:space="preserve">1-888-832-3858</w:t>
      </w:r>
      <w:r>
        <w:t xml:space="preserve">, 24 hours, and you can stay anonymous.</w:t>
      </w:r>
    </w:p>
    <w:p>
      <w:pPr>
        <w:pStyle w:val="FirstParagraph"/>
      </w:pPr>
      <w:r>
        <w:rPr>
          <w:bCs/>
          <w:b/>
        </w:rPr>
        <w:t xml:space="preserve">Red flags the Pack should watch for and pause on:</w:t>
      </w:r>
    </w:p>
    <w:p>
      <w:pPr>
        <w:numPr>
          <w:ilvl w:val="0"/>
          <w:numId w:val="1022"/>
        </w:numPr>
        <w:pStyle w:val="Compact"/>
      </w:pPr>
      <w:r>
        <w:t xml:space="preserve">a living parent's things sold with no power of attorney;</w:t>
      </w:r>
    </w:p>
    <w:p>
      <w:pPr>
        <w:numPr>
          <w:ilvl w:val="0"/>
          <w:numId w:val="1022"/>
        </w:numPr>
        <w:pStyle w:val="Compact"/>
      </w:pPr>
      <w:r>
        <w:t xml:space="preserve">a rush to sell;</w:t>
      </w:r>
    </w:p>
    <w:p>
      <w:pPr>
        <w:numPr>
          <w:ilvl w:val="0"/>
          <w:numId w:val="1022"/>
        </w:numPr>
        <w:pStyle w:val="Compact"/>
      </w:pPr>
      <w:r>
        <w:t xml:space="preserve">payout to someone else's bank account;</w:t>
      </w:r>
    </w:p>
    <w:p>
      <w:pPr>
        <w:numPr>
          <w:ilvl w:val="0"/>
          <w:numId w:val="1022"/>
        </w:numPr>
        <w:pStyle w:val="Compact"/>
      </w:pPr>
      <w:r>
        <w:t xml:space="preserve">the owner can never be reached;</w:t>
      </w:r>
    </w:p>
    <w:p>
      <w:pPr>
        <w:numPr>
          <w:ilvl w:val="0"/>
          <w:numId w:val="1022"/>
        </w:numPr>
        <w:pStyle w:val="Compact"/>
      </w:pPr>
      <w:r>
        <w:t xml:space="preserve">a new "helper" running the sale;</w:t>
      </w:r>
    </w:p>
    <w:p>
      <w:pPr>
        <w:numPr>
          <w:ilvl w:val="0"/>
          <w:numId w:val="1022"/>
        </w:numPr>
        <w:pStyle w:val="Compact"/>
      </w:pPr>
      <w:r>
        <w:t xml:space="preserve">payout details changed after a big sale;</w:t>
      </w:r>
    </w:p>
    <w:p>
      <w:pPr>
        <w:numPr>
          <w:ilvl w:val="0"/>
          <w:numId w:val="1022"/>
        </w:numPr>
        <w:pStyle w:val="Compact"/>
      </w:pPr>
      <w:r>
        <w:t xml:space="preserve">valuable items priced far too low;</w:t>
      </w:r>
    </w:p>
    <w:p>
      <w:pPr>
        <w:numPr>
          <w:ilvl w:val="0"/>
          <w:numId w:val="1022"/>
        </w:numPr>
        <w:pStyle w:val="Compact"/>
      </w:pPr>
      <w:r>
        <w:t xml:space="preserve">another relative complaining.</w:t>
      </w:r>
    </w:p>
    <w:bookmarkEnd w:id="44"/>
    <w:bookmarkStart w:id="45" w:name="heirs-who-disagree"/>
    <w:p>
      <w:pPr>
        <w:pStyle w:val="Heading2"/>
      </w:pPr>
      <w:r>
        <w:t xml:space="preserve">Heirs who disagree</w:t>
      </w:r>
    </w:p>
    <w:p>
      <w:pPr>
        <w:numPr>
          <w:ilvl w:val="0"/>
          <w:numId w:val="1023"/>
        </w:numPr>
        <w:pStyle w:val="Compact"/>
      </w:pPr>
      <w:r>
        <w:t xml:space="preserve">The entrustment rule (§ 8.2-403) protects a buyer only to the extent of the rights of the person who handed us the goods. If an heir with no authority consigned them, the real owner can come after the item, and after us.</w:t>
      </w:r>
    </w:p>
    <w:p>
      <w:pPr>
        <w:numPr>
          <w:ilvl w:val="0"/>
          <w:numId w:val="1023"/>
        </w:numPr>
        <w:pStyle w:val="Compact"/>
      </w:pPr>
      <w:r>
        <w:rPr>
          <w:bCs/>
          <w:b/>
        </w:rPr>
        <w:t xml:space="preserve">Protection:</w:t>
      </w:r>
      <w:r>
        <w:t xml:space="preserve"> </w:t>
      </w:r>
      <w:r>
        <w:t xml:space="preserve">collect proof of authority (Part B), get a written promise and indemnity, and hold estate payouts 7–14 days. Freeze everything the moment anyone objects.</w:t>
      </w:r>
    </w:p>
    <w:bookmarkEnd w:id="45"/>
    <w:bookmarkStart w:id="46" w:name="privacy"/>
    <w:p>
      <w:pPr>
        <w:pStyle w:val="Heading2"/>
      </w:pPr>
      <w:r>
        <w:t xml:space="preserve">Privacy</w:t>
      </w:r>
    </w:p>
    <w:p>
      <w:pPr>
        <w:numPr>
          <w:ilvl w:val="0"/>
          <w:numId w:val="1024"/>
        </w:numPr>
        <w:pStyle w:val="Compact"/>
      </w:pPr>
      <w:r>
        <w:rPr>
          <w:bCs/>
          <w:b/>
        </w:rPr>
        <w:t xml:space="preserve">Don't keep documents we only need to see.</w:t>
      </w:r>
      <w:r>
        <w:t xml:space="preserve"> </w:t>
      </w:r>
      <w:r>
        <w:t xml:space="preserve">Record "checked certificate of qualification, date, by whom," then delete the upload.</w:t>
      </w:r>
    </w:p>
    <w:p>
      <w:pPr>
        <w:numPr>
          <w:ilvl w:val="0"/>
          <w:numId w:val="1024"/>
        </w:numPr>
        <w:pStyle w:val="Compact"/>
      </w:pPr>
      <w:r>
        <w:t xml:space="preserve">If we must keep any document, keep it in private, encrypted storage, black out Social Security numbers, and delete it on request (and automatically 90 days after the estate closes).</w:t>
      </w:r>
    </w:p>
    <w:p>
      <w:pPr>
        <w:numPr>
          <w:ilvl w:val="0"/>
          <w:numId w:val="1024"/>
        </w:numPr>
        <w:pStyle w:val="Compact"/>
      </w:pPr>
      <w:r>
        <w:t xml:space="preserve">Virginia's breach law covers Social Security, license and account numbers. Fines go up to $150,000 per breach (§ 18.2-186.6). Encryption is a safe harbor.</w:t>
      </w:r>
    </w:p>
    <w:p>
      <w:pPr>
        <w:numPr>
          <w:ilvl w:val="0"/>
          <w:numId w:val="1024"/>
        </w:numPr>
        <w:pStyle w:val="Compact"/>
      </w:pPr>
      <w:r>
        <w:t xml:space="preserve">The Virginia privacy act (VCDPA) does not apply to us until we have 100,000 Virginia customers.</w:t>
      </w:r>
    </w:p>
    <w:bookmarkEnd w:id="46"/>
    <w:bookmarkStart w:id="47" w:name="the-empty-house"/>
    <w:p>
      <w:pPr>
        <w:pStyle w:val="Heading2"/>
      </w:pPr>
      <w:r>
        <w:t xml:space="preserve">The empty house</w:t>
      </w:r>
    </w:p>
    <w:p>
      <w:pPr>
        <w:pStyle w:val="FirstParagraph"/>
      </w:pPr>
      <w:r>
        <w:t xml:space="preserve">Burglars read obituaries, and there are arrests for it as recently as September 2026.</w:t>
      </w:r>
    </w:p>
    <w:p>
      <w:pPr>
        <w:numPr>
          <w:ilvl w:val="0"/>
          <w:numId w:val="1025"/>
        </w:numPr>
        <w:pStyle w:val="Compact"/>
      </w:pPr>
      <w:r>
        <w:rPr>
          <w:bCs/>
          <w:b/>
        </w:rPr>
        <w:t xml:space="preserve">Never show an estate's street address publicly.</w:t>
      </w:r>
      <w:r>
        <w:t xml:space="preserve"> </w:t>
      </w:r>
      <w:r>
        <w:t xml:space="preserve">Show city or ZIP only, and give the address only to a confirmed buyer near pickup time. Our listings already show only city and state.</w:t>
      </w:r>
    </w:p>
    <w:p>
      <w:pPr>
        <w:numPr>
          <w:ilvl w:val="0"/>
          <w:numId w:val="1025"/>
        </w:numPr>
        <w:pStyle w:val="Compact"/>
      </w:pPr>
      <w:r>
        <w:t xml:space="preserve">Don't use the words "estate," "vacant" or "deceased" in public listings.</w:t>
      </w:r>
    </w:p>
    <w:p>
      <w:pPr>
        <w:numPr>
          <w:ilvl w:val="0"/>
          <w:numId w:val="1025"/>
        </w:numPr>
        <w:pStyle w:val="Compact"/>
      </w:pPr>
      <w:r>
        <w:t xml:space="preserve">Strip photo location data.</w:t>
      </w:r>
    </w:p>
    <w:p>
      <w:pPr>
        <w:numPr>
          <w:ilvl w:val="0"/>
          <w:numId w:val="1025"/>
        </w:numPr>
        <w:pStyle w:val="Compact"/>
      </w:pPr>
      <w:r>
        <w:t xml:space="preserve">Don't post pickup schedules.</w:t>
      </w:r>
    </w:p>
    <w:p>
      <w:pPr>
        <w:numPr>
          <w:ilvl w:val="0"/>
          <w:numId w:val="1025"/>
        </w:numPr>
        <w:pStyle w:val="Compact"/>
      </w:pPr>
      <w:r>
        <w:t xml:space="preserve">Two people at pickups.</w:t>
      </w:r>
    </w:p>
    <w:bookmarkEnd w:id="47"/>
    <w:bookmarkStart w:id="48" w:name="scams-aimed-at-grieving-families"/>
    <w:p>
      <w:pPr>
        <w:pStyle w:val="Heading2"/>
      </w:pPr>
      <w:r>
        <w:t xml:space="preserve">Scams aimed at grieving families</w:t>
      </w:r>
    </w:p>
    <w:p>
      <w:pPr>
        <w:pStyle w:val="FirstParagraph"/>
      </w:pPr>
      <w:r>
        <w:t xml:space="preserve">The Pack should warn about:</w:t>
      </w:r>
    </w:p>
    <w:p>
      <w:pPr>
        <w:numPr>
          <w:ilvl w:val="0"/>
          <w:numId w:val="1026"/>
        </w:numPr>
        <w:pStyle w:val="Compact"/>
      </w:pPr>
      <w:r>
        <w:t xml:space="preserve">fake funeral-home calls demanding payment;</w:t>
      </w:r>
    </w:p>
    <w:p>
      <w:pPr>
        <w:numPr>
          <w:ilvl w:val="0"/>
          <w:numId w:val="1026"/>
        </w:numPr>
        <w:pStyle w:val="Compact"/>
      </w:pPr>
      <w:r>
        <w:t xml:space="preserve">"you inherited money" letters;</w:t>
      </w:r>
    </w:p>
    <w:p>
      <w:pPr>
        <w:numPr>
          <w:ilvl w:val="0"/>
          <w:numId w:val="1026"/>
        </w:numPr>
        <w:pStyle w:val="Compact"/>
      </w:pPr>
      <w:r>
        <w:t xml:space="preserve">overpayment checks (paying only through Stripe stops this);</w:t>
      </w:r>
    </w:p>
    <w:p>
      <w:pPr>
        <w:numPr>
          <w:ilvl w:val="0"/>
          <w:numId w:val="1026"/>
        </w:numPr>
        <w:pStyle w:val="Compact"/>
      </w:pPr>
      <w:r>
        <w:t xml:space="preserve">debt collectors who read obituaries;</w:t>
      </w:r>
    </w:p>
    <w:p>
      <w:pPr>
        <w:numPr>
          <w:ilvl w:val="0"/>
          <w:numId w:val="1026"/>
        </w:numPr>
        <w:pStyle w:val="Compact"/>
      </w:pPr>
      <w:r>
        <w:t xml:space="preserve">"heir hunters." Virginia caps their fee at 10% and voids their deals in the first 3 years. Families can search for state-held money free at vamoneysearch.gov.</w:t>
      </w:r>
    </w:p>
    <w:bookmarkEnd w:id="48"/>
    <w:bookmarkStart w:id="49" w:name="funeral-costs"/>
    <w:p>
      <w:pPr>
        <w:pStyle w:val="Heading2"/>
      </w:pPr>
      <w:r>
        <w:t xml:space="preserve">Funeral costs</w:t>
      </w:r>
    </w:p>
    <w:p>
      <w:pPr>
        <w:pStyle w:val="FirstParagraph"/>
      </w:pPr>
      <w:r>
        <w:t xml:space="preserve">The FTC Funeral Rule still requires an itemized price list and phone quotes, and bans forced packages. It is unchanged through 2026. The checklist can tell families to ask for the price list.</w:t>
      </w:r>
    </w:p>
    <w:bookmarkEnd w:id="49"/>
    <w:bookmarkEnd w:id="50"/>
    <w:bookmarkStart w:id="51" w:name="part-h-money-from-lawyers-and-realtors"/>
    <w:p>
      <w:pPr>
        <w:pStyle w:val="Heading1"/>
      </w:pPr>
      <w:r>
        <w:t xml:space="preserve">Part H. Money from lawyers and realtors</w:t>
      </w:r>
    </w:p>
    <w:p>
      <w:pPr>
        <w:numPr>
          <w:ilvl w:val="0"/>
          <w:numId w:val="1027"/>
        </w:numPr>
        <w:pStyle w:val="Compact"/>
      </w:pPr>
      <w:r>
        <w:rPr>
          <w:bCs/>
          <w:b/>
        </w:rPr>
        <w:t xml:space="preserve">Lawyers.</w:t>
      </w:r>
      <w:r>
        <w:t xml:space="preserve"> </w:t>
      </w:r>
      <w:r>
        <w:t xml:space="preserve">A Virginia lawyer may not pay anyone for</w:t>
      </w:r>
      <w:r>
        <w:t xml:space="preserve"> </w:t>
      </w:r>
      <w:r>
        <w:rPr>
          <w:iCs/>
          <w:i/>
        </w:rPr>
        <w:t xml:space="preserve">recommending</w:t>
      </w:r>
      <w:r>
        <w:t xml:space="preserve"> </w:t>
      </w:r>
      <w:r>
        <w:t xml:space="preserve">them, but may pay "the reasonable costs of advertisements," including online directory listings (Rule 7.3). Fee sharing with non-lawyers is banned (Rule 5.4).</w:t>
      </w:r>
    </w:p>
    <w:p>
      <w:pPr>
        <w:numPr>
          <w:ilvl w:val="1"/>
          <w:numId w:val="1028"/>
        </w:numPr>
        <w:pStyle w:val="Compact"/>
      </w:pPr>
      <w:r>
        <w:rPr>
          <w:bCs/>
          <w:b/>
        </w:rPr>
        <w:t xml:space="preserve">Allowed:</w:t>
      </w:r>
      <w:r>
        <w:t xml:space="preserve"> </w:t>
      </w:r>
      <w:r>
        <w:t xml:space="preserve">a flat directory or ad fee, the same for every lawyer, shown in a neutral list with "we don't recommend any lawyer."</w:t>
      </w:r>
    </w:p>
    <w:p>
      <w:pPr>
        <w:numPr>
          <w:ilvl w:val="1"/>
          <w:numId w:val="1028"/>
        </w:numPr>
        <w:pStyle w:val="Compact"/>
      </w:pPr>
      <w:r>
        <w:rPr>
          <w:bCs/>
          <w:b/>
        </w:rPr>
        <w:t xml:space="preserve">Not allowed:</w:t>
      </w:r>
      <w:r>
        <w:t xml:space="preserve"> </w:t>
      </w:r>
      <w:r>
        <w:t xml:space="preserve">paying us per referral or per client, a cut of fees, or our AI recommending a paying lawyer.</w:t>
      </w:r>
    </w:p>
    <w:p>
      <w:pPr>
        <w:numPr>
          <w:ilvl w:val="0"/>
          <w:numId w:val="1027"/>
        </w:numPr>
        <w:pStyle w:val="Compact"/>
      </w:pPr>
      <w:r>
        <w:rPr>
          <w:bCs/>
          <w:b/>
        </w:rPr>
        <w:t xml:space="preserve">Realtors (for the house).</w:t>
      </w:r>
      <w:r>
        <w:t xml:space="preserve"> </w:t>
      </w:r>
      <w:r>
        <w:t xml:space="preserve">The federal RESPA law (12 U.S.C. § 2607) and Virginia real estate rules ban referral fees to unlicensed people. Flat, equal advertising only, and no payment per closing.</w:t>
      </w:r>
    </w:p>
    <w:p>
      <w:pPr>
        <w:numPr>
          <w:ilvl w:val="0"/>
          <w:numId w:val="1027"/>
        </w:numPr>
        <w:pStyle w:val="Compact"/>
      </w:pPr>
      <w:r>
        <w:rPr>
          <w:bCs/>
          <w:b/>
        </w:rPr>
        <w:t xml:space="preserve">Estate-sale and senior-move companies need no Virginia license.</w:t>
      </w:r>
      <w:r>
        <w:t xml:space="preserve"> </w:t>
      </w:r>
      <w:r>
        <w:t xml:space="preserve">Moving belongings for pay needs DMV authority, and a household-goods certificate over 30 miles. Partners should handle hauling.</w:t>
      </w:r>
    </w:p>
    <w:bookmarkEnd w:id="51"/>
    <w:bookmarkStart w:id="52" w:name="what-to-build-our-recommendation"/>
    <w:p>
      <w:pPr>
        <w:pStyle w:val="Heading1"/>
      </w:pPr>
      <w:r>
        <w:t xml:space="preserve">What to build (our recommendation)</w:t>
      </w:r>
    </w:p>
    <w:p>
      <w:pPr>
        <w:pStyle w:val="FirstParagraph"/>
      </w:pPr>
      <w:r>
        <w:rPr>
          <w:bCs/>
          <w:b/>
        </w:rPr>
        <w:t xml:space="preserve">1. The Pack, free to start.</w:t>
      </w:r>
    </w:p>
    <w:p>
      <w:pPr>
        <w:numPr>
          <w:ilvl w:val="0"/>
          <w:numId w:val="1029"/>
        </w:numPr>
        <w:pStyle w:val="Compact"/>
      </w:pPr>
      <w:r>
        <w:t xml:space="preserve">Four to six questions: alive or passed? Is there an executor? About how much stuff? Is there a spouse? Is there a will or a list?</w:t>
      </w:r>
    </w:p>
    <w:p>
      <w:pPr>
        <w:numPr>
          <w:ilvl w:val="0"/>
          <w:numId w:val="1029"/>
        </w:numPr>
        <w:pStyle w:val="Compact"/>
      </w:pPr>
      <w:r>
        <w:t xml:space="preserve">Then a checklist with the Part C deadlines, already partly checked off (account made, questions answered).</w:t>
      </w:r>
    </w:p>
    <w:p>
      <w:pPr>
        <w:numPr>
          <w:ilvl w:val="0"/>
          <w:numId w:val="1029"/>
        </w:numPr>
        <w:pStyle w:val="Compact"/>
      </w:pPr>
      <w:r>
        <w:t xml:space="preserve">One "do this next" button.</w:t>
      </w:r>
    </w:p>
    <w:p>
      <w:pPr>
        <w:numPr>
          <w:ilvl w:val="0"/>
          <w:numId w:val="1029"/>
        </w:numPr>
        <w:pStyle w:val="Compact"/>
      </w:pPr>
      <w:r>
        <w:t xml:space="preserve">Links to the official forms.</w:t>
      </w:r>
    </w:p>
    <w:p>
      <w:pPr>
        <w:numPr>
          <w:ilvl w:val="0"/>
          <w:numId w:val="1029"/>
        </w:numPr>
        <w:pStyle w:val="Compact"/>
      </w:pPr>
      <w:r>
        <w:t xml:space="preserve">"This is information, not legal advice" on every screen.</w:t>
      </w:r>
    </w:p>
    <w:p>
      <w:pPr>
        <w:pStyle w:val="FirstParagraph"/>
      </w:pPr>
      <w:r>
        <w:rPr>
          <w:bCs/>
          <w:b/>
        </w:rPr>
        <w:t xml:space="preserve">2. Notice letters only.</w:t>
      </w:r>
      <w:r>
        <w:t xml:space="preserve"> </w:t>
      </w:r>
      <w:r>
        <w:t xml:space="preserve">Banks, utilities, credit bureaus, subscriptions and the post office, written by the AI from fixed templates. They state facts and ask for next steps. The family prints and sends them. No dispute, claim or demand letters.</w:t>
      </w:r>
    </w:p>
    <w:p>
      <w:pPr>
        <w:pStyle w:val="BodyText"/>
      </w:pPr>
      <w:r>
        <w:rPr>
          <w:bCs/>
          <w:b/>
        </w:rPr>
        <w:t xml:space="preserve">3. A "Who's selling?" step before any estate item goes live.</w:t>
      </w:r>
    </w:p>
    <w:p>
      <w:pPr>
        <w:numPr>
          <w:ilvl w:val="0"/>
          <w:numId w:val="1030"/>
        </w:numPr>
        <w:pStyle w:val="Compact"/>
      </w:pPr>
      <w:r>
        <w:t xml:space="preserve">The seller picks a situation from the Part B table and uploads the proof.</w:t>
      </w:r>
    </w:p>
    <w:p>
      <w:pPr>
        <w:numPr>
          <w:ilvl w:val="0"/>
          <w:numId w:val="1030"/>
        </w:numPr>
        <w:pStyle w:val="Compact"/>
      </w:pPr>
      <w:r>
        <w:t xml:space="preserve">Staff check it in Review. The file is deleted after the check; only the record is kept.</w:t>
      </w:r>
    </w:p>
    <w:p>
      <w:pPr>
        <w:numPr>
          <w:ilvl w:val="0"/>
          <w:numId w:val="1030"/>
        </w:numPr>
        <w:pStyle w:val="Compact"/>
      </w:pPr>
      <w:r>
        <w:t xml:space="preserve">Estate payouts are held 7–14 days.</w:t>
      </w:r>
    </w:p>
    <w:p>
      <w:pPr>
        <w:pStyle w:val="FirstParagraph"/>
      </w:pPr>
      <w:r>
        <w:rPr>
          <w:bCs/>
          <w:b/>
        </w:rPr>
        <w:t xml:space="preserve">4. A "set aside, don't list" sorter.</w:t>
      </w:r>
      <w:r>
        <w:t xml:space="preserve"> </w:t>
      </w:r>
      <w:r>
        <w:t xml:space="preserve">When photos are scanned (Sort the pile), anything on the Part F list is flagged with the plain reason and what to do instead.</w:t>
      </w:r>
    </w:p>
    <w:p>
      <w:pPr>
        <w:pStyle w:val="BodyText"/>
      </w:pPr>
      <w:r>
        <w:rPr>
          <w:bCs/>
          <w:b/>
        </w:rPr>
        <w:t xml:space="preserve">5. An estate belongings list with estimated values</w:t>
      </w:r>
      <w:r>
        <w:t xml:space="preserve">, exportable for the executor's inventory. Labeled "estimate." Jewelry, art, guns and collectibles are flagged "get a real appraisal."</w:t>
      </w:r>
    </w:p>
    <w:p>
      <w:pPr>
        <w:pStyle w:val="BodyText"/>
      </w:pPr>
      <w:r>
        <w:rPr>
          <w:bCs/>
          <w:b/>
        </w:rPr>
        <w:t xml:space="preserve">6. A sales tax fix for the whole store.</w:t>
      </w:r>
      <w:r>
        <w:t xml:space="preserve"> </w:t>
      </w:r>
      <w:r>
        <w:t xml:space="preserve">Either:</w:t>
      </w:r>
    </w:p>
    <w:p>
      <w:pPr>
        <w:numPr>
          <w:ilvl w:val="0"/>
          <w:numId w:val="1031"/>
        </w:numPr>
        <w:pStyle w:val="Compact"/>
      </w:pPr>
      <w:r>
        <w:t xml:space="preserve">(a) Stripe Tax, which is easiest but costs about 0.5% per sale, so it needs your OK; or</w:t>
      </w:r>
    </w:p>
    <w:p>
      <w:pPr>
        <w:numPr>
          <w:ilvl w:val="0"/>
          <w:numId w:val="1031"/>
        </w:numPr>
        <w:pStyle w:val="Compact"/>
      </w:pPr>
      <w:r>
        <w:t xml:space="preserve">(b) our own free Virginia rate-by-ZIP table from Virginia Tax's published rates, which costs nothing but we must keep it current.</w:t>
      </w:r>
    </w:p>
    <w:p>
      <w:pPr>
        <w:pStyle w:val="FirstParagraph"/>
      </w:pPr>
      <w:r>
        <w:rPr>
          <w:bCs/>
          <w:b/>
        </w:rPr>
        <w:t xml:space="preserve">We recommend (b) to keep costs at zero.</w:t>
      </w:r>
      <w:r>
        <w:t xml:space="preserve"> </w:t>
      </w:r>
      <w:r>
        <w:t xml:space="preserve">Either way, register with Virginia Tax if the warehouse business isn't already registered.</w:t>
      </w:r>
    </w:p>
    <w:p>
      <w:pPr>
        <w:pStyle w:val="BodyText"/>
      </w:pPr>
      <w:r>
        <w:rPr>
          <w:bCs/>
          <w:b/>
        </w:rPr>
        <w:t xml:space="preserve">7. Small fixes:</w:t>
      </w:r>
    </w:p>
    <w:p>
      <w:pPr>
        <w:numPr>
          <w:ilvl w:val="0"/>
          <w:numId w:val="1032"/>
        </w:numPr>
        <w:pStyle w:val="Compact"/>
      </w:pPr>
      <w:r>
        <w:t xml:space="preserve">"Secondhand watch" added automatically to watch listings.</w:t>
      </w:r>
    </w:p>
    <w:p>
      <w:pPr>
        <w:numPr>
          <w:ilvl w:val="0"/>
          <w:numId w:val="1032"/>
        </w:numPr>
        <w:pStyle w:val="Compact"/>
      </w:pPr>
      <w:r>
        <w:t xml:space="preserve">The consignment agreement updated with the Part D clauses.</w:t>
      </w:r>
    </w:p>
    <w:p>
      <w:pPr>
        <w:numPr>
          <w:ilvl w:val="0"/>
          <w:numId w:val="1032"/>
        </w:numPr>
        <w:pStyle w:val="Compact"/>
      </w:pPr>
      <w:r>
        <w:t xml:space="preserve">A 5-year unclaimed-money reminder in Operations.</w:t>
      </w:r>
    </w:p>
    <w:p>
      <w:pPr>
        <w:pStyle w:val="FirstParagraph"/>
      </w:pPr>
      <w:r>
        <w:rPr>
          <w:bCs/>
          <w:b/>
        </w:rPr>
        <w:t xml:space="preserve">Pricing:</w:t>
      </w:r>
      <w:r>
        <w:t xml:space="preserve"> </w:t>
      </w:r>
      <w:r>
        <w:t xml:space="preserve">the checklist and notice letters stay free (they bring families in). The paid part is the selling, through the normal commission. That keeps the Pack well away from "paid legal advice," which is the riskiest combination under Virginia's rule.</w:t>
      </w:r>
    </w:p>
    <w:bookmarkEnd w:id="52"/>
    <w:bookmarkStart w:id="53" w:name="X4bf315459caa2d69b225ca37af39f3f93619c8e"/>
    <w:p>
      <w:pPr>
        <w:pStyle w:val="Heading1"/>
      </w:pPr>
      <w:r>
        <w:t xml:space="preserve">The short list for a Virginia lawyer, Stripe and the state</w:t>
      </w:r>
    </w:p>
    <w:p>
      <w:pPr>
        <w:pStyle w:val="FirstParagraph"/>
      </w:pPr>
      <w:r>
        <w:rPr>
          <w:bCs/>
          <w:b/>
        </w:rPr>
        <w:t xml:space="preserve">For one paid consult with a Virginia lawyer (bring this report):</w:t>
      </w:r>
    </w:p>
    <w:p>
      <w:pPr>
        <w:numPr>
          <w:ilvl w:val="0"/>
          <w:numId w:val="1033"/>
        </w:numPr>
        <w:pStyle w:val="Compact"/>
      </w:pPr>
      <w:r>
        <w:t xml:space="preserve">Do notice-only letters drafted by AI from fixed templates fall inside the "selling legal forms" exclusion, or outside the practice of law entirely? (UPL Opinions 219 and 056)</w:t>
      </w:r>
    </w:p>
    <w:p>
      <w:pPr>
        <w:numPr>
          <w:ilvl w:val="0"/>
          <w:numId w:val="1033"/>
        </w:numPr>
        <w:pStyle w:val="Compact"/>
      </w:pPr>
      <w:r>
        <w:t xml:space="preserve">With the Pack free and paid only through sale commissions, does anything count as "advice for compensation"?</w:t>
      </w:r>
    </w:p>
    <w:p>
      <w:pPr>
        <w:numPr>
          <w:ilvl w:val="0"/>
          <w:numId w:val="1033"/>
        </w:numPr>
        <w:pStyle w:val="Compact"/>
      </w:pPr>
      <w:r>
        <w:t xml:space="preserve">Our liability as a good-faith consignee if an heir without authority consigns goods (Virginia conversion law), and the best indemnity and hold wording.</w:t>
      </w:r>
    </w:p>
    <w:p>
      <w:pPr>
        <w:numPr>
          <w:ilvl w:val="0"/>
          <w:numId w:val="1033"/>
        </w:numPr>
        <w:pStyle w:val="Compact"/>
      </w:pPr>
      <w:r>
        <w:t xml:space="preserve">Executor buying estate items through us: what consent we should require.</w:t>
      </w:r>
    </w:p>
    <w:p>
      <w:pPr>
        <w:numPr>
          <w:ilvl w:val="0"/>
          <w:numId w:val="1033"/>
        </w:numPr>
        <w:pStyle w:val="Compact"/>
      </w:pPr>
      <w:r>
        <w:t xml:space="preserve">Whether pay-per-lead ads from lawyers are allowed if we never recommend.</w:t>
      </w:r>
    </w:p>
    <w:p>
      <w:pPr>
        <w:numPr>
          <w:ilvl w:val="0"/>
          <w:numId w:val="1033"/>
        </w:numPr>
        <w:pStyle w:val="Compact"/>
      </w:pPr>
      <w:r>
        <w:t xml:space="preserve">Whether Virginia's sales tax agent rule (23VAC10-210-140) applies to our seller-listed sales below the marketplace threshold, or only to warehouse consignment.</w:t>
      </w:r>
    </w:p>
    <w:p>
      <w:pPr>
        <w:pStyle w:val="FirstParagraph"/>
      </w:pPr>
      <w:r>
        <w:rPr>
          <w:bCs/>
          <w:b/>
        </w:rPr>
        <w:t xml:space="preserve">For Stripe support (Claude can send this):</w:t>
      </w:r>
      <w:r>
        <w:t xml:space="preserve"> </w:t>
      </w:r>
      <w:r>
        <w:t xml:space="preserve">Can an estate onboard as a company with its EIN and the executor as representative?</w:t>
      </w:r>
    </w:p>
    <w:p>
      <w:pPr>
        <w:pStyle w:val="BodyText"/>
      </w:pPr>
      <w:r>
        <w:rPr>
          <w:bCs/>
          <w:b/>
        </w:rPr>
        <w:t xml:space="preserve">For Virginia Tax and our local Commissioner of the Revenue:</w:t>
      </w:r>
      <w:r>
        <w:t xml:space="preserve"> </w:t>
      </w:r>
      <w:r>
        <w:t xml:space="preserve">Confirm the sales tax registration, and whether our local business license is taxed on full sales or on commission only.</w:t>
      </w:r>
    </w:p>
    <w:bookmarkEnd w:id="53"/>
    <w:bookmarkStart w:id="130" w:name="sources"/>
    <w:p>
      <w:pPr>
        <w:pStyle w:val="Heading1"/>
      </w:pPr>
      <w:r>
        <w:t xml:space="preserve">Sources</w:t>
      </w:r>
    </w:p>
    <w:p>
      <w:pPr>
        <w:pStyle w:val="FirstParagraph"/>
      </w:pPr>
      <w:r>
        <w:t xml:space="preserve">All retrieved October 1, 2026.</w:t>
      </w:r>
    </w:p>
    <w:p>
      <w:pPr>
        <w:pStyle w:val="BodyText"/>
      </w:pPr>
      <w:r>
        <w:rPr>
          <w:bCs/>
          <w:b/>
        </w:rPr>
        <w:t xml:space="preserve">Virginia law</w:t>
      </w:r>
    </w:p>
    <w:p>
      <w:pPr>
        <w:numPr>
          <w:ilvl w:val="0"/>
          <w:numId w:val="1034"/>
        </w:numPr>
        <w:pStyle w:val="Compact"/>
      </w:pPr>
      <w:hyperlink r:id="rId54">
        <w:r>
          <w:rPr>
            <w:rStyle w:val="Hyperlink"/>
          </w:rPr>
          <w:t xml:space="preserve">Code of Virginia, Title 64.2 (Wills, Trusts and Fiduciaries)</w:t>
        </w:r>
      </w:hyperlink>
      <w:r>
        <w:t xml:space="preserve">, including</w:t>
      </w:r>
      <w:r>
        <w:t xml:space="preserve"> </w:t>
      </w:r>
      <w:hyperlink r:id="rId55">
        <w:r>
          <w:rPr>
            <w:rStyle w:val="Hyperlink"/>
          </w:rPr>
          <w:t xml:space="preserve">§ 64.2-601</w:t>
        </w:r>
      </w:hyperlink>
      <w:r>
        <w:t xml:space="preserve">,</w:t>
      </w:r>
      <w:r>
        <w:t xml:space="preserve"> </w:t>
      </w:r>
      <w:hyperlink r:id="rId56">
        <w:r>
          <w:rPr>
            <w:rStyle w:val="Hyperlink"/>
          </w:rPr>
          <w:t xml:space="preserve">§ 64.2-1300</w:t>
        </w:r>
      </w:hyperlink>
      <w:r>
        <w:t xml:space="preserve">,</w:t>
      </w:r>
      <w:r>
        <w:t xml:space="preserve"> </w:t>
      </w:r>
      <w:hyperlink r:id="rId57">
        <w:r>
          <w:rPr>
            <w:rStyle w:val="Hyperlink"/>
          </w:rPr>
          <w:t xml:space="preserve">§ 64.2-1608</w:t>
        </w:r>
      </w:hyperlink>
      <w:r>
        <w:t xml:space="preserve">,</w:t>
      </w:r>
      <w:r>
        <w:t xml:space="preserve"> </w:t>
      </w:r>
      <w:hyperlink r:id="rId58">
        <w:r>
          <w:rPr>
            <w:rStyle w:val="Hyperlink"/>
          </w:rPr>
          <w:t xml:space="preserve">§ 64.2-1617</w:t>
        </w:r>
      </w:hyperlink>
      <w:r>
        <w:t xml:space="preserve">,</w:t>
      </w:r>
      <w:r>
        <w:t xml:space="preserve"> </w:t>
      </w:r>
      <w:hyperlink r:id="rId59">
        <w:r>
          <w:rPr>
            <w:rStyle w:val="Hyperlink"/>
          </w:rPr>
          <w:t xml:space="preserve">§§ 64.2-309 to -311</w:t>
        </w:r>
      </w:hyperlink>
    </w:p>
    <w:p>
      <w:pPr>
        <w:numPr>
          <w:ilvl w:val="0"/>
          <w:numId w:val="1034"/>
        </w:numPr>
        <w:pStyle w:val="Compact"/>
      </w:pPr>
      <w:hyperlink r:id="rId60">
        <w:r>
          <w:rPr>
            <w:rStyle w:val="Hyperlink"/>
          </w:rPr>
          <w:t xml:space="preserve">Virginia court forms list</w:t>
        </w:r>
      </w:hyperlink>
      <w:r>
        <w:t xml:space="preserve"> </w:t>
      </w:r>
      <w:r>
        <w:t xml:space="preserve">and</w:t>
      </w:r>
      <w:r>
        <w:t xml:space="preserve"> </w:t>
      </w:r>
      <w:hyperlink r:id="rId61">
        <w:r>
          <w:rPr>
            <w:rStyle w:val="Hyperlink"/>
          </w:rPr>
          <w:t xml:space="preserve">CC-1685 instructions</w:t>
        </w:r>
      </w:hyperlink>
    </w:p>
    <w:p>
      <w:pPr>
        <w:numPr>
          <w:ilvl w:val="0"/>
          <w:numId w:val="1034"/>
        </w:numPr>
        <w:pStyle w:val="Compact"/>
      </w:pPr>
      <w:hyperlink r:id="rId62">
        <w:r>
          <w:rPr>
            <w:rStyle w:val="Hyperlink"/>
          </w:rPr>
          <w:t xml:space="preserve">Rules of the Supreme Court of Virginia, Part 6 §I</w:t>
        </w:r>
      </w:hyperlink>
      <w:r>
        <w:t xml:space="preserve"> </w:t>
      </w:r>
      <w:r>
        <w:t xml:space="preserve">·</w:t>
      </w:r>
      <w:r>
        <w:t xml:space="preserve"> </w:t>
      </w:r>
      <w:hyperlink r:id="rId63">
        <w:r>
          <w:rPr>
            <w:rStyle w:val="Hyperlink"/>
          </w:rPr>
          <w:t xml:space="preserve">VSB UPL opinions</w:t>
        </w:r>
      </w:hyperlink>
      <w:r>
        <w:t xml:space="preserve"> </w:t>
      </w:r>
      <w:r>
        <w:t xml:space="preserve">·</w:t>
      </w:r>
      <w:r>
        <w:t xml:space="preserve"> </w:t>
      </w:r>
      <w:hyperlink r:id="rId64">
        <w:r>
          <w:rPr>
            <w:rStyle w:val="Hyperlink"/>
          </w:rPr>
          <w:t xml:space="preserve">UPL Op. 219</w:t>
        </w:r>
      </w:hyperlink>
      <w:r>
        <w:t xml:space="preserve"> </w:t>
      </w:r>
      <w:r>
        <w:t xml:space="preserve">·</w:t>
      </w:r>
      <w:r>
        <w:t xml:space="preserve"> </w:t>
      </w:r>
      <w:hyperlink r:id="rId65">
        <w:r>
          <w:rPr>
            <w:rStyle w:val="Hyperlink"/>
          </w:rPr>
          <w:t xml:space="preserve">Rules 7.1–7.5 amendments</w:t>
        </w:r>
      </w:hyperlink>
    </w:p>
    <w:p>
      <w:pPr>
        <w:numPr>
          <w:ilvl w:val="0"/>
          <w:numId w:val="1034"/>
        </w:numPr>
        <w:pStyle w:val="Compact"/>
      </w:pPr>
      <w:hyperlink r:id="rId66">
        <w:r>
          <w:rPr>
            <w:rStyle w:val="Hyperlink"/>
          </w:rPr>
          <w:t xml:space="preserve">Auctioneers law, Title 54.1 ch. 6</w:t>
        </w:r>
      </w:hyperlink>
      <w:r>
        <w:t xml:space="preserve"> </w:t>
      </w:r>
      <w:r>
        <w:t xml:space="preserve">·</w:t>
      </w:r>
      <w:r>
        <w:t xml:space="preserve"> </w:t>
      </w:r>
      <w:hyperlink r:id="rId67">
        <w:r>
          <w:rPr>
            <w:rStyle w:val="Hyperlink"/>
          </w:rPr>
          <w:t xml:space="preserve">DPOR Auctioneers Board FAQ</w:t>
        </w:r>
      </w:hyperlink>
      <w:r>
        <w:t xml:space="preserve"> </w:t>
      </w:r>
      <w:r>
        <w:t xml:space="preserve">·</w:t>
      </w:r>
      <w:r>
        <w:t xml:space="preserve"> </w:t>
      </w:r>
      <w:hyperlink r:id="rId68">
        <w:r>
          <w:rPr>
            <w:rStyle w:val="Hyperlink"/>
          </w:rPr>
          <w:t xml:space="preserve">18VAC25-21</w:t>
        </w:r>
      </w:hyperlink>
    </w:p>
    <w:p>
      <w:pPr>
        <w:numPr>
          <w:ilvl w:val="0"/>
          <w:numId w:val="1034"/>
        </w:numPr>
        <w:pStyle w:val="Compact"/>
      </w:pPr>
      <w:hyperlink r:id="rId69">
        <w:r>
          <w:rPr>
            <w:rStyle w:val="Hyperlink"/>
          </w:rPr>
          <w:t xml:space="preserve">Precious metals dealers, Title 54.1 ch. 41</w:t>
        </w:r>
      </w:hyperlink>
      <w:r>
        <w:t xml:space="preserve"> </w:t>
      </w:r>
      <w:r>
        <w:t xml:space="preserve">·</w:t>
      </w:r>
      <w:r>
        <w:t xml:space="preserve"> </w:t>
      </w:r>
      <w:hyperlink r:id="rId70">
        <w:r>
          <w:rPr>
            <w:rStyle w:val="Hyperlink"/>
          </w:rPr>
          <w:t xml:space="preserve">Secondhand watches, Title 59.1 ch. 9</w:t>
        </w:r>
      </w:hyperlink>
    </w:p>
    <w:p>
      <w:pPr>
        <w:numPr>
          <w:ilvl w:val="0"/>
          <w:numId w:val="1034"/>
        </w:numPr>
        <w:pStyle w:val="Compact"/>
      </w:pPr>
      <w:hyperlink r:id="rId71">
        <w:r>
          <w:rPr>
            <w:rStyle w:val="Hyperlink"/>
          </w:rPr>
          <w:t xml:space="preserve">§ 58.1-612.1 marketplace facilitator</w:t>
        </w:r>
      </w:hyperlink>
      <w:r>
        <w:t xml:space="preserve"> </w:t>
      </w:r>
      <w:r>
        <w:t xml:space="preserve">·</w:t>
      </w:r>
      <w:r>
        <w:t xml:space="preserve"> </w:t>
      </w:r>
      <w:hyperlink r:id="rId72">
        <w:r>
          <w:rPr>
            <w:rStyle w:val="Hyperlink"/>
          </w:rPr>
          <w:t xml:space="preserve">23VAC10-210-140</w:t>
        </w:r>
      </w:hyperlink>
      <w:r>
        <w:t xml:space="preserve"> </w:t>
      </w:r>
      <w:r>
        <w:t xml:space="preserve">·</w:t>
      </w:r>
      <w:r>
        <w:t xml:space="preserve"> </w:t>
      </w:r>
      <w:hyperlink r:id="rId73">
        <w:r>
          <w:rPr>
            <w:rStyle w:val="Hyperlink"/>
          </w:rPr>
          <w:t xml:space="preserve">Virginia sales tax rates</w:t>
        </w:r>
      </w:hyperlink>
      <w:r>
        <w:t xml:space="preserve"> </w:t>
      </w:r>
      <w:r>
        <w:t xml:space="preserve">·</w:t>
      </w:r>
      <w:r>
        <w:t xml:space="preserve"> </w:t>
      </w:r>
      <w:hyperlink r:id="rId74">
        <w:r>
          <w:rPr>
            <w:rStyle w:val="Hyperlink"/>
          </w:rPr>
          <w:t xml:space="preserve">2026 Virginia tax legislative summary</w:t>
        </w:r>
      </w:hyperlink>
      <w:r>
        <w:t xml:space="preserve"> </w:t>
      </w:r>
      <w:r>
        <w:t xml:space="preserve">·</w:t>
      </w:r>
      <w:r>
        <w:t xml:space="preserve"> </w:t>
      </w:r>
      <w:hyperlink r:id="rId75">
        <w:r>
          <w:rPr>
            <w:rStyle w:val="Hyperlink"/>
          </w:rPr>
          <w:t xml:space="preserve">Tax Bulletin 20-10</w:t>
        </w:r>
      </w:hyperlink>
      <w:r>
        <w:t xml:space="preserve"> </w:t>
      </w:r>
      <w:r>
        <w:t xml:space="preserve">·</w:t>
      </w:r>
      <w:r>
        <w:t xml:space="preserve"> </w:t>
      </w:r>
      <w:hyperlink r:id="rId76">
        <w:r>
          <w:rPr>
            <w:rStyle w:val="Hyperlink"/>
          </w:rPr>
          <w:t xml:space="preserve">Estate and inheritance taxes</w:t>
        </w:r>
      </w:hyperlink>
      <w:r>
        <w:t xml:space="preserve"> </w:t>
      </w:r>
      <w:r>
        <w:t xml:space="preserve">·</w:t>
      </w:r>
      <w:r>
        <w:t xml:space="preserve"> </w:t>
      </w:r>
      <w:hyperlink r:id="rId77">
        <w:r>
          <w:rPr>
            <w:rStyle w:val="Hyperlink"/>
          </w:rPr>
          <w:t xml:space="preserve">Probate tax</w:t>
        </w:r>
      </w:hyperlink>
    </w:p>
    <w:p>
      <w:pPr>
        <w:numPr>
          <w:ilvl w:val="0"/>
          <w:numId w:val="1034"/>
        </w:numPr>
        <w:pStyle w:val="Compact"/>
      </w:pPr>
      <w:hyperlink r:id="rId78">
        <w:r>
          <w:rPr>
            <w:rStyle w:val="Hyperlink"/>
          </w:rPr>
          <w:t xml:space="preserve">Consumer Protection Act § 59.1-200</w:t>
        </w:r>
      </w:hyperlink>
      <w:r>
        <w:t xml:space="preserve"> </w:t>
      </w:r>
      <w:r>
        <w:t xml:space="preserve">·</w:t>
      </w:r>
      <w:r>
        <w:t xml:space="preserve"> </w:t>
      </w:r>
      <w:hyperlink r:id="rId79">
        <w:r>
          <w:rPr>
            <w:rStyle w:val="Hyperlink"/>
          </w:rPr>
          <w:t xml:space="preserve">UCC § 8.2-403</w:t>
        </w:r>
      </w:hyperlink>
      <w:r>
        <w:t xml:space="preserve"> </w:t>
      </w:r>
      <w:r>
        <w:t xml:space="preserve">·</w:t>
      </w:r>
      <w:r>
        <w:t xml:space="preserve"> </w:t>
      </w:r>
      <w:hyperlink r:id="rId80">
        <w:r>
          <w:rPr>
            <w:rStyle w:val="Hyperlink"/>
          </w:rPr>
          <w:t xml:space="preserve">UCC § 8.9A-102</w:t>
        </w:r>
      </w:hyperlink>
    </w:p>
    <w:p>
      <w:pPr>
        <w:numPr>
          <w:ilvl w:val="0"/>
          <w:numId w:val="1034"/>
        </w:numPr>
        <w:pStyle w:val="Compact"/>
      </w:pPr>
      <w:hyperlink r:id="rId81">
        <w:r>
          <w:rPr>
            <w:rStyle w:val="Hyperlink"/>
          </w:rPr>
          <w:t xml:space="preserve">§ 18.2-178.1</w:t>
        </w:r>
      </w:hyperlink>
      <w:r>
        <w:t xml:space="preserve"> </w:t>
      </w:r>
      <w:r>
        <w:t xml:space="preserve">·</w:t>
      </w:r>
      <w:r>
        <w:t xml:space="preserve"> </w:t>
      </w:r>
      <w:hyperlink r:id="rId82">
        <w:r>
          <w:rPr>
            <w:rStyle w:val="Hyperlink"/>
          </w:rPr>
          <w:t xml:space="preserve">§ 63.2-1606</w:t>
        </w:r>
      </w:hyperlink>
      <w:r>
        <w:t xml:space="preserve"> </w:t>
      </w:r>
      <w:r>
        <w:t xml:space="preserve">·</w:t>
      </w:r>
      <w:r>
        <w:t xml:space="preserve"> </w:t>
      </w:r>
      <w:hyperlink r:id="rId83">
        <w:r>
          <w:rPr>
            <w:rStyle w:val="Hyperlink"/>
          </w:rPr>
          <w:t xml:space="preserve">APS hotline</w:t>
        </w:r>
      </w:hyperlink>
      <w:r>
        <w:t xml:space="preserve"> </w:t>
      </w:r>
      <w:r>
        <w:t xml:space="preserve">·</w:t>
      </w:r>
      <w:r>
        <w:t xml:space="preserve"> </w:t>
      </w:r>
      <w:hyperlink r:id="rId84">
        <w:r>
          <w:rPr>
            <w:rStyle w:val="Hyperlink"/>
          </w:rPr>
          <w:t xml:space="preserve">§ 18.2-186.6 breach notice</w:t>
        </w:r>
      </w:hyperlink>
      <w:r>
        <w:t xml:space="preserve"> </w:t>
      </w:r>
      <w:r>
        <w:t xml:space="preserve">·</w:t>
      </w:r>
      <w:r>
        <w:t xml:space="preserve"> </w:t>
      </w:r>
      <w:hyperlink r:id="rId85">
        <w:r>
          <w:rPr>
            <w:rStyle w:val="Hyperlink"/>
          </w:rPr>
          <w:t xml:space="preserve">VCDPA § 59.1-576</w:t>
        </w:r>
      </w:hyperlink>
      <w:r>
        <w:t xml:space="preserve"> </w:t>
      </w:r>
      <w:r>
        <w:t xml:space="preserve">·</w:t>
      </w:r>
      <w:r>
        <w:t xml:space="preserve"> </w:t>
      </w:r>
      <w:hyperlink r:id="rId86">
        <w:r>
          <w:rPr>
            <w:rStyle w:val="Hyperlink"/>
          </w:rPr>
          <w:t xml:space="preserve">Unclaimed property, Title 55.1 ch. 25</w:t>
        </w:r>
      </w:hyperlink>
    </w:p>
    <w:p>
      <w:pPr>
        <w:numPr>
          <w:ilvl w:val="0"/>
          <w:numId w:val="1034"/>
        </w:numPr>
        <w:pStyle w:val="Compact"/>
      </w:pPr>
      <w:hyperlink r:id="rId87">
        <w:r>
          <w:rPr>
            <w:rStyle w:val="Hyperlink"/>
          </w:rPr>
          <w:t xml:space="preserve">§ 18.2-308.2:5 background checks</w:t>
        </w:r>
      </w:hyperlink>
      <w:r>
        <w:t xml:space="preserve"> </w:t>
      </w:r>
      <w:r>
        <w:t xml:space="preserve">·</w:t>
      </w:r>
      <w:r>
        <w:t xml:space="preserve"> </w:t>
      </w:r>
      <w:hyperlink r:id="rId88">
        <w:r>
          <w:rPr>
            <w:rStyle w:val="Hyperlink"/>
          </w:rPr>
          <w:t xml:space="preserve">HB 217 (2026)</w:t>
        </w:r>
      </w:hyperlink>
      <w:r>
        <w:t xml:space="preserve"> </w:t>
      </w:r>
      <w:r>
        <w:t xml:space="preserve">·</w:t>
      </w:r>
      <w:r>
        <w:t xml:space="preserve"> </w:t>
      </w:r>
      <w:hyperlink r:id="rId89">
        <w:r>
          <w:rPr>
            <w:rStyle w:val="Hyperlink"/>
          </w:rPr>
          <w:t xml:space="preserve">§ 18.2-311</w:t>
        </w:r>
      </w:hyperlink>
      <w:r>
        <w:t xml:space="preserve"> </w:t>
      </w:r>
      <w:r>
        <w:t xml:space="preserve">·</w:t>
      </w:r>
      <w:r>
        <w:t xml:space="preserve"> </w:t>
      </w:r>
      <w:hyperlink r:id="rId90">
        <w:r>
          <w:rPr>
            <w:rStyle w:val="Hyperlink"/>
          </w:rPr>
          <w:t xml:space="preserve">§ 4.1-212</w:t>
        </w:r>
      </w:hyperlink>
      <w:r>
        <w:t xml:space="preserve"> </w:t>
      </w:r>
      <w:r>
        <w:t xml:space="preserve">·</w:t>
      </w:r>
      <w:r>
        <w:t xml:space="preserve"> </w:t>
      </w:r>
      <w:hyperlink r:id="rId91">
        <w:r>
          <w:rPr>
            <w:rStyle w:val="Hyperlink"/>
          </w:rPr>
          <w:t xml:space="preserve">ABC one-time sale</w:t>
        </w:r>
      </w:hyperlink>
      <w:r>
        <w:t xml:space="preserve"> </w:t>
      </w:r>
      <w:r>
        <w:t xml:space="preserve">·</w:t>
      </w:r>
      <w:r>
        <w:t xml:space="preserve"> </w:t>
      </w:r>
      <w:hyperlink r:id="rId92">
        <w:r>
          <w:rPr>
            <w:rStyle w:val="Hyperlink"/>
          </w:rPr>
          <w:t xml:space="preserve">ABC tobacco permits</w:t>
        </w:r>
      </w:hyperlink>
    </w:p>
    <w:p>
      <w:pPr>
        <w:numPr>
          <w:ilvl w:val="0"/>
          <w:numId w:val="1034"/>
        </w:numPr>
        <w:pStyle w:val="Compact"/>
      </w:pPr>
      <w:hyperlink r:id="rId93">
        <w:r>
          <w:rPr>
            <w:rStyle w:val="Hyperlink"/>
          </w:rPr>
          <w:t xml:space="preserve">DMV deceased owner title guide</w:t>
        </w:r>
      </w:hyperlink>
      <w:r>
        <w:t xml:space="preserve"> </w:t>
      </w:r>
      <w:r>
        <w:t xml:space="preserve">·</w:t>
      </w:r>
      <w:r>
        <w:t xml:space="preserve"> </w:t>
      </w:r>
      <w:hyperlink r:id="rId94">
        <w:r>
          <w:rPr>
            <w:rStyle w:val="Hyperlink"/>
          </w:rPr>
          <w:t xml:space="preserve">Fairfax fiduciary fees</w:t>
        </w:r>
      </w:hyperlink>
    </w:p>
    <w:p>
      <w:pPr>
        <w:pStyle w:val="FirstParagraph"/>
      </w:pPr>
      <w:r>
        <w:rPr>
          <w:bCs/>
          <w:b/>
        </w:rPr>
        <w:t xml:space="preserve">Federal</w:t>
      </w:r>
    </w:p>
    <w:p>
      <w:pPr>
        <w:numPr>
          <w:ilvl w:val="0"/>
          <w:numId w:val="1035"/>
        </w:numPr>
        <w:pStyle w:val="Compact"/>
      </w:pPr>
      <w:hyperlink r:id="rId95">
        <w:r>
          <w:rPr>
            <w:rStyle w:val="Hyperlink"/>
          </w:rPr>
          <w:t xml:space="preserve">IRS Pub. 559</w:t>
        </w:r>
      </w:hyperlink>
      <w:r>
        <w:t xml:space="preserve"> </w:t>
      </w:r>
      <w:r>
        <w:t xml:space="preserve">·</w:t>
      </w:r>
      <w:r>
        <w:t xml:space="preserve"> </w:t>
      </w:r>
      <w:hyperlink r:id="rId96">
        <w:r>
          <w:rPr>
            <w:rStyle w:val="Hyperlink"/>
          </w:rPr>
          <w:t xml:space="preserve">IRS 1099-K threshold FAQ</w:t>
        </w:r>
      </w:hyperlink>
      <w:r>
        <w:t xml:space="preserve"> </w:t>
      </w:r>
      <w:r>
        <w:t xml:space="preserve">·</w:t>
      </w:r>
      <w:r>
        <w:t xml:space="preserve"> </w:t>
      </w:r>
      <w:hyperlink r:id="rId97">
        <w:r>
          <w:rPr>
            <w:rStyle w:val="Hyperlink"/>
          </w:rPr>
          <w:t xml:space="preserve">IRS 2026 inflation adjustments</w:t>
        </w:r>
      </w:hyperlink>
      <w:r>
        <w:t xml:space="preserve"> </w:t>
      </w:r>
      <w:r>
        <w:t xml:space="preserve">·</w:t>
      </w:r>
      <w:r>
        <w:t xml:space="preserve"> </w:t>
      </w:r>
      <w:hyperlink r:id="rId98">
        <w:r>
          <w:rPr>
            <w:rStyle w:val="Hyperlink"/>
          </w:rPr>
          <w:t xml:space="preserve">IRS Form 56 instructions</w:t>
        </w:r>
      </w:hyperlink>
      <w:r>
        <w:t xml:space="preserve"> </w:t>
      </w:r>
      <w:r>
        <w:t xml:space="preserve">·</w:t>
      </w:r>
      <w:r>
        <w:t xml:space="preserve"> </w:t>
      </w:r>
      <w:hyperlink r:id="rId99">
        <w:r>
          <w:rPr>
            <w:rStyle w:val="Hyperlink"/>
          </w:rPr>
          <w:t xml:space="preserve">IRS identity theft guide</w:t>
        </w:r>
      </w:hyperlink>
      <w:r>
        <w:t xml:space="preserve"> </w:t>
      </w:r>
      <w:r>
        <w:t xml:space="preserve">·</w:t>
      </w:r>
      <w:r>
        <w:t xml:space="preserve"> </w:t>
      </w:r>
      <w:hyperlink r:id="rId100">
        <w:r>
          <w:rPr>
            <w:rStyle w:val="Hyperlink"/>
          </w:rPr>
          <w:t xml:space="preserve">IRS Topic 506</w:t>
        </w:r>
      </w:hyperlink>
    </w:p>
    <w:p>
      <w:pPr>
        <w:numPr>
          <w:ilvl w:val="0"/>
          <w:numId w:val="1035"/>
        </w:numPr>
        <w:pStyle w:val="Compact"/>
      </w:pPr>
      <w:hyperlink r:id="rId101">
        <w:r>
          <w:rPr>
            <w:rStyle w:val="Hyperlink"/>
          </w:rPr>
          <w:t xml:space="preserve">FTC DoNotPay order</w:t>
        </w:r>
      </w:hyperlink>
      <w:r>
        <w:t xml:space="preserve"> </w:t>
      </w:r>
      <w:r>
        <w:t xml:space="preserve">·</w:t>
      </w:r>
      <w:r>
        <w:t xml:space="preserve"> </w:t>
      </w:r>
      <w:hyperlink r:id="rId102">
        <w:r>
          <w:rPr>
            <w:rStyle w:val="Hyperlink"/>
          </w:rPr>
          <w:t xml:space="preserve">FTC reviews rule, 16 CFR 465</w:t>
        </w:r>
      </w:hyperlink>
      <w:r>
        <w:t xml:space="preserve"> </w:t>
      </w:r>
      <w:r>
        <w:t xml:space="preserve">·</w:t>
      </w:r>
      <w:r>
        <w:t xml:space="preserve"> </w:t>
      </w:r>
      <w:hyperlink r:id="rId103">
        <w:r>
          <w:rPr>
            <w:rStyle w:val="Hyperlink"/>
          </w:rPr>
          <w:t xml:space="preserve">FTC Jewelry Guides, 16 CFR 23</w:t>
        </w:r>
      </w:hyperlink>
      <w:r>
        <w:t xml:space="preserve"> </w:t>
      </w:r>
      <w:r>
        <w:t xml:space="preserve">·</w:t>
      </w:r>
      <w:r>
        <w:t xml:space="preserve"> </w:t>
      </w:r>
      <w:hyperlink r:id="rId104">
        <w:r>
          <w:rPr>
            <w:rStyle w:val="Hyperlink"/>
          </w:rPr>
          <w:t xml:space="preserve">FTC Funeral Rule</w:t>
        </w:r>
      </w:hyperlink>
      <w:r>
        <w:t xml:space="preserve"> </w:t>
      </w:r>
      <w:r>
        <w:t xml:space="preserve">·</w:t>
      </w:r>
      <w:r>
        <w:t xml:space="preserve"> </w:t>
      </w:r>
      <w:hyperlink r:id="rId105">
        <w:r>
          <w:rPr>
            <w:rStyle w:val="Hyperlink"/>
          </w:rPr>
          <w:t xml:space="preserve">FTC funeral imposter alert</w:t>
        </w:r>
      </w:hyperlink>
    </w:p>
    <w:p>
      <w:pPr>
        <w:numPr>
          <w:ilvl w:val="0"/>
          <w:numId w:val="1035"/>
        </w:numPr>
        <w:pStyle w:val="Compact"/>
      </w:pPr>
      <w:hyperlink r:id="rId106">
        <w:r>
          <w:rPr>
            <w:rStyle w:val="Hyperlink"/>
          </w:rPr>
          <w:t xml:space="preserve">SSA: when someone dies</w:t>
        </w:r>
      </w:hyperlink>
      <w:r>
        <w:t xml:space="preserve"> </w:t>
      </w:r>
      <w:r>
        <w:t xml:space="preserve">·</w:t>
      </w:r>
      <w:r>
        <w:t xml:space="preserve"> </w:t>
      </w:r>
      <w:hyperlink r:id="rId107">
        <w:r>
          <w:rPr>
            <w:rStyle w:val="Hyperlink"/>
          </w:rPr>
          <w:t xml:space="preserve">CFPB: debt collectors and obituaries</w:t>
        </w:r>
      </w:hyperlink>
    </w:p>
    <w:p>
      <w:pPr>
        <w:numPr>
          <w:ilvl w:val="0"/>
          <w:numId w:val="1035"/>
        </w:numPr>
        <w:pStyle w:val="Compact"/>
      </w:pPr>
      <w:hyperlink r:id="rId108">
        <w:r>
          <w:rPr>
            <w:rStyle w:val="Hyperlink"/>
          </w:rPr>
          <w:t xml:space="preserve">CPSC Resellers Guide</w:t>
        </w:r>
      </w:hyperlink>
      <w:r>
        <w:t xml:space="preserve"> </w:t>
      </w:r>
      <w:r>
        <w:t xml:space="preserve">·</w:t>
      </w:r>
      <w:r>
        <w:t xml:space="preserve"> </w:t>
      </w:r>
      <w:hyperlink r:id="rId109">
        <w:r>
          <w:rPr>
            <w:rStyle w:val="Hyperlink"/>
          </w:rPr>
          <w:t xml:space="preserve">Safe Sleep for Babies Act guidance</w:t>
        </w:r>
      </w:hyperlink>
    </w:p>
    <w:p>
      <w:pPr>
        <w:numPr>
          <w:ilvl w:val="0"/>
          <w:numId w:val="1035"/>
        </w:numPr>
        <w:pStyle w:val="Compact"/>
      </w:pPr>
      <w:hyperlink r:id="rId110">
        <w:r>
          <w:rPr>
            <w:rStyle w:val="Hyperlink"/>
          </w:rPr>
          <w:t xml:space="preserve">FWS elephant ivory FAQ</w:t>
        </w:r>
      </w:hyperlink>
      <w:r>
        <w:t xml:space="preserve"> </w:t>
      </w:r>
      <w:r>
        <w:t xml:space="preserve">·</w:t>
      </w:r>
      <w:r>
        <w:t xml:space="preserve"> </w:t>
      </w:r>
      <w:hyperlink r:id="rId111">
        <w:r>
          <w:rPr>
            <w:rStyle w:val="Hyperlink"/>
          </w:rPr>
          <w:t xml:space="preserve">FWS "Can I sell it?"</w:t>
        </w:r>
      </w:hyperlink>
      <w:r>
        <w:t xml:space="preserve"> </w:t>
      </w:r>
      <w:r>
        <w:t xml:space="preserve">·</w:t>
      </w:r>
      <w:r>
        <w:t xml:space="preserve"> </w:t>
      </w:r>
      <w:hyperlink r:id="rId112">
        <w:r>
          <w:rPr>
            <w:rStyle w:val="Hyperlink"/>
          </w:rPr>
          <w:t xml:space="preserve">50 CFR 17.40</w:t>
        </w:r>
      </w:hyperlink>
      <w:r>
        <w:t xml:space="preserve"> </w:t>
      </w:r>
      <w:r>
        <w:t xml:space="preserve">·</w:t>
      </w:r>
      <w:r>
        <w:t xml:space="preserve"> </w:t>
      </w:r>
      <w:hyperlink r:id="rId113">
        <w:r>
          <w:rPr>
            <w:rStyle w:val="Hyperlink"/>
          </w:rPr>
          <w:t xml:space="preserve">NOAA protected species parts</w:t>
        </w:r>
      </w:hyperlink>
    </w:p>
    <w:p>
      <w:pPr>
        <w:numPr>
          <w:ilvl w:val="0"/>
          <w:numId w:val="1035"/>
        </w:numPr>
        <w:pStyle w:val="Compact"/>
      </w:pPr>
      <w:hyperlink r:id="rId114">
        <w:r>
          <w:rPr>
            <w:rStyle w:val="Hyperlink"/>
          </w:rPr>
          <w:t xml:space="preserve">21 CFR 1317.30</w:t>
        </w:r>
      </w:hyperlink>
      <w:r>
        <w:t xml:space="preserve"> </w:t>
      </w:r>
      <w:r>
        <w:t xml:space="preserve">·</w:t>
      </w:r>
      <w:r>
        <w:t xml:space="preserve"> </w:t>
      </w:r>
      <w:hyperlink r:id="rId115">
        <w:r>
          <w:rPr>
            <w:rStyle w:val="Hyperlink"/>
          </w:rPr>
          <w:t xml:space="preserve">21 CFR 801.109</w:t>
        </w:r>
      </w:hyperlink>
      <w:r>
        <w:t xml:space="preserve"> </w:t>
      </w:r>
      <w:r>
        <w:t xml:space="preserve">·</w:t>
      </w:r>
      <w:r>
        <w:t xml:space="preserve"> </w:t>
      </w:r>
      <w:hyperlink r:id="rId116">
        <w:r>
          <w:rPr>
            <w:rStyle w:val="Hyperlink"/>
          </w:rPr>
          <w:t xml:space="preserve">18 U.S.C. § 704</w:t>
        </w:r>
      </w:hyperlink>
      <w:r>
        <w:t xml:space="preserve"> </w:t>
      </w:r>
      <w:r>
        <w:t xml:space="preserve">·</w:t>
      </w:r>
      <w:r>
        <w:t xml:space="preserve"> </w:t>
      </w:r>
      <w:hyperlink r:id="rId117">
        <w:r>
          <w:rPr>
            <w:rStyle w:val="Hyperlink"/>
          </w:rPr>
          <w:t xml:space="preserve">18 U.S.C. § 921</w:t>
        </w:r>
      </w:hyperlink>
      <w:r>
        <w:t xml:space="preserve"> </w:t>
      </w:r>
      <w:r>
        <w:t xml:space="preserve">·</w:t>
      </w:r>
      <w:r>
        <w:t xml:space="preserve"> </w:t>
      </w:r>
      <w:hyperlink r:id="rId118">
        <w:r>
          <w:rPr>
            <w:rStyle w:val="Hyperlink"/>
          </w:rPr>
          <w:t xml:space="preserve">27 CFR 479.90a</w:t>
        </w:r>
      </w:hyperlink>
    </w:p>
    <w:p>
      <w:pPr>
        <w:numPr>
          <w:ilvl w:val="0"/>
          <w:numId w:val="1035"/>
        </w:numPr>
        <w:pStyle w:val="Compact"/>
      </w:pPr>
      <w:r>
        <w:t xml:space="preserve">USPS Pub. 52:</w:t>
      </w:r>
      <w:r>
        <w:t xml:space="preserve"> </w:t>
      </w:r>
      <w:hyperlink r:id="rId119">
        <w:r>
          <w:rPr>
            <w:rStyle w:val="Hyperlink"/>
          </w:rPr>
          <w:t xml:space="preserve">firearms</w:t>
        </w:r>
      </w:hyperlink>
      <w:r>
        <w:t xml:space="preserve">,</w:t>
      </w:r>
      <w:r>
        <w:t xml:space="preserve"> </w:t>
      </w:r>
      <w:hyperlink r:id="rId120">
        <w:r>
          <w:rPr>
            <w:rStyle w:val="Hyperlink"/>
          </w:rPr>
          <w:t xml:space="preserve">knives</w:t>
        </w:r>
      </w:hyperlink>
      <w:r>
        <w:t xml:space="preserve">,</w:t>
      </w:r>
      <w:r>
        <w:t xml:space="preserve"> </w:t>
      </w:r>
      <w:hyperlink r:id="rId121">
        <w:r>
          <w:rPr>
            <w:rStyle w:val="Hyperlink"/>
          </w:rPr>
          <w:t xml:space="preserve">flammable liquids</w:t>
        </w:r>
      </w:hyperlink>
      <w:r>
        <w:t xml:space="preserve">,</w:t>
      </w:r>
      <w:r>
        <w:t xml:space="preserve"> </w:t>
      </w:r>
      <w:hyperlink r:id="rId122">
        <w:r>
          <w:rPr>
            <w:rStyle w:val="Hyperlink"/>
          </w:rPr>
          <w:t xml:space="preserve">radioactive</w:t>
        </w:r>
      </w:hyperlink>
    </w:p>
    <w:p>
      <w:pPr>
        <w:numPr>
          <w:ilvl w:val="0"/>
          <w:numId w:val="1035"/>
        </w:numPr>
        <w:pStyle w:val="Compact"/>
      </w:pPr>
      <w:hyperlink r:id="rId123">
        <w:r>
          <w:rPr>
            <w:rStyle w:val="Hyperlink"/>
          </w:rPr>
          <w:t xml:space="preserve">RESPA, 12 CFR 1024.14</w:t>
        </w:r>
      </w:hyperlink>
      <w:r>
        <w:t xml:space="preserve"> </w:t>
      </w:r>
      <w:r>
        <w:t xml:space="preserve">·</w:t>
      </w:r>
      <w:r>
        <w:t xml:space="preserve"> </w:t>
      </w:r>
      <w:hyperlink r:id="rId124">
        <w:r>
          <w:rPr>
            <w:rStyle w:val="Hyperlink"/>
          </w:rPr>
          <w:t xml:space="preserve">Stripe restricted businesses</w:t>
        </w:r>
      </w:hyperlink>
      <w:r>
        <w:t xml:space="preserve"> </w:t>
      </w:r>
      <w:r>
        <w:t xml:space="preserve">·</w:t>
      </w:r>
      <w:r>
        <w:t xml:space="preserve"> </w:t>
      </w:r>
      <w:hyperlink r:id="rId125">
        <w:r>
          <w:rPr>
            <w:rStyle w:val="Hyperlink"/>
          </w:rPr>
          <w:t xml:space="preserve">Stripe 1099-K by state</w:t>
        </w:r>
      </w:hyperlink>
      <w:r>
        <w:t xml:space="preserve"> </w:t>
      </w:r>
      <w:r>
        <w:t xml:space="preserve">·</w:t>
      </w:r>
      <w:r>
        <w:t xml:space="preserve"> </w:t>
      </w:r>
      <w:hyperlink r:id="rId126">
        <w:r>
          <w:rPr>
            <w:rStyle w:val="Hyperlink"/>
          </w:rPr>
          <w:t xml:space="preserve">Stripe manual payouts</w:t>
        </w:r>
      </w:hyperlink>
    </w:p>
    <w:p>
      <w:pPr>
        <w:pStyle w:val="FirstParagraph"/>
      </w:pPr>
      <w:r>
        <w:rPr>
          <w:bCs/>
          <w:b/>
        </w:rPr>
        <w:t xml:space="preserve">News, for status only</w:t>
      </w:r>
    </w:p>
    <w:p>
      <w:pPr>
        <w:numPr>
          <w:ilvl w:val="0"/>
          <w:numId w:val="1036"/>
        </w:numPr>
        <w:pStyle w:val="Compact"/>
      </w:pPr>
      <w:hyperlink r:id="rId127">
        <w:r>
          <w:rPr>
            <w:rStyle w:val="Hyperlink"/>
          </w:rPr>
          <w:t xml:space="preserve">WTVR on the assault weapons injunction</w:t>
        </w:r>
      </w:hyperlink>
    </w:p>
    <w:p>
      <w:pPr>
        <w:numPr>
          <w:ilvl w:val="0"/>
          <w:numId w:val="1036"/>
        </w:numPr>
        <w:pStyle w:val="Compact"/>
      </w:pPr>
      <w:hyperlink r:id="rId128">
        <w:r>
          <w:rPr>
            <w:rStyle w:val="Hyperlink"/>
          </w:rPr>
          <w:t xml:space="preserve">Goff Voltin status update</w:t>
        </w:r>
      </w:hyperlink>
    </w:p>
    <w:p>
      <w:pPr>
        <w:numPr>
          <w:ilvl w:val="0"/>
          <w:numId w:val="1036"/>
        </w:numPr>
        <w:pStyle w:val="Compact"/>
      </w:pPr>
      <w:hyperlink r:id="rId129">
        <w:r>
          <w:rPr>
            <w:rStyle w:val="Hyperlink"/>
          </w:rPr>
          <w:t xml:space="preserve">Sovos on the bullion exemption</w:t>
        </w:r>
      </w:hyperlink>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https://codes.findlaw.com/us/title-18-crimes-and-criminal-procedure/18-usc-sect-704/" TargetMode="External" /><Relationship Type="http://schemas.openxmlformats.org/officeDocument/2006/relationships/hyperlink" Id="rId105" Target="https://consumer.ftc.gov/consumer-alerts/2023/06/imposters-prey-families-preparing-funeral-loved-one" TargetMode="External" /><Relationship Type="http://schemas.openxmlformats.org/officeDocument/2006/relationships/hyperlink" Id="rId125" Target="https://docs.stripe.com/connect/1099-k" TargetMode="External" /><Relationship Type="http://schemas.openxmlformats.org/officeDocument/2006/relationships/hyperlink" Id="rId126" Target="https://docs.stripe.com/connect/manual-payouts.md" TargetMode="External" /><Relationship Type="http://schemas.openxmlformats.org/officeDocument/2006/relationships/hyperlink" Id="rId83" Target="https://easyaccess.virginia.gov/APS" TargetMode="External" /><Relationship Type="http://schemas.openxmlformats.org/officeDocument/2006/relationships/hyperlink" Id="rId128" Target="https://goffvoltin.com/virginia-assault-weapons-ban-2026-whats-the-current-status/" TargetMode="External" /><Relationship Type="http://schemas.openxmlformats.org/officeDocument/2006/relationships/hyperlink" Id="rId72" Target="https://law.lis.virginia.gov/admincode/title23/agency10/chapter210/section140/" TargetMode="External" /><Relationship Type="http://schemas.openxmlformats.org/officeDocument/2006/relationships/hyperlink" Id="rId68" Target="https://law.lis.virginia.gov/admincodefull/title18/agency25/chapter21/" TargetMode="External" /><Relationship Type="http://schemas.openxmlformats.org/officeDocument/2006/relationships/hyperlink" Id="rId81" Target="https://law.lis.virginia.gov/vacode/title18.2/chapter6/section18.2-178.1/" TargetMode="External" /><Relationship Type="http://schemas.openxmlformats.org/officeDocument/2006/relationships/hyperlink" Id="rId84" Target="https://law.lis.virginia.gov/vacode/title18.2/chapter6/section18.2-186.6/" TargetMode="External" /><Relationship Type="http://schemas.openxmlformats.org/officeDocument/2006/relationships/hyperlink" Id="rId87" Target="https://law.lis.virginia.gov/vacode/title18.2/chapter7/section18.2-308.2:5/" TargetMode="External" /><Relationship Type="http://schemas.openxmlformats.org/officeDocument/2006/relationships/hyperlink" Id="rId89" Target="https://law.lis.virginia.gov/vacode/title18.2/chapter7/section18.2-311/" TargetMode="External" /><Relationship Type="http://schemas.openxmlformats.org/officeDocument/2006/relationships/hyperlink" Id="rId90" Target="https://law.lis.virginia.gov/vacode/title4.1/chapter2/section4.1-212/" TargetMode="External" /><Relationship Type="http://schemas.openxmlformats.org/officeDocument/2006/relationships/hyperlink" Id="rId71" Target="https://law.lis.virginia.gov/vacode/title58.1/chapter6/section58.1-612.1/" TargetMode="External" /><Relationship Type="http://schemas.openxmlformats.org/officeDocument/2006/relationships/hyperlink" Id="rId78" Target="https://law.lis.virginia.gov/vacode/title59.1/chapter17/section59.1-200/" TargetMode="External" /><Relationship Type="http://schemas.openxmlformats.org/officeDocument/2006/relationships/hyperlink" Id="rId85" Target="https://law.lis.virginia.gov/vacode/title59.1/chapter53/section59.1-576/" TargetMode="External" /><Relationship Type="http://schemas.openxmlformats.org/officeDocument/2006/relationships/hyperlink" Id="rId82" Target="https://law.lis.virginia.gov/vacode/title63.2/chapter16/section63.2-1606/" TargetMode="External" /><Relationship Type="http://schemas.openxmlformats.org/officeDocument/2006/relationships/hyperlink" Id="rId56" Target="https://law.lis.virginia.gov/vacode/title64.2/chapter13/section64.2-1300/" TargetMode="External" /><Relationship Type="http://schemas.openxmlformats.org/officeDocument/2006/relationships/hyperlink" Id="rId57" Target="https://law.lis.virginia.gov/vacode/title64.2/chapter16/section64.2-1608/" TargetMode="External" /><Relationship Type="http://schemas.openxmlformats.org/officeDocument/2006/relationships/hyperlink" Id="rId58" Target="https://law.lis.virginia.gov/vacode/title64.2/chapter16/section64.2-1617/" TargetMode="External" /><Relationship Type="http://schemas.openxmlformats.org/officeDocument/2006/relationships/hyperlink" Id="rId55" Target="https://law.lis.virginia.gov/vacode/title64.2/chapter6/section64.2-601/" TargetMode="External" /><Relationship Type="http://schemas.openxmlformats.org/officeDocument/2006/relationships/hyperlink" Id="rId79" Target="https://law.lis.virginia.gov/vacode/title8.2/part4/section8.2-403/" TargetMode="External" /><Relationship Type="http://schemas.openxmlformats.org/officeDocument/2006/relationships/hyperlink" Id="rId80" Target="https://law.lis.virginia.gov/vacode/title8.9A/part1/part1/section8.9A-102/" TargetMode="External" /><Relationship Type="http://schemas.openxmlformats.org/officeDocument/2006/relationships/hyperlink" Id="rId69" Target="https://law.lis.virginia.gov/vacodefull/title54.1/chapter41/" TargetMode="External" /><Relationship Type="http://schemas.openxmlformats.org/officeDocument/2006/relationships/hyperlink" Id="rId66" Target="https://law.lis.virginia.gov/vacodefull/title54.1/chapter6/" TargetMode="External" /><Relationship Type="http://schemas.openxmlformats.org/officeDocument/2006/relationships/hyperlink" Id="rId86" Target="https://law.lis.virginia.gov/vacodefull/title55.1/chapter25/" TargetMode="External" /><Relationship Type="http://schemas.openxmlformats.org/officeDocument/2006/relationships/hyperlink" Id="rId70" Target="https://law.lis.virginia.gov/vacodefull/title59.1/chapter9/article3/" TargetMode="External" /><Relationship Type="http://schemas.openxmlformats.org/officeDocument/2006/relationships/hyperlink" Id="rId54" Target="https://law.lis.virginia.gov/vacodefull/title64.2/" TargetMode="External" /><Relationship Type="http://schemas.openxmlformats.org/officeDocument/2006/relationships/hyperlink" Id="rId59" Target="https://law.lis.virginia.gov/vacodefull/title64.2/chapter3/article2/" TargetMode="External" /><Relationship Type="http://schemas.openxmlformats.org/officeDocument/2006/relationships/hyperlink" Id="rId88" Target="https://lis.virginia.gov/bill-details/20261/HB217" TargetMode="External" /><Relationship Type="http://schemas.openxmlformats.org/officeDocument/2006/relationships/hyperlink" Id="rId121" Target="https://pe.usps.com/text/pub52/pub52c3_022.htm" TargetMode="External" /><Relationship Type="http://schemas.openxmlformats.org/officeDocument/2006/relationships/hyperlink" Id="rId122" Target="https://pe.usps.com/text/pub52/pub52c3_026.htm" TargetMode="External" /><Relationship Type="http://schemas.openxmlformats.org/officeDocument/2006/relationships/hyperlink" Id="rId119" Target="https://pe.usps.com/text/pub52/pub52c4_010.htm" TargetMode="External" /><Relationship Type="http://schemas.openxmlformats.org/officeDocument/2006/relationships/hyperlink" Id="rId120" Target="https://pe.usps.com/text/pub52/pub52c4_015.htm" TargetMode="External" /><Relationship Type="http://schemas.openxmlformats.org/officeDocument/2006/relationships/hyperlink" Id="rId118" Target="https://regulations.atf.gov/479-90a/2023-01001" TargetMode="External" /><Relationship Type="http://schemas.openxmlformats.org/officeDocument/2006/relationships/hyperlink" Id="rId93" Target="https://select.dmv.virginia.gov/select/help/vlic/pdf/deceased_owner_title.pdf" TargetMode="External" /><Relationship Type="http://schemas.openxmlformats.org/officeDocument/2006/relationships/hyperlink" Id="rId129" Target="https://sovos.com/regulatory-updates/sut/virginia-extends-sales-tax-exemption-for-bullion-and-coins-to-july-1-2028/" TargetMode="External" /><Relationship Type="http://schemas.openxmlformats.org/officeDocument/2006/relationships/hyperlink" Id="rId124" Target="https://stripe.com/legal/restricted-businesses" TargetMode="External" /><Relationship Type="http://schemas.openxmlformats.org/officeDocument/2006/relationships/hyperlink" Id="rId117" Target="https://uscode.house.gov/view.xhtml?req=granuleid:USC-prelim-title18-section921&amp;num=0&amp;edition=prelim" TargetMode="External" /><Relationship Type="http://schemas.openxmlformats.org/officeDocument/2006/relationships/hyperlink" Id="rId62" Target="https://vacourts.gov/courts/scv/amendments/2019_0426_part_six_sect_i.pdf" TargetMode="External" /><Relationship Type="http://schemas.openxmlformats.org/officeDocument/2006/relationships/hyperlink" Id="rId65" Target="https://vacourts.gov/courts/scv/amendments/part_6_sect_ii_para_7_1_thru_7_5.pdf" TargetMode="External" /><Relationship Type="http://schemas.openxmlformats.org/officeDocument/2006/relationships/hyperlink" Id="rId63" Target="https://vsb.org/Site/01_About/RulesRegulations/UPL_Opinions.aspx" TargetMode="External" /><Relationship Type="http://schemas.openxmlformats.org/officeDocument/2006/relationships/hyperlink" Id="rId64" Target="https://vsb.org/common/Uploaded%20files/docs/20230815-upl-219-petition.pdf" TargetMode="External" /><Relationship Type="http://schemas.openxmlformats.org/officeDocument/2006/relationships/hyperlink" Id="rId92" Target="https://www.abc.virginia.gov/licenses/tobacco-permits" TargetMode="External" /><Relationship Type="http://schemas.openxmlformats.org/officeDocument/2006/relationships/hyperlink" Id="rId91" Target="https://www.abc.virginia.gov/licenses/val/definitions/one-time-sale" TargetMode="External" /><Relationship Type="http://schemas.openxmlformats.org/officeDocument/2006/relationships/hyperlink" Id="rId107" Target="https://www.consumerfinance.gov/ask-cfpb/is-it-a-scam-if-a-debt-collector-calls-me-after-seeing-my-relatives-obituary-en-1483/" TargetMode="External" /><Relationship Type="http://schemas.openxmlformats.org/officeDocument/2006/relationships/hyperlink" Id="rId109" Target="https://www.cpsc.gov/Business--Manufacturing/Business-Education/Business-Guidance/Safe-Sleep-for-Babies-Act-Business-Guidance" TargetMode="External" /><Relationship Type="http://schemas.openxmlformats.org/officeDocument/2006/relationships/hyperlink" Id="rId108" Target="https://www.cpsc.gov/s3fs-public/Resellers-Guide-Updated-Final-3-3--21.pdf" TargetMode="External" /><Relationship Type="http://schemas.openxmlformats.org/officeDocument/2006/relationships/hyperlink" Id="rId67" Target="https://www.dpor.virginia.gov/Boards/Auctioneers" TargetMode="External" /><Relationship Type="http://schemas.openxmlformats.org/officeDocument/2006/relationships/hyperlink" Id="rId123" Target="https://www.ecfr.gov/current/title-12/chapter-X/part-1024/subpart-B/section-1024.14" TargetMode="External" /><Relationship Type="http://schemas.openxmlformats.org/officeDocument/2006/relationships/hyperlink" Id="rId103" Target="https://www.ecfr.gov/current/title-16/chapter-I/subchapter-B/part-23" TargetMode="External" /><Relationship Type="http://schemas.openxmlformats.org/officeDocument/2006/relationships/hyperlink" Id="rId102" Target="https://www.ecfr.gov/current/title-16/chapter-I/subchapter-D/part-465" TargetMode="External" /><Relationship Type="http://schemas.openxmlformats.org/officeDocument/2006/relationships/hyperlink" Id="rId115" Target="https://www.ecfr.gov/current/title-21/chapter-I/subchapter-H/part-801/subpart-D/section-801.109" TargetMode="External" /><Relationship Type="http://schemas.openxmlformats.org/officeDocument/2006/relationships/hyperlink" Id="rId114" Target="https://www.ecfr.gov/current/title-21/chapter-II/part-1317/subpart-B/section-1317.30" TargetMode="External" /><Relationship Type="http://schemas.openxmlformats.org/officeDocument/2006/relationships/hyperlink" Id="rId112" Target="https://www.ecfr.gov/current/title-50/chapter-I/subchapter-B/part-17/subpart-D/section-17.40" TargetMode="External" /><Relationship Type="http://schemas.openxmlformats.org/officeDocument/2006/relationships/hyperlink" Id="rId94" Target="https://www.fairfaxcounty.gov/circuit/sites/circuit/files/assets/documents/pdf/fees-fiduciary-probate.pdf" TargetMode="External" /><Relationship Type="http://schemas.openxmlformats.org/officeDocument/2006/relationships/hyperlink" Id="rId113" Target="https://www.fisheries.noaa.gov/national/permits/protected-species-parts" TargetMode="External" /><Relationship Type="http://schemas.openxmlformats.org/officeDocument/2006/relationships/hyperlink" Id="rId104" Target="https://www.ftc.gov/legal-library/browse/rules/funeral-industry-practices-rule" TargetMode="External" /><Relationship Type="http://schemas.openxmlformats.org/officeDocument/2006/relationships/hyperlink" Id="rId101" Target="https://www.ftc.gov/news-events/news/press-releases/2025/02/ftc-finalizes-order-donotpay-prohibits-deceptive-ai-lawyer-claims-imposes-monetary-relief-requires" TargetMode="External" /><Relationship Type="http://schemas.openxmlformats.org/officeDocument/2006/relationships/hyperlink" Id="rId110" Target="https://www.fws.gov/frequently-asked-questions-about-elephant-ivory" TargetMode="External" /><Relationship Type="http://schemas.openxmlformats.org/officeDocument/2006/relationships/hyperlink" Id="rId111" Target="https://www.fws.gov/sites/default/files/documents/news-attached-files/factsheet-can-i-sell-it.pdf" TargetMode="External" /><Relationship Type="http://schemas.openxmlformats.org/officeDocument/2006/relationships/hyperlink" Id="rId99" Target="https://www.irs.gov/identity-theft-central/identity-theft-guide-for-individuals" TargetMode="External" /><Relationship Type="http://schemas.openxmlformats.org/officeDocument/2006/relationships/hyperlink" Id="rId96" Target="https://www.irs.gov/newsroom/irs-issues-faqs-on-form-1099-k-threshold-under-the-one-big-beautiful-bill-dollar-limit-reverts-to-20000" TargetMode="External" /><Relationship Type="http://schemas.openxmlformats.org/officeDocument/2006/relationships/hyperlink" Id="rId97" Target="https://www.irs.gov/newsroom/irs-releases-tax-inflation-adjustments-for-tax-year-2026-including-amendments-from-the-one-big-beautiful-bill" TargetMode="External" /><Relationship Type="http://schemas.openxmlformats.org/officeDocument/2006/relationships/hyperlink" Id="rId98" Target="https://www.irs.gov/pub/irs-pdf/i56.pdf" TargetMode="External" /><Relationship Type="http://schemas.openxmlformats.org/officeDocument/2006/relationships/hyperlink" Id="rId95" Target="https://www.irs.gov/publications/p559" TargetMode="External" /><Relationship Type="http://schemas.openxmlformats.org/officeDocument/2006/relationships/hyperlink" Id="rId100" Target="https://www.irs.gov/taxtopics/tc506" TargetMode="External" /><Relationship Type="http://schemas.openxmlformats.org/officeDocument/2006/relationships/hyperlink" Id="rId106" Target="https://www.ssa.gov/personal-record/when-someone-dies" TargetMode="External" /><Relationship Type="http://schemas.openxmlformats.org/officeDocument/2006/relationships/hyperlink" Id="rId76" Target="https://www.tax.virginia.gov/estate-and-inheritance-taxes" TargetMode="External" /><Relationship Type="http://schemas.openxmlformats.org/officeDocument/2006/relationships/hyperlink" Id="rId75" Target="https://www.tax.virginia.gov/laws-rules-decisions/tax-bulletins/20-10" TargetMode="External" /><Relationship Type="http://schemas.openxmlformats.org/officeDocument/2006/relationships/hyperlink" Id="rId77" Target="https://www.tax.virginia.gov/probate-tax" TargetMode="External" /><Relationship Type="http://schemas.openxmlformats.org/officeDocument/2006/relationships/hyperlink" Id="rId73" Target="https://www.tax.virginia.gov/retail-sales-and-use-tax" TargetMode="External" /><Relationship Type="http://schemas.openxmlformats.org/officeDocument/2006/relationships/hyperlink" Id="rId74" Target="https://www.tax.virginia.gov/sites/default/files/inline-files/2026-legislative-summary.pdf" TargetMode="External" /><Relationship Type="http://schemas.openxmlformats.org/officeDocument/2006/relationships/hyperlink" Id="rId61" Target="https://www.vacourts.gov/static/forms/circuit/cc1685inst.pdf" TargetMode="External" /><Relationship Type="http://schemas.openxmlformats.org/officeDocument/2006/relationships/hyperlink" Id="rId60" Target="https://www.vacourts.gov/static/forms/circuit/cc_forms_list.pdf" TargetMode="External" /><Relationship Type="http://schemas.openxmlformats.org/officeDocument/2006/relationships/hyperlink" Id="rId127" Target="https://www.wtvr.com/news/virginia-politics/assault-weapons-sales-ban-blocked-june-30-2026" TargetMode="External" /></Relationships>
</file>

<file path=word/_rels/footnotes.xml.rels><?xml version="1.0" encoding="UTF-8"?><Relationships xmlns="http://schemas.openxmlformats.org/package/2006/relationships"><Relationship Type="http://schemas.openxmlformats.org/officeDocument/2006/relationships/hyperlink" Id="rId116" Target="https://codes.findlaw.com/us/title-18-crimes-and-criminal-procedure/18-usc-sect-704/" TargetMode="External" /><Relationship Type="http://schemas.openxmlformats.org/officeDocument/2006/relationships/hyperlink" Id="rId105" Target="https://consumer.ftc.gov/consumer-alerts/2023/06/imposters-prey-families-preparing-funeral-loved-one" TargetMode="External" /><Relationship Type="http://schemas.openxmlformats.org/officeDocument/2006/relationships/hyperlink" Id="rId125" Target="https://docs.stripe.com/connect/1099-k" TargetMode="External" /><Relationship Type="http://schemas.openxmlformats.org/officeDocument/2006/relationships/hyperlink" Id="rId126" Target="https://docs.stripe.com/connect/manual-payouts.md" TargetMode="External" /><Relationship Type="http://schemas.openxmlformats.org/officeDocument/2006/relationships/hyperlink" Id="rId83" Target="https://easyaccess.virginia.gov/APS" TargetMode="External" /><Relationship Type="http://schemas.openxmlformats.org/officeDocument/2006/relationships/hyperlink" Id="rId128" Target="https://goffvoltin.com/virginia-assault-weapons-ban-2026-whats-the-current-status/" TargetMode="External" /><Relationship Type="http://schemas.openxmlformats.org/officeDocument/2006/relationships/hyperlink" Id="rId72" Target="https://law.lis.virginia.gov/admincode/title23/agency10/chapter210/section140/" TargetMode="External" /><Relationship Type="http://schemas.openxmlformats.org/officeDocument/2006/relationships/hyperlink" Id="rId68" Target="https://law.lis.virginia.gov/admincodefull/title18/agency25/chapter21/" TargetMode="External" /><Relationship Type="http://schemas.openxmlformats.org/officeDocument/2006/relationships/hyperlink" Id="rId81" Target="https://law.lis.virginia.gov/vacode/title18.2/chapter6/section18.2-178.1/" TargetMode="External" /><Relationship Type="http://schemas.openxmlformats.org/officeDocument/2006/relationships/hyperlink" Id="rId84" Target="https://law.lis.virginia.gov/vacode/title18.2/chapter6/section18.2-186.6/" TargetMode="External" /><Relationship Type="http://schemas.openxmlformats.org/officeDocument/2006/relationships/hyperlink" Id="rId87" Target="https://law.lis.virginia.gov/vacode/title18.2/chapter7/section18.2-308.2:5/" TargetMode="External" /><Relationship Type="http://schemas.openxmlformats.org/officeDocument/2006/relationships/hyperlink" Id="rId89" Target="https://law.lis.virginia.gov/vacode/title18.2/chapter7/section18.2-311/" TargetMode="External" /><Relationship Type="http://schemas.openxmlformats.org/officeDocument/2006/relationships/hyperlink" Id="rId90" Target="https://law.lis.virginia.gov/vacode/title4.1/chapter2/section4.1-212/" TargetMode="External" /><Relationship Type="http://schemas.openxmlformats.org/officeDocument/2006/relationships/hyperlink" Id="rId71" Target="https://law.lis.virginia.gov/vacode/title58.1/chapter6/section58.1-612.1/" TargetMode="External" /><Relationship Type="http://schemas.openxmlformats.org/officeDocument/2006/relationships/hyperlink" Id="rId78" Target="https://law.lis.virginia.gov/vacode/title59.1/chapter17/section59.1-200/" TargetMode="External" /><Relationship Type="http://schemas.openxmlformats.org/officeDocument/2006/relationships/hyperlink" Id="rId85" Target="https://law.lis.virginia.gov/vacode/title59.1/chapter53/section59.1-576/" TargetMode="External" /><Relationship Type="http://schemas.openxmlformats.org/officeDocument/2006/relationships/hyperlink" Id="rId82" Target="https://law.lis.virginia.gov/vacode/title63.2/chapter16/section63.2-1606/" TargetMode="External" /><Relationship Type="http://schemas.openxmlformats.org/officeDocument/2006/relationships/hyperlink" Id="rId56" Target="https://law.lis.virginia.gov/vacode/title64.2/chapter13/section64.2-1300/" TargetMode="External" /><Relationship Type="http://schemas.openxmlformats.org/officeDocument/2006/relationships/hyperlink" Id="rId57" Target="https://law.lis.virginia.gov/vacode/title64.2/chapter16/section64.2-1608/" TargetMode="External" /><Relationship Type="http://schemas.openxmlformats.org/officeDocument/2006/relationships/hyperlink" Id="rId58" Target="https://law.lis.virginia.gov/vacode/title64.2/chapter16/section64.2-1617/" TargetMode="External" /><Relationship Type="http://schemas.openxmlformats.org/officeDocument/2006/relationships/hyperlink" Id="rId55" Target="https://law.lis.virginia.gov/vacode/title64.2/chapter6/section64.2-601/" TargetMode="External" /><Relationship Type="http://schemas.openxmlformats.org/officeDocument/2006/relationships/hyperlink" Id="rId79" Target="https://law.lis.virginia.gov/vacode/title8.2/part4/section8.2-403/" TargetMode="External" /><Relationship Type="http://schemas.openxmlformats.org/officeDocument/2006/relationships/hyperlink" Id="rId80" Target="https://law.lis.virginia.gov/vacode/title8.9A/part1/part1/section8.9A-102/" TargetMode="External" /><Relationship Type="http://schemas.openxmlformats.org/officeDocument/2006/relationships/hyperlink" Id="rId69" Target="https://law.lis.virginia.gov/vacodefull/title54.1/chapter41/" TargetMode="External" /><Relationship Type="http://schemas.openxmlformats.org/officeDocument/2006/relationships/hyperlink" Id="rId66" Target="https://law.lis.virginia.gov/vacodefull/title54.1/chapter6/" TargetMode="External" /><Relationship Type="http://schemas.openxmlformats.org/officeDocument/2006/relationships/hyperlink" Id="rId86" Target="https://law.lis.virginia.gov/vacodefull/title55.1/chapter25/" TargetMode="External" /><Relationship Type="http://schemas.openxmlformats.org/officeDocument/2006/relationships/hyperlink" Id="rId70" Target="https://law.lis.virginia.gov/vacodefull/title59.1/chapter9/article3/" TargetMode="External" /><Relationship Type="http://schemas.openxmlformats.org/officeDocument/2006/relationships/hyperlink" Id="rId54" Target="https://law.lis.virginia.gov/vacodefull/title64.2/" TargetMode="External" /><Relationship Type="http://schemas.openxmlformats.org/officeDocument/2006/relationships/hyperlink" Id="rId59" Target="https://law.lis.virginia.gov/vacodefull/title64.2/chapter3/article2/" TargetMode="External" /><Relationship Type="http://schemas.openxmlformats.org/officeDocument/2006/relationships/hyperlink" Id="rId88" Target="https://lis.virginia.gov/bill-details/20261/HB217" TargetMode="External" /><Relationship Type="http://schemas.openxmlformats.org/officeDocument/2006/relationships/hyperlink" Id="rId121" Target="https://pe.usps.com/text/pub52/pub52c3_022.htm" TargetMode="External" /><Relationship Type="http://schemas.openxmlformats.org/officeDocument/2006/relationships/hyperlink" Id="rId122" Target="https://pe.usps.com/text/pub52/pub52c3_026.htm" TargetMode="External" /><Relationship Type="http://schemas.openxmlformats.org/officeDocument/2006/relationships/hyperlink" Id="rId119" Target="https://pe.usps.com/text/pub52/pub52c4_010.htm" TargetMode="External" /><Relationship Type="http://schemas.openxmlformats.org/officeDocument/2006/relationships/hyperlink" Id="rId120" Target="https://pe.usps.com/text/pub52/pub52c4_015.htm" TargetMode="External" /><Relationship Type="http://schemas.openxmlformats.org/officeDocument/2006/relationships/hyperlink" Id="rId118" Target="https://regulations.atf.gov/479-90a/2023-01001" TargetMode="External" /><Relationship Type="http://schemas.openxmlformats.org/officeDocument/2006/relationships/hyperlink" Id="rId93" Target="https://select.dmv.virginia.gov/select/help/vlic/pdf/deceased_owner_title.pdf" TargetMode="External" /><Relationship Type="http://schemas.openxmlformats.org/officeDocument/2006/relationships/hyperlink" Id="rId129" Target="https://sovos.com/regulatory-updates/sut/virginia-extends-sales-tax-exemption-for-bullion-and-coins-to-july-1-2028/" TargetMode="External" /><Relationship Type="http://schemas.openxmlformats.org/officeDocument/2006/relationships/hyperlink" Id="rId124" Target="https://stripe.com/legal/restricted-businesses" TargetMode="External" /><Relationship Type="http://schemas.openxmlformats.org/officeDocument/2006/relationships/hyperlink" Id="rId117" Target="https://uscode.house.gov/view.xhtml?req=granuleid:USC-prelim-title18-section921&amp;num=0&amp;edition=prelim" TargetMode="External" /><Relationship Type="http://schemas.openxmlformats.org/officeDocument/2006/relationships/hyperlink" Id="rId62" Target="https://vacourts.gov/courts/scv/amendments/2019_0426_part_six_sect_i.pdf" TargetMode="External" /><Relationship Type="http://schemas.openxmlformats.org/officeDocument/2006/relationships/hyperlink" Id="rId65" Target="https://vacourts.gov/courts/scv/amendments/part_6_sect_ii_para_7_1_thru_7_5.pdf" TargetMode="External" /><Relationship Type="http://schemas.openxmlformats.org/officeDocument/2006/relationships/hyperlink" Id="rId63" Target="https://vsb.org/Site/01_About/RulesRegulations/UPL_Opinions.aspx" TargetMode="External" /><Relationship Type="http://schemas.openxmlformats.org/officeDocument/2006/relationships/hyperlink" Id="rId64" Target="https://vsb.org/common/Uploaded%20files/docs/20230815-upl-219-petition.pdf" TargetMode="External" /><Relationship Type="http://schemas.openxmlformats.org/officeDocument/2006/relationships/hyperlink" Id="rId92" Target="https://www.abc.virginia.gov/licenses/tobacco-permits" TargetMode="External" /><Relationship Type="http://schemas.openxmlformats.org/officeDocument/2006/relationships/hyperlink" Id="rId91" Target="https://www.abc.virginia.gov/licenses/val/definitions/one-time-sale" TargetMode="External" /><Relationship Type="http://schemas.openxmlformats.org/officeDocument/2006/relationships/hyperlink" Id="rId107" Target="https://www.consumerfinance.gov/ask-cfpb/is-it-a-scam-if-a-debt-collector-calls-me-after-seeing-my-relatives-obituary-en-1483/" TargetMode="External" /><Relationship Type="http://schemas.openxmlformats.org/officeDocument/2006/relationships/hyperlink" Id="rId109" Target="https://www.cpsc.gov/Business--Manufacturing/Business-Education/Business-Guidance/Safe-Sleep-for-Babies-Act-Business-Guidance" TargetMode="External" /><Relationship Type="http://schemas.openxmlformats.org/officeDocument/2006/relationships/hyperlink" Id="rId108" Target="https://www.cpsc.gov/s3fs-public/Resellers-Guide-Updated-Final-3-3--21.pdf" TargetMode="External" /><Relationship Type="http://schemas.openxmlformats.org/officeDocument/2006/relationships/hyperlink" Id="rId67" Target="https://www.dpor.virginia.gov/Boards/Auctioneers" TargetMode="External" /><Relationship Type="http://schemas.openxmlformats.org/officeDocument/2006/relationships/hyperlink" Id="rId123" Target="https://www.ecfr.gov/current/title-12/chapter-X/part-1024/subpart-B/section-1024.14" TargetMode="External" /><Relationship Type="http://schemas.openxmlformats.org/officeDocument/2006/relationships/hyperlink" Id="rId103" Target="https://www.ecfr.gov/current/title-16/chapter-I/subchapter-B/part-23" TargetMode="External" /><Relationship Type="http://schemas.openxmlformats.org/officeDocument/2006/relationships/hyperlink" Id="rId102" Target="https://www.ecfr.gov/current/title-16/chapter-I/subchapter-D/part-465" TargetMode="External" /><Relationship Type="http://schemas.openxmlformats.org/officeDocument/2006/relationships/hyperlink" Id="rId115" Target="https://www.ecfr.gov/current/title-21/chapter-I/subchapter-H/part-801/subpart-D/section-801.109" TargetMode="External" /><Relationship Type="http://schemas.openxmlformats.org/officeDocument/2006/relationships/hyperlink" Id="rId114" Target="https://www.ecfr.gov/current/title-21/chapter-II/part-1317/subpart-B/section-1317.30" TargetMode="External" /><Relationship Type="http://schemas.openxmlformats.org/officeDocument/2006/relationships/hyperlink" Id="rId112" Target="https://www.ecfr.gov/current/title-50/chapter-I/subchapter-B/part-17/subpart-D/section-17.40" TargetMode="External" /><Relationship Type="http://schemas.openxmlformats.org/officeDocument/2006/relationships/hyperlink" Id="rId94" Target="https://www.fairfaxcounty.gov/circuit/sites/circuit/files/assets/documents/pdf/fees-fiduciary-probate.pdf" TargetMode="External" /><Relationship Type="http://schemas.openxmlformats.org/officeDocument/2006/relationships/hyperlink" Id="rId113" Target="https://www.fisheries.noaa.gov/national/permits/protected-species-parts" TargetMode="External" /><Relationship Type="http://schemas.openxmlformats.org/officeDocument/2006/relationships/hyperlink" Id="rId104" Target="https://www.ftc.gov/legal-library/browse/rules/funeral-industry-practices-rule" TargetMode="External" /><Relationship Type="http://schemas.openxmlformats.org/officeDocument/2006/relationships/hyperlink" Id="rId101" Target="https://www.ftc.gov/news-events/news/press-releases/2025/02/ftc-finalizes-order-donotpay-prohibits-deceptive-ai-lawyer-claims-imposes-monetary-relief-requires" TargetMode="External" /><Relationship Type="http://schemas.openxmlformats.org/officeDocument/2006/relationships/hyperlink" Id="rId110" Target="https://www.fws.gov/frequently-asked-questions-about-elephant-ivory" TargetMode="External" /><Relationship Type="http://schemas.openxmlformats.org/officeDocument/2006/relationships/hyperlink" Id="rId111" Target="https://www.fws.gov/sites/default/files/documents/news-attached-files/factsheet-can-i-sell-it.pdf" TargetMode="External" /><Relationship Type="http://schemas.openxmlformats.org/officeDocument/2006/relationships/hyperlink" Id="rId99" Target="https://www.irs.gov/identity-theft-central/identity-theft-guide-for-individuals" TargetMode="External" /><Relationship Type="http://schemas.openxmlformats.org/officeDocument/2006/relationships/hyperlink" Id="rId96" Target="https://www.irs.gov/newsroom/irs-issues-faqs-on-form-1099-k-threshold-under-the-one-big-beautiful-bill-dollar-limit-reverts-to-20000" TargetMode="External" /><Relationship Type="http://schemas.openxmlformats.org/officeDocument/2006/relationships/hyperlink" Id="rId97" Target="https://www.irs.gov/newsroom/irs-releases-tax-inflation-adjustments-for-tax-year-2026-including-amendments-from-the-one-big-beautiful-bill" TargetMode="External" /><Relationship Type="http://schemas.openxmlformats.org/officeDocument/2006/relationships/hyperlink" Id="rId98" Target="https://www.irs.gov/pub/irs-pdf/i56.pdf" TargetMode="External" /><Relationship Type="http://schemas.openxmlformats.org/officeDocument/2006/relationships/hyperlink" Id="rId95" Target="https://www.irs.gov/publications/p559" TargetMode="External" /><Relationship Type="http://schemas.openxmlformats.org/officeDocument/2006/relationships/hyperlink" Id="rId100" Target="https://www.irs.gov/taxtopics/tc506" TargetMode="External" /><Relationship Type="http://schemas.openxmlformats.org/officeDocument/2006/relationships/hyperlink" Id="rId106" Target="https://www.ssa.gov/personal-record/when-someone-dies" TargetMode="External" /><Relationship Type="http://schemas.openxmlformats.org/officeDocument/2006/relationships/hyperlink" Id="rId76" Target="https://www.tax.virginia.gov/estate-and-inheritance-taxes" TargetMode="External" /><Relationship Type="http://schemas.openxmlformats.org/officeDocument/2006/relationships/hyperlink" Id="rId75" Target="https://www.tax.virginia.gov/laws-rules-decisions/tax-bulletins/20-10" TargetMode="External" /><Relationship Type="http://schemas.openxmlformats.org/officeDocument/2006/relationships/hyperlink" Id="rId77" Target="https://www.tax.virginia.gov/probate-tax" TargetMode="External" /><Relationship Type="http://schemas.openxmlformats.org/officeDocument/2006/relationships/hyperlink" Id="rId73" Target="https://www.tax.virginia.gov/retail-sales-and-use-tax" TargetMode="External" /><Relationship Type="http://schemas.openxmlformats.org/officeDocument/2006/relationships/hyperlink" Id="rId74" Target="https://www.tax.virginia.gov/sites/default/files/inline-files/2026-legislative-summary.pdf" TargetMode="External" /><Relationship Type="http://schemas.openxmlformats.org/officeDocument/2006/relationships/hyperlink" Id="rId61" Target="https://www.vacourts.gov/static/forms/circuit/cc1685inst.pdf" TargetMode="External" /><Relationship Type="http://schemas.openxmlformats.org/officeDocument/2006/relationships/hyperlink" Id="rId60" Target="https://www.vacourts.gov/static/forms/circuit/cc_forms_list.pdf" TargetMode="External" /><Relationship Type="http://schemas.openxmlformats.org/officeDocument/2006/relationships/hyperlink" Id="rId127" Target="https://www.wtvr.com/news/virginia-politics/assault-weapons-sales-ban-blocked-june-30-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&amp; Downsizing Pack: Legal Research Report</dc:title>
  <dc:creator>Prepared for Shayne Snavely, Next Owner Market</dc:creator>
  <cp:keywords/>
  <dcterms:created xsi:type="dcterms:W3CDTF">2026-10-27T00:18:04Z</dcterms:created>
  <dcterms:modified xsi:type="dcterms:W3CDTF">2026-10-27T00:18:04Z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Virginia first, then federal. Researched and checked October 1, 2026.</vt:lpwstr>
  </property>
</Properties>
</file>