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ARCHITECTURE INTERPRETATION GUIDE: EXTERNAL GOVERNANCE SHELL (EGS)</w:t>
      </w:r>
    </w:p>
    <w:p>
      <w:r>
        <w:rPr>
          <w:b/>
          <w:bCs/>
        </w:rPr>
        <w:t xml:space="preserve">PoC Companion Document / Prototype v0.1</w:t>
      </w:r>
    </w:p>
    <w:p>
      <w:r>
        <w:t xml:space="preserve"/>
      </w:r>
    </w:p>
    <w:p>
      <w:pPr>
        <w:pStyle w:val="Heading2"/>
      </w:pPr>
      <w:r>
        <w:t xml:space="preserve">0. Document Status &amp; Intended Use</w:t>
      </w:r>
    </w:p>
    <w:p>
      <w:r>
        <w:rPr>
          <w:b/>
          <w:bCs/>
        </w:rPr>
        <w:t xml:space="preserve">Classification: </w:t>
      </w:r>
      <w:r>
        <w:t xml:space="preserve">Non-Public / Concept Demonstration Artifact</w:t>
      </w:r>
    </w:p>
    <w:p>
      <w:r>
        <w:rPr>
          <w:b/>
          <w:bCs/>
        </w:rPr>
        <w:t xml:space="preserve">Intended Use: </w:t>
      </w:r>
      <w:r>
        <w:t xml:space="preserve">This document is a supplemental guide for the interpretation of the HTML-based Proof-of-Concept (PoC). It provides the architectural context necessary for stakeholders to evaluate the behavior and boundaries of the External Governance Shell (EGS).</w:t>
      </w:r>
    </w:p>
    <w:p>
      <w:r>
        <w:t xml:space="preserve"/>
      </w:r>
    </w:p>
    <w:p>
      <w:r>
        <w:rPr>
          <w:b/>
          <w:bCs/>
        </w:rPr>
        <w:t xml:space="preserve">Safe-to-Share Disclaimer: </w:t>
      </w:r>
      <w:r>
        <w:t xml:space="preserve">This document contains high-level structural descriptions only. It does not disclose proprietary algorithms, source code, or implementation methods. It is intended for review by authorized enterprise personnel (Executive, Architecture, and Legal teams) to facilitate design alignment and risk framing prior to formal engagement.</w:t>
      </w:r>
    </w:p>
    <w:p>
      <w:r>
        <w:t xml:space="preserve"/>
      </w:r>
    </w:p>
    <w:p>
      <w:pPr>
        <w:pStyle w:val="Heading2"/>
      </w:pPr>
      <w:r>
        <w:t xml:space="preserve">1. What This PoC Demonstrates</w:t>
      </w:r>
    </w:p>
    <w:p>
      <w:r>
        <w:t xml:space="preserve">This PoC demonstrates the structural decoupling of system governance from system intelligence. It proves three core conceptual capabilities:</w:t>
      </w:r>
    </w:p>
    <w:p>
      <w:r>
        <w:t xml:space="preserve"/>
      </w:r>
    </w:p>
    <w:p>
      <w:pPr>
        <w:pStyle w:val="ListParagraph"/>
        <w:numPr>
          <w:ilvl w:val="0"/>
          <w:numId w:val="1"/>
        </w:numPr>
      </w:pPr>
      <w:r>
        <w:rPr>
          <w:b/>
          <w:bCs/>
        </w:rPr>
        <w:t xml:space="preserve">Boundary Governance: </w:t>
      </w:r>
      <w:r>
        <w:t xml:space="preserve">The ability to observe system outputs at the perimeter without interfering with internal model weights or OS kernel logic.</w:t>
      </w:r>
    </w:p>
    <w:p>
      <w:pPr>
        <w:pStyle w:val="ListParagraph"/>
        <w:numPr>
          <w:ilvl w:val="0"/>
          <w:numId w:val="1"/>
        </w:numPr>
      </w:pPr>
      <w:r>
        <w:rPr>
          <w:b/>
          <w:bCs/>
        </w:rPr>
        <w:t xml:space="preserve">Visibility: </w:t>
      </w:r>
      <w:r>
        <w:t xml:space="preserve">The translation of complex, high-entropy data into high-level status indicators for human oversight.</w:t>
      </w:r>
    </w:p>
    <w:p>
      <w:pPr>
        <w:pStyle w:val="ListParagraph"/>
        <w:numPr>
          <w:ilvl w:val="0"/>
          <w:numId w:val="1"/>
        </w:numPr>
      </w:pPr>
      <w:r>
        <w:rPr>
          <w:b/>
          <w:bCs/>
        </w:rPr>
        <w:t xml:space="preserve">Containment Behavior: </w:t>
      </w:r>
      <w:r>
        <w:t xml:space="preserve">The functional separation of an "unfiltered" internal state from a "governed" external output, ensuring that anomalies are contained within the shell.</w:t>
      </w:r>
    </w:p>
    <w:p>
      <w:r>
        <w:t xml:space="preserve"/>
      </w:r>
    </w:p>
    <w:p>
      <w:pPr>
        <w:pStyle w:val="Heading2"/>
      </w:pPr>
      <w:r>
        <w:t xml:space="preserve">2. What This PoC Does NOT Demonstrate</w:t>
      </w:r>
    </w:p>
    <w:p>
      <w:r>
        <w:t xml:space="preserve">To maintain security and proprietary integrity, this artifact intentionally omits:</w:t>
      </w:r>
    </w:p>
    <w:p>
      <w:r>
        <w:t xml:space="preserve"/>
      </w:r>
    </w:p>
    <w:p>
      <w:pPr>
        <w:pStyle w:val="ListParagraph"/>
        <w:numPr>
          <w:ilvl w:val="0"/>
          <w:numId w:val="1"/>
        </w:numPr>
      </w:pPr>
      <w:r>
        <w:rPr>
          <w:b/>
          <w:bCs/>
        </w:rPr>
        <w:t xml:space="preserve">Core Logic: </w:t>
      </w:r>
      <w:r>
        <w:t xml:space="preserve">The specific mathematical decision-making processes and scoring formulas used to judge system health.</w:t>
      </w:r>
    </w:p>
    <w:p>
      <w:pPr>
        <w:pStyle w:val="ListParagraph"/>
        <w:numPr>
          <w:ilvl w:val="0"/>
          <w:numId w:val="1"/>
        </w:numPr>
      </w:pPr>
      <w:r>
        <w:rPr>
          <w:b/>
          <w:bCs/>
        </w:rPr>
        <w:t xml:space="preserve">Implementation Methodology: </w:t>
      </w:r>
      <w:r>
        <w:t xml:space="preserve">No specific tools, protocols (e.g., specific APIs or kernel hooks), or hardware-level integration recipes are disclosed.</w:t>
      </w:r>
    </w:p>
    <w:p>
      <w:pPr>
        <w:pStyle w:val="ListParagraph"/>
        <w:numPr>
          <w:ilvl w:val="0"/>
          <w:numId w:val="1"/>
        </w:numPr>
      </w:pPr>
      <w:r>
        <w:rPr>
          <w:b/>
          <w:bCs/>
        </w:rPr>
        <w:t xml:space="preserve">Data Sourcing: </w:t>
      </w:r>
      <w:r>
        <w:t xml:space="preserve">The document does not describe where signals are collected or how the "tap" into the protected core is physically or logically established.</w:t>
      </w:r>
    </w:p>
    <w:p>
      <w:r>
        <w:t xml:space="preserve"/>
      </w:r>
    </w:p>
    <w:p>
      <w:pPr>
        <w:pStyle w:val="Heading2"/>
      </w:pPr>
      <w:r>
        <w:t xml:space="preserve">3. UI-to-Meaning Map</w:t>
      </w:r>
    </w:p>
    <w:p>
      <w:r>
        <w:t xml:space="preserve">The following table maps the visual elements of the HTML demo to their symbolic architectural counterparts.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UI Label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Architectural Representation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Interpretation</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System Status (ENFORCING)</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Shell Integrity Signal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Confirms the independent governance layer is operational and actively observing the I/O boundary.</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PARTNER_ID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Tenancy Isolation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Identifies the enterprise tenant to which this governance instance is bound. Governance policies are uniquely scoped to this environment.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INSTANCE_ID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Instance Binding</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Unique identifier of this EGS deployment. Each instance is coupled to its specific environment and is non-portable.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DEPLOYMENT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Deployment Context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Indicates the operational tier (e.g., ENTERPRISE). Governs the applicable policy profile and enforcement intensity.</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GOV_LEVEL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Governance Strictness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Reflects the current enforcement intensity (e.g., CRITICAL_STRICT). Determines threshold sensitivity and containment aggressiveness.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FAIL_SAFE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Fail-Safe Mode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Confirms the shell defaults to a safe/blocked state upon failure, preventing unmanaged output propagation.</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INTEGRITY_LEVEL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Legitimacy Impact Indicator</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Shows the current integrity state of governed output (Available / Limited / Degraded / Critical). Reflects impact only — no root-cause inference.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SCORE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Integrity Score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Numeric representation of integrity level (0–100). Derived from governance logic; does not expose internal model state.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OUTPUT_AUTHORITY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Decision Authority State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Indicates whether output is Decision-ready, Reference-only, or Invalid. Granted or denied structurally, not by internal self-reporting.</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LATENCY_OVERHEAD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Governance Processing Cost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Latency introduced by the governance shell. Confirms enforcement operates within acceptable performance bounds.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RAW_EXPOSURE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Unmanaged Drift Level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Symbolizes instability in the protected core before governance logic is applied (illustrative value).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GOVERNED_OUTPUT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Contained Output Level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Residual exposure after the governance shell has filtered anomalies. Demonstrates containment efficacy.</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CORE_ISOLATION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Isolation Integrity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Degree to which the protected core is structurally isolated from the external environment.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CONTEXT_DRIFT_PRESSURE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Drift Trend Indicator</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Trend-level signal for gradual behavioral drift. Impact-level only — not an internal model state report.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BLOCKED_LAYER</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Fault Localization Label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Identifies the dominant containment layer (External Gate / Premise Consistency / Authority / Continuity) for a given event.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IMPACT_SCOPE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Containment Boundary</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Operational scope of a containment event: Single Request, Workflow-Level, or System-Wide.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DETECTED_SINCE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Temporal Boundary Marker</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Timestamp indicating when the anomaly was first detected. Temporal boundary only — no causality claims.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DETECTION_MODE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Detection Mechanism Label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Describes the detection method (e.g., Real-time Gate Enforcement, Post-Update Watch). Structural label only.</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ROUTING_HINT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Triage Routing Label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Actionable label directing the event to the appropriate response queue (e.g., SOC, Architecture Review).</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RECOMMENDED_ACTION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Response Guidance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Suggested containment action. Structural recommendation — does not expose internal system logic.</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AFFECTED_SERVICE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Service Localization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Identifies the affected service component for administrative triage purposes.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WORKFLOW_ID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Workflow Reference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Reference identifier for the workflow in which the event occurred.</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REQUEST_ID (RID)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Request Reference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Unique identifier for the specific request associated with the containment event.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POLICY_PROFILE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Active Policy Profile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Indicates the governance policy set currently active for this instance (e.g., STRICT-PROD).</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EVIDENCE_HANDLE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Evidence Reference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Reference handle for the event evidence log, accessible for audit purposes.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MTTD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Mean Time to Detection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Latency between anomaly occurrence and shell detection. Structural performance metric.</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UPDATE_STATE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Update Continuity State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Whether system behavior is STABLE, PROVISIONAL, or UNSTABLE following an update.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CONTINUITY_SCORE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Continuity Score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Numeric score (0–100) reflecting structural continuity across an update window.</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LAST_UPDATE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Last Update Timestamp</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Timestamp of the most recent system update entering the governance watch window.</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CHANGE_WINDOW</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Change Window State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Indicates whether the system is in an active post-update watch period.</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EQUIVALENCE_TESTS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Equivalence Test Results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Pass/fail results for structural continuity tests. Equivalence means behavioral consistency, not output identity.</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CURRENT_MODE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Operational Mode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High-level operational mode of the shell: NORMAL, LIMITED, or CONTAINMENT.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ACTIVE_EVENT</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Active Event Label</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Type and severity of the currently active containment event, if any.</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LAST_ROUTING</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Last Routing Decision</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Most recent triage routing label applied by the governance shell.</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AUTHORITY_LEVELS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Authority Level Definitions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000000"/>
              </w:rPr>
              <w:t xml:space="preserve">Defines the three authority states: Decision-ready (green), Reference-only (yellow), Invalid state (red).</w:t>
            </w:r>
          </w:p>
        </w:tc>
      </w:tr>
    </w:tbl>
    <w:p>
      <w:r>
        <w:t xml:space="preserve"/>
      </w:r>
    </w:p>
    <w:p>
      <w:pPr>
        <w:pStyle w:val="Heading2"/>
      </w:pPr>
      <w:r>
        <w:t xml:space="preserve">4. How to Read Outcomes</w:t>
      </w:r>
    </w:p>
    <w:p>
      <w:r>
        <w:t xml:space="preserve">The primary success metric in this PoC is the Containment Effect, visualized through the RAW_EXPOSURE vs GOVERNED_OUTPUT comparison.</w:t>
      </w:r>
    </w:p>
    <w:p>
      <w:r>
        <w:t xml:space="preserve"/>
      </w:r>
    </w:p>
    <w:p>
      <w:pPr>
        <w:pStyle w:val="ListParagraph"/>
        <w:numPr>
          <w:ilvl w:val="0"/>
          <w:numId w:val="1"/>
        </w:numPr>
      </w:pPr>
      <w:r>
        <w:rPr>
          <w:b/>
          <w:bCs/>
        </w:rPr>
        <w:t xml:space="preserve">RAW_EXPOSURE: </w:t>
      </w:r>
      <w:r>
        <w:t xml:space="preserve">Represents the state of the system if left unmanaged — high volatility with potential for runaway automation or drift.</w:t>
      </w:r>
    </w:p>
    <w:p>
      <w:pPr>
        <w:pStyle w:val="ListParagraph"/>
        <w:numPr>
          <w:ilvl w:val="0"/>
          <w:numId w:val="1"/>
        </w:numPr>
      </w:pPr>
      <w:r>
        <w:rPr>
          <w:b/>
          <w:bCs/>
        </w:rPr>
        <w:t xml:space="preserve">GOVERNED_OUTPUT: </w:t>
      </w:r>
      <w:r>
        <w:t xml:space="preserve">Represents the state of the system as presented to the external world. The reduction in volatility proves that the EGS is effectively absorbing system shocks at the boundary, ensuring that the external environment receives only "safe" or "consistent" signals.</w:t>
      </w:r>
    </w:p>
    <w:p>
      <w:r>
        <w:t xml:space="preserve"/>
      </w:r>
    </w:p>
    <w:p>
      <w:pPr>
        <w:pStyle w:val="Heading2"/>
      </w:pPr>
      <w:r>
        <w:t xml:space="preserve">5. Responsibility &amp; Liability Boundary</w:t>
      </w:r>
    </w:p>
    <w:p>
      <w:r>
        <w:t xml:space="preserve">The EGS architecture establishes a clear division of duties:</w:t>
      </w:r>
    </w:p>
    <w:p>
      <w:r>
        <w:t xml:space="preserve"/>
      </w:r>
    </w:p>
    <w:p>
      <w:pPr>
        <w:pStyle w:val="ListParagraph"/>
        <w:numPr>
          <w:ilvl w:val="0"/>
          <w:numId w:val="1"/>
        </w:numPr>
      </w:pPr>
      <w:r>
        <w:rPr>
          <w:b/>
          <w:bCs/>
        </w:rPr>
        <w:t xml:space="preserve">Architect Responsibilities: </w:t>
      </w:r>
      <w:r>
        <w:t xml:space="preserve">Providing the structural framework, the governance shell design, and the mathematical framework for premise validation.</w:t>
      </w:r>
    </w:p>
    <w:p>
      <w:pPr>
        <w:pStyle w:val="ListParagraph"/>
        <w:numPr>
          <w:ilvl w:val="0"/>
          <w:numId w:val="1"/>
        </w:numPr>
      </w:pPr>
      <w:r>
        <w:rPr>
          <w:b/>
          <w:bCs/>
        </w:rPr>
        <w:t xml:space="preserve">Enterprise Responsibilities: </w:t>
      </w:r>
      <w:r>
        <w:t xml:space="preserve">Defining specific policy thresholds, owning the operational environment, managing incident response, and setting the "baseline" for what constitutes acceptable system behavior. The EGS does not replace human judgment; it enforces the boundaries set by the organization.</w:t>
      </w:r>
    </w:p>
    <w:p>
      <w:r>
        <w:t xml:space="preserve"/>
      </w:r>
    </w:p>
    <w:p>
      <w:pPr>
        <w:pStyle w:val="Heading2"/>
      </w:pPr>
      <w:r>
        <w:t xml:space="preserve">6. Stakeholder Notes</w:t>
      </w:r>
    </w:p>
    <w:p>
      <w:pPr>
        <w:pStyle w:val="Heading3"/>
      </w:pPr>
      <w:r>
        <w:t xml:space="preserve">For the Executive (Risk &amp; Accountability)</w:t>
      </w:r>
    </w:p>
    <w:p>
      <w:r>
        <w:t xml:space="preserve">The PoC proves that "continuation" is no longer a default risk. It provides a mechanism to ensure that autonomous systems can be structurally stopped or contained if they deviate from business intent, protecting the organization's reputation and physical assets.</w:t>
      </w:r>
    </w:p>
    <w:p>
      <w:r>
        <w:t xml:space="preserve"/>
      </w:r>
    </w:p>
    <w:p>
      <w:pPr>
        <w:pStyle w:val="Heading3"/>
      </w:pPr>
      <w:r>
        <w:t xml:space="preserve">For the System Architect (Boundary &amp; Decoupling)</w:t>
      </w:r>
    </w:p>
    <w:p>
      <w:r>
        <w:t xml:space="preserve">Note that the EGS treats the internal AI/OS as an untrusted black box. By maintaining a decoupled observer-judge-enforce loop, the architecture ensures that an internal system failure (such as an OS crash or model drift) cannot disable the governance shell itself.</w:t>
      </w:r>
    </w:p>
    <w:p>
      <w:r>
        <w:t xml:space="preserve"/>
      </w:r>
    </w:p>
    <w:p>
      <w:pPr>
        <w:pStyle w:val="Heading3"/>
      </w:pPr>
      <w:r>
        <w:t xml:space="preserve">For Legal &amp; Compliance (Auditability)</w:t>
      </w:r>
    </w:p>
    <w:p>
      <w:r>
        <w:t xml:space="preserve">The EGS provides a "Structural Audit Trail." By logging when the Consistency Filter was engaged or when the Security Envelope changed, the organization can demonstrate proactive due diligence and maintain a record of containment actions taken by the shell, independent of the AI's internal logs.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2026-04-21T14:45:10.369Z</dcterms:created>
  <dcterms:modified xsi:type="dcterms:W3CDTF">2026-04-21T14:45:10.370Z</dcterms:modified>
</cp:coreProperties>
</file>

<file path=docProps/custom.xml><?xml version="1.0" encoding="utf-8"?>
<Properties xmlns="http://schemas.openxmlformats.org/officeDocument/2006/custom-properties" xmlns:vt="http://schemas.openxmlformats.org/officeDocument/2006/docPropsVTypes"/>
</file>