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500"/>
              <w:left w:type="dxa" w:w="480"/>
              <w:bottom w:type="dxa" w:w="500"/>
              <w:right w:type="dxa" w:w="480"/>
            </w:tcMar>
          </w:tcPr>
          <w:p>
            <w:pPr>
              <w:spacing w:after="8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6"/>
                <w:szCs w:val="56"/>
              </w:rPr>
              <w:t xml:space="preserve">NCAOS / EGS</w:t>
            </w:r>
          </w:p>
          <w:p>
            <w:pPr>
              <w:spacing w:after="16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9BBFD8"/>
                <w:sz w:val="26"/>
                <w:szCs w:val="26"/>
              </w:rPr>
              <w:t xml:space="preserve">External Governance Shell</w:t>
            </w:r>
          </w:p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color w:val="BDD7EE"/>
                <w:sz w:val="22"/>
                <w:szCs w:val="22"/>
              </w:rPr>
              <w:t xml:space="preserve">Phase Summary — v0.1 through v1.0-rc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EBF3FB"/>
                <w:sz w:val="18"/>
                <w:szCs w:val="18"/>
              </w:rPr>
              <w:t xml:space="preserve">Foundation · Shell · Detection · API · UI · Hardening · Demo &amp; Handoff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Document</w:t>
            </w:r>
          </w:p>
        </w:tc>
        <w:tc>
          <w:tcPr>
            <w:tcW w:type="dxa" w:w="73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Phase Summary — All Phases v0.1–v1.0-rc</w:t>
            </w:r>
          </w:p>
        </w:tc>
      </w:tr>
      <w:tr>
        <w:tc>
          <w:tcPr>
            <w:tcW w:type="dxa" w:w="2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Last Updated</w:t>
            </w:r>
          </w:p>
        </w:tc>
        <w:tc>
          <w:tcPr>
            <w:tcW w:type="dxa" w:w="73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2026-05-19</w:t>
            </w:r>
          </w:p>
        </w:tc>
      </w:tr>
      <w:tr>
        <w:tc>
          <w:tcPr>
            <w:tcW w:type="dxa" w:w="2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Repository</w:t>
            </w:r>
          </w:p>
        </w:tc>
        <w:tc>
          <w:tcPr>
            <w:tcW w:type="dxa" w:w="73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github.com/wholidi/NCAOS-Urielle (private)</w:t>
            </w:r>
          </w:p>
        </w:tc>
      </w:tr>
      <w:tr>
        <w:tc>
          <w:tcPr>
            <w:tcW w:type="dxa" w:w="2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Architecture Origin</w:t>
            </w:r>
          </w:p>
        </w:tc>
        <w:tc>
          <w:tcPr>
            <w:tcW w:type="dxa" w:w="73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Proof_of_Concept_final.docx + NCAOS_UI_final.html</w:t>
            </w:r>
          </w:p>
        </w:tc>
      </w:tr>
      <w:tr>
        <w:tc>
          <w:tcPr>
            <w:tcW w:type="dxa" w:w="2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Total Automated Tests</w:t>
            </w:r>
          </w:p>
        </w:tc>
        <w:tc>
          <w:tcPr>
            <w:tcW w:type="dxa" w:w="73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229 passing across 6 packages (+ UI manual)</w:t>
            </w:r>
          </w:p>
        </w:tc>
      </w:tr>
      <w:tr>
        <w:tc>
          <w:tcPr>
            <w:tcW w:type="dxa" w:w="2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Total Source Files</w:t>
            </w:r>
          </w:p>
        </w:tc>
        <w:tc>
          <w:tcPr>
            <w:tcW w:type="dxa" w:w="73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40+ TypeScript source files across 7 packages</w:t>
            </w:r>
          </w:p>
        </w:tc>
      </w:tr>
      <w:tr>
        <w:tc>
          <w:tcPr>
            <w:tcW w:type="dxa" w:w="2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ADRs Written</w:t>
            </w:r>
          </w:p>
        </w:tc>
        <w:tc>
          <w:tcPr>
            <w:tcW w:type="dxa" w:w="73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ADR-001 through ADR-008</w:t>
            </w:r>
          </w:p>
        </w:tc>
      </w:tr>
      <w:tr>
        <w:tc>
          <w:tcPr>
            <w:tcW w:type="dxa" w:w="2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Git Tag</w:t>
            </w:r>
          </w:p>
        </w:tc>
        <w:tc>
          <w:tcPr>
            <w:tcW w:type="dxa" w:w="73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v1.0-rc — EGS complete — Phases 01–07</w:t>
            </w:r>
          </w:p>
        </w:tc>
      </w:tr>
      <w:tr>
        <w:tc>
          <w:tcPr>
            <w:tcW w:type="dxa" w:w="2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73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Non-Public / Concept Demonstration Artifact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pStyle w:val="Heading1"/>
        <w:spacing w:after="120" w:before="300"/>
      </w:pPr>
      <w:r>
        <w:t xml:space="preserve">1. System Overview</w:t>
      </w:r>
    </w:p>
    <w:p>
      <w:pPr>
        <w:spacing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NCAOS (Non-Cooperative AI/OS) implements an External Governance Shell (EGS) — a decoupled observer-judge-enforce layer that sits at the I/O boundary of an AI or autonomous system. It governs outputs without interfering with internal model weights or OS kernel logic.</w:t>
      </w:r>
    </w:p>
    <w:p>
      <w:p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D6E4F0" w:val="clear"/>
            <w:tcMar>
              <w:top w:type="dxa" w:w="120"/>
              <w:left w:type="dxa" w:w="14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Boundary Governance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Observe outputs at the I/O perimeter without touching internal model weights or kernel logic</w:t>
            </w:r>
          </w:p>
        </w:tc>
        <w:tc>
          <w:tcPr>
            <w:tcW w:type="dxa" w:w="3120"/>
            <w:tcBorders>
              <w:top w:val="single" w:color="375623" w:sz="4"/>
              <w:left w:val="single" w:color="375623" w:sz="4"/>
              <w:bottom w:val="single" w:color="375623" w:sz="4"/>
              <w:right w:val="single" w:color="375623" w:sz="4"/>
            </w:tcBorders>
            <w:shd w:fill="E2EFDA" w:val="clear"/>
            <w:tcMar>
              <w:top w:type="dxa" w:w="120"/>
              <w:left w:type="dxa" w:w="14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Visibility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Translate high-entropy signals into human-readable integrity, authority, and containment indicators</w:t>
            </w:r>
          </w:p>
        </w:tc>
        <w:tc>
          <w:tcPr>
            <w:tcW w:type="dxa" w:w="3120"/>
            <w:tcBorders>
              <w:top w:val="single" w:color="7B3F00" w:sz="4"/>
              <w:left w:val="single" w:color="7B3F00" w:sz="4"/>
              <w:bottom w:val="single" w:color="7B3F00" w:sz="4"/>
              <w:right w:val="single" w:color="7B3F00" w:sz="4"/>
            </w:tcBorders>
            <w:shd w:fill="FAE5D3" w:val="clear"/>
            <w:tcMar>
              <w:top w:type="dxa" w:w="120"/>
              <w:left w:type="dxa" w:w="14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7B3F00"/>
                <w:sz w:val="20"/>
                <w:szCs w:val="20"/>
              </w:rPr>
              <w:t xml:space="preserve">Containment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Separate unfiltered internal state from governed external output — absorb system shocks before they reach consumers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t xml:space="preserve">1.1 Layer Architecture</w:t>
      </w:r>
    </w:p>
    <w:p>
      <w:pPr>
        <w:shd w:fill="F0F4FA" w:val="clear"/>
        <w:spacing w:after="0" w:before="0"/>
        <w:ind w:left="360"/>
      </w:pPr>
      <w:r>
        <w:rPr>
          <w:rFonts w:ascii="Courier New" w:cs="Courier New" w:eastAsia="Courier New" w:hAnsi="Courier New"/>
          <w:color w:val="2E75B6"/>
          <w:sz w:val="18"/>
          <w:szCs w:val="18"/>
        </w:rPr>
        <w:t xml:space="preserve">External Environment (untrusted inputs, API calls, user requests)</w:t>
      </w:r>
    </w:p>
    <w:p>
      <w:pPr>
        <w:shd w:fill="F0F4FA" w:val="clear"/>
        <w:spacing w:after="0" w:before="0"/>
        <w:ind w:left="360"/>
      </w:pPr>
      <w:r>
        <w:rPr>
          <w:rFonts w:ascii="Courier New" w:cs="Courier New" w:eastAsia="Courier New" w:hAnsi="Courier New"/>
          <w:color w:val="2E75B6"/>
          <w:sz w:val="18"/>
          <w:szCs w:val="18"/>
        </w:rPr>
        <w:t xml:space="preserve">        │</w:t>
      </w:r>
    </w:p>
    <w:p>
      <w:pPr>
        <w:shd w:fill="F0F4FA" w:val="clear"/>
        <w:spacing w:after="0" w:before="0"/>
        <w:ind w:left="360"/>
      </w:pPr>
      <w:r>
        <w:rPr>
          <w:rFonts w:ascii="Courier New" w:cs="Courier New" w:eastAsia="Courier New" w:hAnsi="Courier New"/>
          <w:color w:val="2E75B6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┌─────────────────────────────────────────────────────────────┐</w:t>
      </w:r>
    </w:p>
    <w:p>
      <w:pPr>
        <w:shd w:fill="F0F4FA" w:val="clear"/>
        <w:spacing w:after="0" w:before="0"/>
        <w:ind w:left="360"/>
      </w:pPr>
      <w:r>
        <w:rPr>
          <w:rFonts w:ascii="Courier New" w:cs="Courier New" w:eastAsia="Courier New" w:hAnsi="Courier New"/>
          <w:color w:val="2E75B6"/>
          <w:sz w:val="18"/>
          <w:szCs w:val="18"/>
        </w:rPr>
        <w:t xml:space="preserve">│         External Governance Shell (EGS) — this repo         │</w:t>
      </w:r>
    </w:p>
    <w:p>
      <w:pPr>
        <w:shd w:fill="F0F4FA" w:val="clear"/>
        <w:spacing w:after="0" w:before="0"/>
        <w:ind w:left="360"/>
      </w:pPr>
      <w:r>
        <w:rPr>
          <w:rFonts w:ascii="Courier New" w:cs="Courier New" w:eastAsia="Courier New" w:hAnsi="Courier New"/>
          <w:color w:val="2E75B6"/>
          <w:sz w:val="18"/>
          <w:szCs w:val="18"/>
        </w:rPr>
        <w:t xml:space="preserve">│                                                             │</w:t>
      </w:r>
    </w:p>
    <w:p>
      <w:pPr>
        <w:shd w:fill="F0F4FA" w:val="clear"/>
        <w:spacing w:after="0" w:before="0"/>
        <w:ind w:left="360"/>
      </w:pPr>
      <w:r>
        <w:rPr>
          <w:rFonts w:ascii="Courier New" w:cs="Courier New" w:eastAsia="Courier New" w:hAnsi="Courier New"/>
          <w:color w:val="2E75B6"/>
          <w:sz w:val="18"/>
          <w:szCs w:val="18"/>
        </w:rPr>
        <w:t xml:space="preserve">│  @ncaos/shell: Observer → Judge → Enforcer → Verdict        │</w:t>
      </w:r>
    </w:p>
    <w:p>
      <w:pPr>
        <w:shd w:fill="F0F4FA" w:val="clear"/>
        <w:spacing w:after="0" w:before="0"/>
        <w:ind w:left="360"/>
      </w:pPr>
      <w:r>
        <w:rPr>
          <w:rFonts w:ascii="Courier New" w:cs="Courier New" w:eastAsia="Courier New" w:hAnsi="Courier New"/>
          <w:color w:val="2E75B6"/>
          <w:sz w:val="18"/>
          <w:szCs w:val="18"/>
        </w:rPr>
        <w:t xml:space="preserve">│  @ncaos/detection: Gate | Premise | Authority | Continuity  │</w:t>
      </w:r>
    </w:p>
    <w:p>
      <w:pPr>
        <w:shd w:fill="F0F4FA" w:val="clear"/>
        <w:spacing w:after="0" w:before="0"/>
        <w:ind w:left="360"/>
      </w:pPr>
      <w:r>
        <w:rPr>
          <w:rFonts w:ascii="Courier New" w:cs="Courier New" w:eastAsia="Courier New" w:hAnsi="Courier New"/>
          <w:color w:val="2E75B6"/>
          <w:sz w:val="18"/>
          <w:szCs w:val="18"/>
        </w:rPr>
        <w:t xml:space="preserve">│  @ncaos/api: REST + WebSocket + EventStore + PolicyStore    │</w:t>
      </w:r>
    </w:p>
    <w:p>
      <w:pPr>
        <w:shd w:fill="F0F4FA" w:val="clear"/>
        <w:spacing w:after="0" w:before="0"/>
        <w:ind w:left="360"/>
      </w:pPr>
      <w:r>
        <w:rPr>
          <w:rFonts w:ascii="Courier New" w:cs="Courier New" w:eastAsia="Courier New" w:hAnsi="Courier New"/>
          <w:color w:val="2E75B6"/>
          <w:sz w:val="18"/>
          <w:szCs w:val="18"/>
        </w:rPr>
        <w:t xml:space="preserve">│  @ncaos/ui: React Admin Terminal (SOC/Architect/Auditor/Exec)│</w:t>
      </w:r>
    </w:p>
    <w:p>
      <w:pPr>
        <w:shd w:fill="F0F4FA" w:val="clear"/>
        <w:spacing w:after="0" w:before="0"/>
        <w:ind w:left="360"/>
      </w:pPr>
      <w:r>
        <w:rPr>
          <w:rFonts w:ascii="Courier New" w:cs="Courier New" w:eastAsia="Courier New" w:hAnsi="Courier New"/>
          <w:color w:val="2E75B6"/>
          <w:sz w:val="18"/>
          <w:szCs w:val="18"/>
        </w:rPr>
        <w:t xml:space="preserve">│  @ncaos/hardening: STRIDE + JWT + RateLimit + ISO 42001     │</w:t>
      </w:r>
    </w:p>
    <w:p>
      <w:pPr>
        <w:shd w:fill="F0F4FA" w:val="clear"/>
        <w:spacing w:after="0" w:before="0"/>
        <w:ind w:left="360"/>
      </w:pPr>
      <w:r>
        <w:rPr>
          <w:rFonts w:ascii="Courier New" w:cs="Courier New" w:eastAsia="Courier New" w:hAnsi="Courier New"/>
          <w:color w:val="2E75B6"/>
          <w:sz w:val="18"/>
          <w:szCs w:val="18"/>
        </w:rPr>
        <w:t xml:space="preserve">│  @ncaos/audit-signal: AuditSignal (Toru-William interface)  │</w:t>
      </w:r>
    </w:p>
    <w:p>
      <w:pPr>
        <w:shd w:fill="F0F4FA" w:val="clear"/>
        <w:spacing w:after="0" w:before="0"/>
        <w:ind w:left="360"/>
      </w:pPr>
      <w:r>
        <w:rPr>
          <w:rFonts w:ascii="Courier New" w:cs="Courier New" w:eastAsia="Courier New" w:hAnsi="Courier New"/>
          <w:color w:val="2E75B6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pPr>
        <w:shd w:fill="F0F4FA" w:val="clear"/>
        <w:spacing w:after="0" w:before="0"/>
        <w:ind w:left="360"/>
      </w:pPr>
      <w:r>
        <w:rPr>
          <w:rFonts w:ascii="Courier New" w:cs="Courier New" w:eastAsia="Courier New" w:hAnsi="Courier New"/>
          <w:color w:val="2E75B6"/>
          <w:sz w:val="18"/>
          <w:szCs w:val="18"/>
        </w:rPr>
        <w:t xml:space="preserve">        │  (observe only — never modifies core)</w:t>
      </w:r>
    </w:p>
    <w:p>
      <w:pPr>
        <w:shd w:fill="F0F4FA" w:val="clear"/>
        <w:spacing w:after="0" w:before="0"/>
        <w:ind w:left="360"/>
      </w:pPr>
      <w:r>
        <w:rPr>
          <w:rFonts w:ascii="Courier New" w:cs="Courier New" w:eastAsia="Courier New" w:hAnsi="Courier New"/>
          <w:color w:val="2E75B6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┌─────────────────────────────────────────────────────────────┐</w:t>
      </w:r>
    </w:p>
    <w:p>
      <w:pPr>
        <w:shd w:fill="F0F4FA" w:val="clear"/>
        <w:spacing w:after="0" w:before="0"/>
        <w:ind w:left="360"/>
      </w:pPr>
      <w:r>
        <w:rPr>
          <w:rFonts w:ascii="Courier New" w:cs="Courier New" w:eastAsia="Courier New" w:hAnsi="Courier New"/>
          <w:color w:val="2E75B6"/>
          <w:sz w:val="18"/>
          <w:szCs w:val="18"/>
        </w:rPr>
        <w:t xml:space="preserve">│         Protected Core (black box)                          │</w:t>
      </w:r>
    </w:p>
    <w:p>
      <w:pPr>
        <w:shd w:fill="F0F4FA" w:val="clear"/>
        <w:spacing w:after="0" w:before="0"/>
        <w:ind w:left="360"/>
      </w:pPr>
      <w:r>
        <w:rPr>
          <w:rFonts w:ascii="Courier New" w:cs="Courier New" w:eastAsia="Courier New" w:hAnsi="Courier New"/>
          <w:color w:val="2E75B6"/>
          <w:sz w:val="18"/>
          <w:szCs w:val="18"/>
        </w:rPr>
        <w:t xml:space="preserve">│         AI model / OS runtime                               │</w:t>
      </w:r>
    </w:p>
    <w:p>
      <w:pPr>
        <w:shd w:fill="F0F4FA" w:val="clear"/>
        <w:spacing w:after="0" w:before="0"/>
        <w:ind w:left="360"/>
      </w:pPr>
      <w:r>
        <w:rPr>
          <w:rFonts w:ascii="Courier New" w:cs="Courier New" w:eastAsia="Courier New" w:hAnsi="Courier New"/>
          <w:color w:val="2E75B6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pPr>
        <w:shd w:fill="F0F4FA" w:val="clear"/>
        <w:spacing w:after="0" w:before="0"/>
        <w:ind w:left="360"/>
      </w:pPr>
      <w:r>
        <w:rPr>
          <w:rFonts w:ascii="Courier New" w:cs="Courier New" w:eastAsia="Courier New" w:hAnsi="Courier New"/>
          <w:color w:val="2E75B6"/>
          <w:sz w:val="18"/>
          <w:szCs w:val="18"/>
        </w:rPr>
        <w:t xml:space="preserve">        │</w:t>
      </w:r>
    </w:p>
    <w:p>
      <w:pPr>
        <w:shd w:fill="F0F4FA" w:val="clear"/>
        <w:spacing w:after="0" w:before="0"/>
        <w:ind w:left="360"/>
      </w:pPr>
      <w:r>
        <w:rPr>
          <w:rFonts w:ascii="Courier New" w:cs="Courier New" w:eastAsia="Courier New" w:hAnsi="Courier New"/>
          <w:color w:val="2E75B6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┌─────────────────────────────────────────────────────────────┐</w:t>
      </w:r>
    </w:p>
    <w:p>
      <w:pPr>
        <w:shd w:fill="F0F4FA" w:val="clear"/>
        <w:spacing w:after="0" w:before="0"/>
        <w:ind w:left="360"/>
      </w:pPr>
      <w:r>
        <w:rPr>
          <w:rFonts w:ascii="Courier New" w:cs="Courier New" w:eastAsia="Courier New" w:hAnsi="Courier New"/>
          <w:color w:val="2E75B6"/>
          <w:sz w:val="18"/>
          <w:szCs w:val="18"/>
        </w:rPr>
        <w:t xml:space="preserve">│  @ncaos/core — shared type contracts                        │</w:t>
      </w:r>
    </w:p>
    <w:p>
      <w:pPr>
        <w:shd w:fill="F0F4FA" w:val="clear"/>
        <w:spacing w:after="0" w:before="0"/>
        <w:ind w:left="360"/>
      </w:pPr>
      <w:r>
        <w:rPr>
          <w:rFonts w:ascii="Courier New" w:cs="Courier New" w:eastAsia="Courier New" w:hAnsi="Courier New"/>
          <w:color w:val="2E75B6"/>
          <w:sz w:val="18"/>
          <w:szCs w:val="18"/>
        </w:rPr>
        <w:t xml:space="preserve">│  GovEvent · GovState · PolicyProfile · Verdict              │</w:t>
      </w:r>
    </w:p>
    <w:p>
      <w:pPr>
        <w:shd w:fill="F0F4FA" w:val="clear"/>
        <w:spacing w:after="0" w:before="0"/>
        <w:ind w:left="360"/>
      </w:pPr>
      <w:r>
        <w:rPr>
          <w:rFonts w:ascii="Courier New" w:cs="Courier New" w:eastAsia="Courier New" w:hAnsi="Courier New"/>
          <w:color w:val="2E75B6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t xml:space="preserve">1.2 Design Invariants (all phases)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EGS never modifies internal model weights or OS kernel state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The shell fails SAFE (BLOCK / invalid authority) on any internal error — ADR-002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No root-cause inference — the shell reports impact signals only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Evidence trail is structurally independent of the AI internal logs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Tenant isolation is enforced at every layer via PARTNER_ID scoping — ADR-005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Authority can only be downgraded within a request chain — never upgraded</w:t>
      </w:r>
    </w:p>
    <w:p>
      <w:pPr>
        <w:spacing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pStyle w:val="Heading1"/>
        <w:spacing w:after="120" w:before="300"/>
      </w:pPr>
      <w:r>
        <w:t xml:space="preserve">2. Cumulative Phase Overview</w:t>
      </w:r>
    </w:p>
    <w:p>
      <w:p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00"/>
        <w:gridCol w:w="1800"/>
        <w:gridCol w:w="1200"/>
        <w:gridCol w:w="1160"/>
        <w:gridCol w:w="1000"/>
        <w:gridCol w:w="1400"/>
      </w:tblGrid>
      <w:tr>
        <w:trPr>
          <w:tblHeader/>
        </w:trPr>
        <w:tc>
          <w:tcPr>
            <w:tcW w:type="dxa" w:w="8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Phase</w:t>
            </w:r>
          </w:p>
        </w:tc>
        <w:tc>
          <w:tcPr>
            <w:tcW w:type="dxa" w:w="20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Title</w:t>
            </w:r>
          </w:p>
        </w:tc>
        <w:tc>
          <w:tcPr>
            <w:tcW w:type="dxa" w:w="18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Package</w:t>
            </w:r>
          </w:p>
        </w:tc>
        <w:tc>
          <w:tcPr>
            <w:tcW w:type="dxa" w:w="12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Week</w:t>
            </w:r>
          </w:p>
        </w:tc>
        <w:tc>
          <w:tcPr>
            <w:tcW w:type="dxa" w:w="116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Tests</w:t>
            </w:r>
          </w:p>
        </w:tc>
        <w:tc>
          <w:tcPr>
            <w:tcW w:type="dxa" w:w="10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Files</w:t>
            </w:r>
          </w:p>
        </w:tc>
        <w:tc>
          <w:tcPr>
            <w:tcW w:type="dxa" w:w="14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Version</w:t>
            </w:r>
          </w:p>
        </w:tc>
      </w:tr>
      <w:tr>
        <w:tc>
          <w:tcPr>
            <w:tcW w:type="dxa" w:w="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1F4E79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01</w:t>
            </w:r>
          </w:p>
        </w:tc>
        <w:tc>
          <w:tcPr>
            <w:tcW w:type="dxa" w:w="2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Foundation &amp; Repo Setup</w:t>
            </w:r>
          </w:p>
        </w:tc>
        <w:tc>
          <w:tcPr>
            <w:tcW w:type="dxa" w:w="1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@ncaos/core</w:t>
            </w:r>
          </w:p>
        </w:tc>
        <w:tc>
          <w:tcPr>
            <w:tcW w:type="dxa" w:w="1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W1–2</w:t>
            </w:r>
          </w:p>
        </w:tc>
        <w:tc>
          <w:tcPr>
            <w:tcW w:type="dxa" w:w="1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47</w:t>
            </w:r>
          </w:p>
        </w:tc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8 src</w:t>
            </w:r>
          </w:p>
        </w:tc>
        <w:tc>
          <w:tcPr>
            <w:tcW w:type="dxa" w:w="1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v0.1.0</w:t>
            </w:r>
          </w:p>
        </w:tc>
      </w:tr>
      <w:tr>
        <w:tc>
          <w:tcPr>
            <w:tcW w:type="dxa" w:w="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375623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02</w:t>
            </w:r>
          </w:p>
        </w:tc>
        <w:tc>
          <w:tcPr>
            <w:tcW w:type="dxa" w:w="2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2EFDA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Shell Engine + API Skeleton</w:t>
            </w:r>
          </w:p>
        </w:tc>
        <w:tc>
          <w:tcPr>
            <w:tcW w:type="dxa" w:w="1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2EFDA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@ncaos/shell + api</w:t>
            </w:r>
          </w:p>
        </w:tc>
        <w:tc>
          <w:tcPr>
            <w:tcW w:type="dxa" w:w="1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2EFDA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W2–4</w:t>
            </w:r>
          </w:p>
        </w:tc>
        <w:tc>
          <w:tcPr>
            <w:tcW w:type="dxa" w:w="1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2EFDA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70</w:t>
            </w:r>
          </w:p>
        </w:tc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2EFDA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14 src</w:t>
            </w:r>
          </w:p>
        </w:tc>
        <w:tc>
          <w:tcPr>
            <w:tcW w:type="dxa" w:w="1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2EFDA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v0.2.0</w:t>
            </w:r>
          </w:p>
        </w:tc>
      </w:tr>
      <w:tr>
        <w:tc>
          <w:tcPr>
            <w:tcW w:type="dxa" w:w="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7B3F00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03</w:t>
            </w:r>
          </w:p>
        </w:tc>
        <w:tc>
          <w:tcPr>
            <w:tcW w:type="dxa" w:w="2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AE5D3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Detection Layer — MTTD</w:t>
            </w:r>
          </w:p>
        </w:tc>
        <w:tc>
          <w:tcPr>
            <w:tcW w:type="dxa" w:w="1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AE5D3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@ncaos/detection</w:t>
            </w:r>
          </w:p>
        </w:tc>
        <w:tc>
          <w:tcPr>
            <w:tcW w:type="dxa" w:w="1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AE5D3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W4–6</w:t>
            </w:r>
          </w:p>
        </w:tc>
        <w:tc>
          <w:tcPr>
            <w:tcW w:type="dxa" w:w="1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AE5D3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124</w:t>
            </w:r>
          </w:p>
        </w:tc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AE5D3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20 src</w:t>
            </w:r>
          </w:p>
        </w:tc>
        <w:tc>
          <w:tcPr>
            <w:tcW w:type="dxa" w:w="1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AE5D3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v0.3.0</w:t>
            </w:r>
          </w:p>
        </w:tc>
      </w:tr>
      <w:tr>
        <w:tc>
          <w:tcPr>
            <w:tcW w:type="dxa" w:w="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4B0082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04</w:t>
            </w:r>
          </w:p>
        </w:tc>
        <w:tc>
          <w:tcPr>
            <w:tcW w:type="dxa" w:w="2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EEDFE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API Integration Surface</w:t>
            </w:r>
          </w:p>
        </w:tc>
        <w:tc>
          <w:tcPr>
            <w:tcW w:type="dxa" w:w="1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EEDFE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@ncaos/api (upgraded)</w:t>
            </w:r>
          </w:p>
        </w:tc>
        <w:tc>
          <w:tcPr>
            <w:tcW w:type="dxa" w:w="1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EEDFE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W6–8</w:t>
            </w:r>
          </w:p>
        </w:tc>
        <w:tc>
          <w:tcPr>
            <w:tcW w:type="dxa" w:w="1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EEDFE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181</w:t>
            </w:r>
          </w:p>
        </w:tc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EEDFE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26 src</w:t>
            </w:r>
          </w:p>
        </w:tc>
        <w:tc>
          <w:tcPr>
            <w:tcW w:type="dxa" w:w="1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EEDFE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v0.4.0</w:t>
            </w:r>
          </w:p>
        </w:tc>
      </w:tr>
      <w:tr>
        <w:tc>
          <w:tcPr>
            <w:tcW w:type="dxa" w:w="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085041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05</w:t>
            </w:r>
          </w:p>
        </w:tc>
        <w:tc>
          <w:tcPr>
            <w:tcW w:type="dxa" w:w="2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1F5EE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Admin UI + AuditSignal Schema</w:t>
            </w:r>
          </w:p>
        </w:tc>
        <w:tc>
          <w:tcPr>
            <w:tcW w:type="dxa" w:w="1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1F5EE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@ncaos/ui + audit-signal</w:t>
            </w:r>
          </w:p>
        </w:tc>
        <w:tc>
          <w:tcPr>
            <w:tcW w:type="dxa" w:w="1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1F5EE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W8–10</w:t>
            </w:r>
          </w:p>
        </w:tc>
        <w:tc>
          <w:tcPr>
            <w:tcW w:type="dxa" w:w="1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1F5EE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181 auto
+11 manual</w:t>
            </w:r>
          </w:p>
        </w:tc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1F5EE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35 src</w:t>
            </w:r>
          </w:p>
        </w:tc>
        <w:tc>
          <w:tcPr>
            <w:tcW w:type="dxa" w:w="1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1F5EE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v0.5.0</w:t>
            </w:r>
          </w:p>
        </w:tc>
      </w:tr>
      <w:tr>
        <w:tc>
          <w:tcPr>
            <w:tcW w:type="dxa" w:w="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7A0000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06</w:t>
            </w:r>
          </w:p>
        </w:tc>
        <w:tc>
          <w:tcPr>
            <w:tcW w:type="dxa" w:w="2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CE4D6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Hardening &amp; Compliance</w:t>
            </w:r>
          </w:p>
        </w:tc>
        <w:tc>
          <w:tcPr>
            <w:tcW w:type="dxa" w:w="1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CE4D6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@ncaos/hardening</w:t>
            </w:r>
          </w:p>
        </w:tc>
        <w:tc>
          <w:tcPr>
            <w:tcW w:type="dxa" w:w="1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CE4D6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W10–12</w:t>
            </w:r>
          </w:p>
        </w:tc>
        <w:tc>
          <w:tcPr>
            <w:tcW w:type="dxa" w:w="1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CE4D6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229 auto
+11 pen tests</w:t>
            </w:r>
          </w:p>
        </w:tc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CE4D6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42 src</w:t>
            </w:r>
          </w:p>
        </w:tc>
        <w:tc>
          <w:tcPr>
            <w:tcW w:type="dxa" w:w="1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CE4D6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v0.6.0</w:t>
            </w:r>
          </w:p>
        </w:tc>
      </w:tr>
      <w:tr>
        <w:tc>
          <w:tcPr>
            <w:tcW w:type="dxa" w:w="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1F3864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07</w:t>
            </w:r>
          </w:p>
        </w:tc>
        <w:tc>
          <w:tcPr>
            <w:tcW w:type="dxa" w:w="2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Stakeholder Demo &amp; Handoff</w:t>
            </w:r>
          </w:p>
        </w:tc>
        <w:tc>
          <w:tcPr>
            <w:tcW w:type="dxa" w:w="1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egs/demo + pilot</w:t>
            </w:r>
          </w:p>
        </w:tc>
        <w:tc>
          <w:tcPr>
            <w:tcW w:type="dxa" w:w="1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W12–14</w:t>
            </w:r>
          </w:p>
        </w:tc>
        <w:tc>
          <w:tcPr>
            <w:tcW w:type="dxa" w:w="1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229 auto
+demo</w:t>
            </w:r>
          </w:p>
        </w:tc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45 src</w:t>
            </w:r>
          </w:p>
        </w:tc>
        <w:tc>
          <w:tcPr>
            <w:tcW w:type="dxa" w:w="1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v1.0-rc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5920"/>
        <w:gridCol w:w="1600"/>
        <w:gridCol w:w="1200"/>
      </w:tblGrid>
      <w:tr>
        <w:tc>
          <w:tcPr>
            <w:tcW w:type="dxa" w:w="64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100"/>
              <w:left w:type="dxa" w:w="100"/>
              <w:bottom w:type="dxa" w:w="10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01</w:t>
            </w:r>
          </w:p>
        </w:tc>
        <w:tc>
          <w:tcPr>
            <w:tcW w:type="dxa" w:w="592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D6E4F0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4"/>
                <w:szCs w:val="24"/>
              </w:rPr>
              <w:t xml:space="preserve">Foundation &amp; Repo Setup</w:t>
            </w:r>
          </w:p>
        </w:tc>
        <w:tc>
          <w:tcPr>
            <w:tcW w:type="dxa" w:w="16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D6E4F0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Week 1–2</w:t>
            </w:r>
          </w:p>
        </w:tc>
        <w:tc>
          <w:tcPr>
            <w:tcW w:type="dxa" w:w="12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E2EFDA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7"/>
                <w:szCs w:val="17"/>
              </w:rPr>
              <w:t xml:space="preserve">47 tests ✓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t xml:space="preserve">What Was Built</w:t>
      </w:r>
    </w:p>
    <w:p>
      <w:pPr>
        <w:spacing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Phase 01 established the typed foundation for the entire EGS system. All packages import from @ncaos/core. No server, no API — pure typed logic with a full unit test suite. 22 PoC functions ported from NCAOS_UI_final.html.</w:t>
      </w:r>
    </w:p>
    <w:p>
      <w:p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160"/>
        <w:gridCol w:w="1000"/>
      </w:tblGrid>
      <w:tr>
        <w:trPr>
          <w:tblHeader/>
        </w:trPr>
        <w:tc>
          <w:tcPr>
            <w:tcW w:type="dxa" w:w="32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 / Module</w:t>
            </w:r>
          </w:p>
        </w:tc>
        <w:tc>
          <w:tcPr>
            <w:tcW w:type="dxa" w:w="51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10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</w:tr>
      <w:tr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E75B6"/>
                <w:sz w:val="18"/>
                <w:szCs w:val="18"/>
              </w:rPr>
              <w:t xml:space="preserve">core/src/types/contracts.ts</w:t>
            </w:r>
          </w:p>
        </w:tc>
        <w:tc>
          <w:tcPr>
            <w:tcW w:type="dxa" w:w="5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9 Zod schemas: GovEvent, GovState, PolicyProfile, Verdict, IntegrityState, AuthorityState, RoutingDecision, TenantContext, ContainmentLayer</w:t>
            </w:r>
          </w:p>
        </w:tc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Types</w:t>
            </w:r>
          </w:p>
        </w:tc>
      </w:tr>
      <w:tr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E75B6"/>
                <w:sz w:val="18"/>
                <w:szCs w:val="18"/>
              </w:rPr>
              <w:t xml:space="preserve">core/src/detection/layers.ts</w:t>
            </w:r>
          </w:p>
        </w:tc>
        <w:tc>
          <w:tcPr>
            <w:tcW w:type="dxa" w:w="5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detectGate(), detectPremise(), detectAuthority(), detectContinuity() — PoC logic typed and testable</w:t>
            </w:r>
          </w:p>
        </w:tc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Logic</w:t>
            </w:r>
          </w:p>
        </w:tc>
      </w:tr>
      <w:tr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E75B6"/>
                <w:sz w:val="18"/>
                <w:szCs w:val="18"/>
              </w:rPr>
              <w:t xml:space="preserve">core/src/scoring/integrity.ts</w:t>
            </w:r>
          </w:p>
        </w:tc>
        <w:tc>
          <w:tcPr>
            <w:tcW w:type="dxa" w:w="5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computeIntegrity(), computeAuthority(), computeContainmentMetrics(), scoreToContinuityState()</w:t>
            </w:r>
          </w:p>
        </w:tc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Scoring</w:t>
            </w:r>
          </w:p>
        </w:tc>
      </w:tr>
      <w:tr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E75B6"/>
                <w:sz w:val="18"/>
                <w:szCs w:val="18"/>
              </w:rPr>
              <w:t xml:space="preserve">core/src/engine/verdict.ts</w:t>
            </w:r>
          </w:p>
        </w:tc>
        <w:tc>
          <w:tcPr>
            <w:tcW w:type="dxa" w:w="5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enforce() + failSafeVerdict() — core Enforcer logic</w:t>
            </w:r>
          </w:p>
        </w:tc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Logic</w:t>
            </w:r>
          </w:p>
        </w:tc>
      </w:tr>
      <w:tr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E75B6"/>
                <w:sz w:val="18"/>
                <w:szCs w:val="18"/>
              </w:rPr>
              <w:t xml:space="preserve">core/src/policy/loader.ts</w:t>
            </w:r>
          </w:p>
        </w:tc>
        <w:tc>
          <w:tcPr>
            <w:tcW w:type="dxa" w:w="5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3 builtin profiles: STRICT-PROD, CRITICAL-STRICT, PILOT-OBS + loadPolicy() + validatePolicyConsistency()</w:t>
            </w:r>
          </w:p>
        </w:tc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Config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Tests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47/47 — scoring, detection, verdict</w:t>
            </w:r>
          </w:p>
        </w:tc>
      </w:tr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ADRs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ADR-001 (type contracts), ADR-002 (fail-safe invariant)</w:t>
            </w:r>
          </w:p>
        </w:tc>
      </w:tr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Key decision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Zod-first schemas — runtime validation from a single definition. failSafeVerdict() unconditionally returns FAIL_SAFE on error.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5920"/>
        <w:gridCol w:w="1600"/>
        <w:gridCol w:w="1200"/>
      </w:tblGrid>
      <w:tr>
        <w:tc>
          <w:tcPr>
            <w:tcW w:type="dxa" w:w="640"/>
            <w:tcBorders>
              <w:top w:val="single" w:color="375623" w:sz="4"/>
              <w:left w:val="single" w:color="375623" w:sz="4"/>
              <w:bottom w:val="single" w:color="375623" w:sz="4"/>
              <w:right w:val="single" w:color="375623" w:sz="4"/>
            </w:tcBorders>
            <w:shd w:fill="375623" w:val="clear"/>
            <w:tcMar>
              <w:top w:type="dxa" w:w="100"/>
              <w:left w:type="dxa" w:w="100"/>
              <w:bottom w:type="dxa" w:w="10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02</w:t>
            </w:r>
          </w:p>
        </w:tc>
        <w:tc>
          <w:tcPr>
            <w:tcW w:type="dxa" w:w="5920"/>
            <w:tcBorders>
              <w:top w:val="single" w:color="375623" w:sz="4"/>
              <w:left w:val="single" w:color="375623" w:sz="4"/>
              <w:bottom w:val="single" w:color="375623" w:sz="4"/>
              <w:right w:val="single" w:color="375623" w:sz="4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24"/>
                <w:szCs w:val="24"/>
              </w:rPr>
              <w:t xml:space="preserve">Shell Engine + API Skeleton</w:t>
            </w:r>
          </w:p>
        </w:tc>
        <w:tc>
          <w:tcPr>
            <w:tcW w:type="dxa" w:w="1600"/>
            <w:tcBorders>
              <w:top w:val="single" w:color="375623" w:sz="4"/>
              <w:left w:val="single" w:color="375623" w:sz="4"/>
              <w:bottom w:val="single" w:color="375623" w:sz="4"/>
              <w:right w:val="single" w:color="375623" w:sz="4"/>
            </w:tcBorders>
            <w:shd w:fill="E2EFDA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Week 2–4</w:t>
            </w:r>
          </w:p>
        </w:tc>
        <w:tc>
          <w:tcPr>
            <w:tcW w:type="dxa" w:w="1200"/>
            <w:tcBorders>
              <w:top w:val="single" w:color="375623" w:sz="4"/>
              <w:left w:val="single" w:color="375623" w:sz="4"/>
              <w:bottom w:val="single" w:color="375623" w:sz="4"/>
              <w:right w:val="single" w:color="375623" w:sz="4"/>
            </w:tcBorders>
            <w:shd w:fill="E2EFDA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7"/>
                <w:szCs w:val="17"/>
              </w:rPr>
              <w:t xml:space="preserve">70 tests ✓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t xml:space="preserve">What Was Built</w:t>
      </w:r>
    </w:p>
    <w:p>
      <w:pPr>
        <w:spacing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Phase 02 implemented the Observer→Judge→Enforcer loop as a process-isolated shell, wired it to a Watchdog, and exposed it via a Fastify REST + WebSocket API skeleton. 5 manual API tests confirmed live behavior.</w:t>
      </w:r>
    </w:p>
    <w:p>
      <w:p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160"/>
        <w:gridCol w:w="1000"/>
      </w:tblGrid>
      <w:tr>
        <w:trPr>
          <w:tblHeader/>
        </w:trPr>
        <w:tc>
          <w:tcPr>
            <w:tcW w:type="dxa" w:w="3200"/>
            <w:tcBorders>
              <w:top w:val="single" w:color="375623" w:sz="4"/>
              <w:left w:val="single" w:color="375623" w:sz="4"/>
              <w:bottom w:val="single" w:color="375623" w:sz="4"/>
              <w:right w:val="single" w:color="375623" w:sz="4"/>
            </w:tcBorders>
            <w:shd w:fill="375623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 / Module</w:t>
            </w:r>
          </w:p>
        </w:tc>
        <w:tc>
          <w:tcPr>
            <w:tcW w:type="dxa" w:w="5160"/>
            <w:tcBorders>
              <w:top w:val="single" w:color="375623" w:sz="4"/>
              <w:left w:val="single" w:color="375623" w:sz="4"/>
              <w:bottom w:val="single" w:color="375623" w:sz="4"/>
              <w:right w:val="single" w:color="375623" w:sz="4"/>
            </w:tcBorders>
            <w:shd w:fill="375623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1000"/>
            <w:tcBorders>
              <w:top w:val="single" w:color="375623" w:sz="4"/>
              <w:left w:val="single" w:color="375623" w:sz="4"/>
              <w:bottom w:val="single" w:color="375623" w:sz="4"/>
              <w:right w:val="single" w:color="375623" w:sz="4"/>
            </w:tcBorders>
            <w:shd w:fill="375623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</w:tr>
      <w:tr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E75B6"/>
                <w:sz w:val="18"/>
                <w:szCs w:val="18"/>
              </w:rPr>
              <w:t xml:space="preserve">shell/src/shell-loop.ts</w:t>
            </w:r>
          </w:p>
        </w:tc>
        <w:tc>
          <w:tcPr>
            <w:tcW w:type="dxa" w:w="5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Wires Observer→Judge→Enforcer. Single process() entry point for the API layer.</w:t>
            </w:r>
          </w:p>
        </w:tc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Loop</w:t>
            </w:r>
          </w:p>
        </w:tc>
      </w:tr>
      <w:tr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E75B6"/>
                <w:sz w:val="18"/>
                <w:szCs w:val="18"/>
              </w:rPr>
              <w:t xml:space="preserve">shell/src/watchdog/watchdog.ts</w:t>
            </w:r>
          </w:p>
        </w:tc>
        <w:tc>
          <w:tcPr>
            <w:tcW w:type="dxa" w:w="5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3-restart policy, exponential backoff (500→1000→2000ms), permanent FAIL_SAFE after max restarts</w:t>
            </w:r>
          </w:p>
        </w:tc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Watchdog</w:t>
            </w:r>
          </w:p>
        </w:tc>
      </w:tr>
      <w:tr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E75B6"/>
                <w:sz w:val="18"/>
                <w:szCs w:val="18"/>
              </w:rPr>
              <w:t xml:space="preserve">api/src/server.ts</w:t>
            </w:r>
          </w:p>
        </w:tc>
        <w:tc>
          <w:tcPr>
            <w:tcW w:type="dxa" w:w="5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Fastify: POST /v1/process, GET /v1/state, GET /v1/audit/:handle, GET /v1/health, WS /v1/state/stream</w:t>
            </w:r>
          </w:p>
        </w:tc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API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shell tests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15/15 — lifecycle, clean request, threat, event emission</w:t>
            </w:r>
          </w:p>
        </w:tc>
      </w:tr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api tests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8/8 — health, process (401/400/200/evidenceHandle), state, audit</w:t>
            </w:r>
          </w:p>
        </w:tc>
      </w:tr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Manual API tests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5/5 — all confirmed live on DESKTOP-2JNEOET</w:t>
            </w:r>
          </w:p>
        </w:tc>
      </w:tr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ADR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ADR-003 (process isolation — ShellLoop runs as separate process)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5920"/>
        <w:gridCol w:w="1600"/>
        <w:gridCol w:w="1200"/>
      </w:tblGrid>
      <w:tr>
        <w:tc>
          <w:tcPr>
            <w:tcW w:type="dxa" w:w="640"/>
            <w:tcBorders>
              <w:top w:val="single" w:color="7B3F00" w:sz="4"/>
              <w:left w:val="single" w:color="7B3F00" w:sz="4"/>
              <w:bottom w:val="single" w:color="7B3F00" w:sz="4"/>
              <w:right w:val="single" w:color="7B3F00" w:sz="4"/>
            </w:tcBorders>
            <w:shd w:fill="7B3F00" w:val="clear"/>
            <w:tcMar>
              <w:top w:type="dxa" w:w="100"/>
              <w:left w:type="dxa" w:w="100"/>
              <w:bottom w:type="dxa" w:w="10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03</w:t>
            </w:r>
          </w:p>
        </w:tc>
        <w:tc>
          <w:tcPr>
            <w:tcW w:type="dxa" w:w="5920"/>
            <w:tcBorders>
              <w:top w:val="single" w:color="7B3F00" w:sz="4"/>
              <w:left w:val="single" w:color="7B3F00" w:sz="4"/>
              <w:bottom w:val="single" w:color="7B3F00" w:sz="4"/>
              <w:right w:val="single" w:color="7B3F00" w:sz="4"/>
            </w:tcBorders>
            <w:shd w:fill="FAE5D3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B3F00"/>
                <w:sz w:val="24"/>
                <w:szCs w:val="24"/>
              </w:rPr>
              <w:t xml:space="preserve">Detection Layer — MTTD Instrumentation</w:t>
            </w:r>
          </w:p>
        </w:tc>
        <w:tc>
          <w:tcPr>
            <w:tcW w:type="dxa" w:w="1600"/>
            <w:tcBorders>
              <w:top w:val="single" w:color="7B3F00" w:sz="4"/>
              <w:left w:val="single" w:color="7B3F00" w:sz="4"/>
              <w:bottom w:val="single" w:color="7B3F00" w:sz="4"/>
              <w:right w:val="single" w:color="7B3F00" w:sz="4"/>
            </w:tcBorders>
            <w:shd w:fill="FAE5D3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Week 4–6</w:t>
            </w:r>
          </w:p>
        </w:tc>
        <w:tc>
          <w:tcPr>
            <w:tcW w:type="dxa" w:w="1200"/>
            <w:tcBorders>
              <w:top w:val="single" w:color="7B3F00" w:sz="4"/>
              <w:left w:val="single" w:color="7B3F00" w:sz="4"/>
              <w:bottom w:val="single" w:color="7B3F00" w:sz="4"/>
              <w:right w:val="single" w:color="7B3F00" w:sz="4"/>
            </w:tcBorders>
            <w:shd w:fill="E2EFDA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7"/>
                <w:szCs w:val="17"/>
              </w:rPr>
              <w:t xml:space="preserve">124 tests ✓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t xml:space="preserve">What Was Built</w:t>
      </w:r>
    </w:p>
    <w:p>
      <w:pPr>
        <w:spacing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Phase 03 extracted four detection modules from @ncaos/core into @ncaos/detection. Each module upgraded from a function to a class with configurable rule sets, per-workflow registries, and full MTTD instrumentation (ring buffer, p50/p95/p99 per layer).</w:t>
      </w:r>
    </w:p>
    <w:p>
      <w:p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160"/>
        <w:gridCol w:w="1000"/>
      </w:tblGrid>
      <w:tr>
        <w:trPr>
          <w:tblHeader/>
        </w:trPr>
        <w:tc>
          <w:tcPr>
            <w:tcW w:type="dxa" w:w="3200"/>
            <w:tcBorders>
              <w:top w:val="single" w:color="7B3F00" w:sz="4"/>
              <w:left w:val="single" w:color="7B3F00" w:sz="4"/>
              <w:bottom w:val="single" w:color="7B3F00" w:sz="4"/>
              <w:right w:val="single" w:color="7B3F00" w:sz="4"/>
            </w:tcBorders>
            <w:shd w:fill="7B3F0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 / Module</w:t>
            </w:r>
          </w:p>
        </w:tc>
        <w:tc>
          <w:tcPr>
            <w:tcW w:type="dxa" w:w="5160"/>
            <w:tcBorders>
              <w:top w:val="single" w:color="7B3F00" w:sz="4"/>
              <w:left w:val="single" w:color="7B3F00" w:sz="4"/>
              <w:bottom w:val="single" w:color="7B3F00" w:sz="4"/>
              <w:right w:val="single" w:color="7B3F00" w:sz="4"/>
            </w:tcBorders>
            <w:shd w:fill="7B3F0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1000"/>
            <w:tcBorders>
              <w:top w:val="single" w:color="7B3F00" w:sz="4"/>
              <w:left w:val="single" w:color="7B3F00" w:sz="4"/>
              <w:bottom w:val="single" w:color="7B3F00" w:sz="4"/>
              <w:right w:val="single" w:color="7B3F00" w:sz="4"/>
            </w:tcBorders>
            <w:shd w:fill="7B3F0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</w:tr>
      <w:tr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E75B6"/>
                <w:sz w:val="18"/>
                <w:szCs w:val="18"/>
              </w:rPr>
              <w:t xml:space="preserve">detection/src/mttd/tracker.ts</w:t>
            </w:r>
          </w:p>
        </w:tc>
        <w:tc>
          <w:tcPr>
            <w:tcW w:type="dxa" w:w="5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MttdTracker: ring buffer 1000 samples, p50/p95/p99, SLA breach detection. DetectionRegistry: one tracker per layer per policy.</w:t>
            </w:r>
          </w:p>
        </w:tc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MTTD</w:t>
            </w:r>
          </w:p>
        </w:tc>
      </w:tr>
      <w:tr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E75B6"/>
                <w:sz w:val="18"/>
                <w:szCs w:val="18"/>
              </w:rPr>
              <w:t xml:space="preserve">detection/src/gate/gate-detector.ts</w:t>
            </w:r>
          </w:p>
        </w:tc>
        <w:tc>
          <w:tcPr>
            <w:tcW w:type="dxa" w:w="5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GateDetector: 10 configurable rules (5 critical, 5 warning), source allowlist, addRule()</w:t>
            </w:r>
          </w:p>
        </w:tc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Layer 1</w:t>
            </w:r>
          </w:p>
        </w:tc>
      </w:tr>
      <w:tr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E75B6"/>
                <w:sz w:val="18"/>
                <w:szCs w:val="18"/>
              </w:rPr>
              <w:t xml:space="preserve">detection/src/premise/premise-detector.ts</w:t>
            </w:r>
          </w:p>
        </w:tc>
        <w:tc>
          <w:tcPr>
            <w:tcW w:type="dxa" w:w="5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PremiseDetector: weighted premises, expiry windows, per-workflow PremiseRegistry</w:t>
            </w:r>
          </w:p>
        </w:tc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Layer 2</w:t>
            </w:r>
          </w:p>
        </w:tc>
      </w:tr>
      <w:tr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E75B6"/>
                <w:sz w:val="18"/>
                <w:szCs w:val="18"/>
              </w:rPr>
              <w:t xml:space="preserve">detection/src/authority/authority-detector.ts</w:t>
            </w:r>
          </w:p>
        </w:tc>
        <w:tc>
          <w:tcPr>
            <w:tcW w:type="dxa" w:w="5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AuthorityDetector: full state machine, chain constraint (cannot upgrade), immutable AuthorityAuditLog</w:t>
            </w:r>
          </w:p>
        </w:tc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Layer 3</w:t>
            </w:r>
          </w:p>
        </w:tc>
      </w:tr>
      <w:tr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E75B6"/>
                <w:sz w:val="18"/>
                <w:szCs w:val="18"/>
              </w:rPr>
              <w:t xml:space="preserve">detection/src/continuity/continuity-detector.ts</w:t>
            </w:r>
          </w:p>
        </w:tc>
        <w:tc>
          <w:tcPr>
            <w:tcW w:type="dxa" w:w="5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ContinuityDetector: weighted equivalence scoring, OPEN→WATCHING→CLOSED→CONTAINMENT state machine</w:t>
            </w:r>
          </w:p>
        </w:tc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Layer 4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Tests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54 new + 70 regression = 124/124</w:t>
            </w:r>
          </w:p>
        </w:tc>
      </w:tr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ADR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ADR-004 (detection layer independence — each detector is a class, MTTD measured inside each detector)</w:t>
            </w:r>
          </w:p>
        </w:tc>
      </w:tr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Key defects fixed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D-01: authority severity expectation. D-02: continuity window state. D-03: VS Code path mismatch.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5920"/>
        <w:gridCol w:w="1600"/>
        <w:gridCol w:w="1200"/>
      </w:tblGrid>
      <w:tr>
        <w:tc>
          <w:tcPr>
            <w:tcW w:type="dxa" w:w="640"/>
            <w:tcBorders>
              <w:top w:val="single" w:color="4B0082" w:sz="4"/>
              <w:left w:val="single" w:color="4B0082" w:sz="4"/>
              <w:bottom w:val="single" w:color="4B0082" w:sz="4"/>
              <w:right w:val="single" w:color="4B0082" w:sz="4"/>
            </w:tcBorders>
            <w:shd w:fill="4B0082" w:val="clear"/>
            <w:tcMar>
              <w:top w:type="dxa" w:w="100"/>
              <w:left w:type="dxa" w:w="100"/>
              <w:bottom w:type="dxa" w:w="10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04</w:t>
            </w:r>
          </w:p>
        </w:tc>
        <w:tc>
          <w:tcPr>
            <w:tcW w:type="dxa" w:w="5920"/>
            <w:tcBorders>
              <w:top w:val="single" w:color="4B0082" w:sz="4"/>
              <w:left w:val="single" w:color="4B0082" w:sz="4"/>
              <w:bottom w:val="single" w:color="4B0082" w:sz="4"/>
              <w:right w:val="single" w:color="4B0082" w:sz="4"/>
            </w:tcBorders>
            <w:shd w:fill="EEEDFE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4B0082"/>
                <w:sz w:val="24"/>
                <w:szCs w:val="24"/>
              </w:rPr>
              <w:t xml:space="preserve">API Integration Surface</w:t>
            </w:r>
          </w:p>
        </w:tc>
        <w:tc>
          <w:tcPr>
            <w:tcW w:type="dxa" w:w="1600"/>
            <w:tcBorders>
              <w:top w:val="single" w:color="4B0082" w:sz="4"/>
              <w:left w:val="single" w:color="4B0082" w:sz="4"/>
              <w:bottom w:val="single" w:color="4B0082" w:sz="4"/>
              <w:right w:val="single" w:color="4B0082" w:sz="4"/>
            </w:tcBorders>
            <w:shd w:fill="EEEDFE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Week 6–8</w:t>
            </w:r>
          </w:p>
        </w:tc>
        <w:tc>
          <w:tcPr>
            <w:tcW w:type="dxa" w:w="1200"/>
            <w:tcBorders>
              <w:top w:val="single" w:color="4B0082" w:sz="4"/>
              <w:left w:val="single" w:color="4B0082" w:sz="4"/>
              <w:bottom w:val="single" w:color="4B0082" w:sz="4"/>
              <w:right w:val="single" w:color="4B0082" w:sz="4"/>
            </w:tcBorders>
            <w:shd w:fill="E2EFDA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7"/>
                <w:szCs w:val="17"/>
              </w:rPr>
              <w:t xml:space="preserve">181 tests ✓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t xml:space="preserve">What Was Built</w:t>
      </w:r>
    </w:p>
    <w:p>
      <w:pPr>
        <w:spacing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Phase 04 upgraded the API to a production-grade integration surface. Three new modules added, 9 new routes, per-tenant detector isolation, and the Toru-William sequence interface (patternType, consistencyScore, escalationDetected) validated live with patternType=CONTAINED, consistencyScore=94.</w:t>
      </w:r>
    </w:p>
    <w:p>
      <w:p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160"/>
        <w:gridCol w:w="1000"/>
      </w:tblGrid>
      <w:tr>
        <w:trPr>
          <w:tblHeader/>
        </w:trPr>
        <w:tc>
          <w:tcPr>
            <w:tcW w:type="dxa" w:w="3200"/>
            <w:tcBorders>
              <w:top w:val="single" w:color="4B0082" w:sz="4"/>
              <w:left w:val="single" w:color="4B0082" w:sz="4"/>
              <w:bottom w:val="single" w:color="4B0082" w:sz="4"/>
              <w:right w:val="single" w:color="4B0082" w:sz="4"/>
            </w:tcBorders>
            <w:shd w:fill="4B008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 / Module</w:t>
            </w:r>
          </w:p>
        </w:tc>
        <w:tc>
          <w:tcPr>
            <w:tcW w:type="dxa" w:w="5160"/>
            <w:tcBorders>
              <w:top w:val="single" w:color="4B0082" w:sz="4"/>
              <w:left w:val="single" w:color="4B0082" w:sz="4"/>
              <w:bottom w:val="single" w:color="4B0082" w:sz="4"/>
              <w:right w:val="single" w:color="4B0082" w:sz="4"/>
            </w:tcBorders>
            <w:shd w:fill="4B008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1000"/>
            <w:tcBorders>
              <w:top w:val="single" w:color="4B0082" w:sz="4"/>
              <w:left w:val="single" w:color="4B0082" w:sz="4"/>
              <w:bottom w:val="single" w:color="4B0082" w:sz="4"/>
              <w:right w:val="single" w:color="4B0082" w:sz="4"/>
            </w:tcBorders>
            <w:shd w:fill="4B008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</w:tr>
      <w:tr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E75B6"/>
                <w:sz w:val="18"/>
                <w:szCs w:val="18"/>
              </w:rPr>
              <w:t xml:space="preserve">api/src/detectors/tenant-registry.ts</w:t>
            </w:r>
          </w:p>
        </w:tc>
        <w:tc>
          <w:tcPr>
            <w:tcW w:type="dxa" w:w="5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TenantDetectorRegistry: one detector set per PARTNER_ID. Lazy init, reset on policy change.</w:t>
            </w:r>
          </w:p>
        </w:tc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Isolation</w:t>
            </w:r>
          </w:p>
        </w:tc>
      </w:tr>
      <w:tr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E75B6"/>
                <w:sz w:val="18"/>
                <w:szCs w:val="18"/>
              </w:rPr>
              <w:t xml:space="preserve">api/src/store/event-store.ts</w:t>
            </w:r>
          </w:p>
        </w:tc>
        <w:tc>
          <w:tcPr>
            <w:tcW w:type="dxa" w:w="5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EventStore: append-only log, cursor pagination, sequenceId linking, summarizeSequence() behavioral analysis</w:t>
            </w:r>
          </w:p>
        </w:tc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Events</w:t>
            </w:r>
          </w:p>
        </w:tc>
      </w:tr>
      <w:tr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E75B6"/>
                <w:sz w:val="18"/>
                <w:szCs w:val="18"/>
              </w:rPr>
              <w:t xml:space="preserve">api/src/store/policy-store.ts</w:t>
            </w:r>
          </w:p>
        </w:tc>
        <w:tc>
          <w:tcPr>
            <w:tcW w:type="dxa" w:w="5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PolicyStore: per-tenant active policy, Zod validation, history (last 10), policy:changed events</w:t>
            </w:r>
          </w:p>
        </w:tc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Policy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New routes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GET /v1/events, /v1/events/stats, /v1/events/sequence/:id, /v1/events/sequence/:id/summary, /v1/mttd, /v1/policy, POST /v1/policy, GET /v1/policy/history, GET /v1/detectors</w:t>
            </w:r>
          </w:p>
        </w:tc>
      </w:tr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Tests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57 new + 124 regression = 181/181</w:t>
            </w:r>
          </w:p>
        </w:tc>
      </w:tr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Manual tests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9/9 — including M-05 sequence: patternType=CONTAINED, consistencyScore=94, escalationDetected=True</w:t>
            </w:r>
          </w:p>
        </w:tc>
      </w:tr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ADR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ADR-005 (per-tenant detector isolation)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5920"/>
        <w:gridCol w:w="1600"/>
        <w:gridCol w:w="1200"/>
      </w:tblGrid>
      <w:tr>
        <w:tc>
          <w:tcPr>
            <w:tcW w:type="dxa" w:w="640"/>
            <w:tcBorders>
              <w:top w:val="single" w:color="085041" w:sz="4"/>
              <w:left w:val="single" w:color="085041" w:sz="4"/>
              <w:bottom w:val="single" w:color="085041" w:sz="4"/>
              <w:right w:val="single" w:color="085041" w:sz="4"/>
            </w:tcBorders>
            <w:shd w:fill="085041" w:val="clear"/>
            <w:tcMar>
              <w:top w:type="dxa" w:w="100"/>
              <w:left w:type="dxa" w:w="100"/>
              <w:bottom w:type="dxa" w:w="10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05</w:t>
            </w:r>
          </w:p>
        </w:tc>
        <w:tc>
          <w:tcPr>
            <w:tcW w:type="dxa" w:w="5920"/>
            <w:tcBorders>
              <w:top w:val="single" w:color="085041" w:sz="4"/>
              <w:left w:val="single" w:color="085041" w:sz="4"/>
              <w:bottom w:val="single" w:color="085041" w:sz="4"/>
              <w:right w:val="single" w:color="085041" w:sz="4"/>
            </w:tcBorders>
            <w:shd w:fill="E1F5EE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85041"/>
                <w:sz w:val="24"/>
                <w:szCs w:val="24"/>
              </w:rPr>
              <w:t xml:space="preserve">Admin UI + AuditSignal Schema</w:t>
            </w:r>
          </w:p>
        </w:tc>
        <w:tc>
          <w:tcPr>
            <w:tcW w:type="dxa" w:w="1600"/>
            <w:tcBorders>
              <w:top w:val="single" w:color="085041" w:sz="4"/>
              <w:left w:val="single" w:color="085041" w:sz="4"/>
              <w:bottom w:val="single" w:color="085041" w:sz="4"/>
              <w:right w:val="single" w:color="085041" w:sz="4"/>
            </w:tcBorders>
            <w:shd w:fill="E1F5EE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Week 8–10</w:t>
            </w:r>
          </w:p>
        </w:tc>
        <w:tc>
          <w:tcPr>
            <w:tcW w:type="dxa" w:w="1200"/>
            <w:tcBorders>
              <w:top w:val="single" w:color="085041" w:sz="4"/>
              <w:left w:val="single" w:color="085041" w:sz="4"/>
              <w:bottom w:val="single" w:color="085041" w:sz="4"/>
              <w:right w:val="single" w:color="085041" w:sz="4"/>
            </w:tcBorders>
            <w:shd w:fill="E2EFDA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7"/>
                <w:szCs w:val="17"/>
              </w:rPr>
              <w:t xml:space="preserve">181 auto + 11 manual ✓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t xml:space="preserve">What Was Built</w:t>
      </w:r>
    </w:p>
    <w:p>
      <w:pPr>
        <w:spacing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Phase 05 delivered two parallel tracks: the React Admin Terminal replacing NCAOS_UI_final.html, and the formal AuditSignal Zod schema — the typed interface contract between NCAOS EGS and the Urielle audit layer (ADR-006).</w:t>
      </w:r>
    </w:p>
    <w:p>
      <w:p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160"/>
        <w:gridCol w:w="1000"/>
      </w:tblGrid>
      <w:tr>
        <w:trPr>
          <w:tblHeader/>
        </w:trPr>
        <w:tc>
          <w:tcPr>
            <w:tcW w:type="dxa" w:w="3200"/>
            <w:tcBorders>
              <w:top w:val="single" w:color="085041" w:sz="4"/>
              <w:left w:val="single" w:color="085041" w:sz="4"/>
              <w:bottom w:val="single" w:color="085041" w:sz="4"/>
              <w:right w:val="single" w:color="085041" w:sz="4"/>
            </w:tcBorders>
            <w:shd w:fill="085041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 / Module</w:t>
            </w:r>
          </w:p>
        </w:tc>
        <w:tc>
          <w:tcPr>
            <w:tcW w:type="dxa" w:w="5160"/>
            <w:tcBorders>
              <w:top w:val="single" w:color="085041" w:sz="4"/>
              <w:left w:val="single" w:color="085041" w:sz="4"/>
              <w:bottom w:val="single" w:color="085041" w:sz="4"/>
              <w:right w:val="single" w:color="085041" w:sz="4"/>
            </w:tcBorders>
            <w:shd w:fill="085041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1000"/>
            <w:tcBorders>
              <w:top w:val="single" w:color="085041" w:sz="4"/>
              <w:left w:val="single" w:color="085041" w:sz="4"/>
              <w:bottom w:val="single" w:color="085041" w:sz="4"/>
              <w:right w:val="single" w:color="085041" w:sz="4"/>
            </w:tcBorders>
            <w:shd w:fill="085041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</w:tr>
      <w:tr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E75B6"/>
                <w:sz w:val="18"/>
                <w:szCs w:val="18"/>
              </w:rPr>
              <w:t xml:space="preserve">ui/src/App.tsx</w:t>
            </w:r>
          </w:p>
        </w:tc>
        <w:tc>
          <w:tcPr>
            <w:tcW w:type="dxa" w:w="5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Root Admin Terminal — 4 role tabs, live WebSocket, partner selector, cyberpunk terminal aesthetic</w:t>
            </w:r>
          </w:p>
        </w:tc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Root</w:t>
            </w:r>
          </w:p>
        </w:tc>
      </w:tr>
      <w:tr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E75B6"/>
                <w:sz w:val="18"/>
                <w:szCs w:val="18"/>
              </w:rPr>
              <w:t xml:space="preserve">ui/src/components/DashboardPanel.tsx</w:t>
            </w:r>
          </w:p>
        </w:tc>
        <w:tc>
          <w:tcPr>
            <w:tcW w:type="dxa" w:w="5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Integrity, authority, active event cards</w:t>
            </w:r>
          </w:p>
        </w:tc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UI</w:t>
            </w:r>
          </w:p>
        </w:tc>
      </w:tr>
      <w:tr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E75B6"/>
                <w:sz w:val="18"/>
                <w:szCs w:val="18"/>
              </w:rPr>
              <w:t xml:space="preserve">ui/src/components/EventLog.tsx</w:t>
            </w:r>
          </w:p>
        </w:tc>
        <w:tc>
          <w:tcPr>
            <w:tcW w:type="dxa" w:w="5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EventLog, MttdPanel, SequencePanel, PolicyPanel, ContainmentChart (all roles)</w:t>
            </w:r>
          </w:p>
        </w:tc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UI</w:t>
            </w:r>
          </w:p>
        </w:tc>
      </w:tr>
      <w:tr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E75B6"/>
                <w:sz w:val="18"/>
                <w:szCs w:val="18"/>
              </w:rPr>
              <w:t xml:space="preserve">ui/src/lib/api.ts</w:t>
            </w:r>
          </w:p>
        </w:tc>
        <w:tc>
          <w:tcPr>
            <w:tcW w:type="dxa" w:w="5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Typed fetch wrappers for all 14 Phase 04 endpoints + WebSocket stream</w:t>
            </w:r>
          </w:p>
        </w:tc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API Client</w:t>
            </w:r>
          </w:p>
        </w:tc>
      </w:tr>
      <w:tr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E75B6"/>
                <w:sz w:val="18"/>
                <w:szCs w:val="18"/>
              </w:rPr>
              <w:t xml:space="preserve">audit-signal/src/audit-signal.ts</w:t>
            </w:r>
          </w:p>
        </w:tc>
        <w:tc>
          <w:tcPr>
            <w:tcW w:type="dxa" w:w="5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AuditSignal Zod schema: core (14 fields) + sequence + enrichment layers; evidenceLevel(); auditFindingSummary(); ISO42001_CONTROL_MAP</w:t>
            </w:r>
          </w:p>
        </w:tc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Schema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t xml:space="preserve">Admin Terminal — Role-Based Views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SOC OPERATOR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Event log with layer/severity filters, MTTD SLA bars, active containment cards</w:t>
            </w:r>
          </w:p>
        </w:tc>
      </w:tr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ARCHITECT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Shell integrity, continuity state (STABLE/PROVISIONAL/UNSTABLE), expanded MTTD per layer</w:t>
            </w:r>
          </w:p>
        </w:tc>
      </w:tr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AUDITOR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Evidence trail, sequence analysis panel (patternType=CONTAINED, consistencyScore=94), policy panel, event stats</w:t>
            </w:r>
          </w:p>
        </w:tc>
      </w:tr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EXECUTIVE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RAW_EXPOSURE vs GOVERNED_OUTPUT bars, integrity/authority trend chart (last 20 events)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t xml:space="preserve">AuditSignal Schema — Three-Layer Interface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Core layer (always present)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14 mandatory fields: evidenceHandle, sequenceNumber, layer, severity, action, authority, integrityScore, detectionMode, routingHint, mttdMs, detectedAt, storedAt, policyProfileId, partnerId</w:t>
            </w:r>
          </w:p>
        </w:tc>
      </w:tr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Sequence layer (when workflowId provided)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patternType, escalationDetected, consistencyScore, eventCount, firstDetectedAt, actionChain, layersInvolved (8 fields)</w:t>
            </w:r>
          </w:p>
        </w:tc>
      </w:tr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Enrichment layer (optional)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identityRef, assetRef, sessionId, serviceComponent, tags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t xml:space="preserve">Phase 05 Test Results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UI manual tests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8 checks PASS — all 4 role views, event generation, sequence panel, partner isolation, live update</w:t>
            </w:r>
          </w:p>
        </w:tc>
      </w:tr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AuditSignal schema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3 scenarios PASS — AS-01 core, AS-02 sequence (STRONG evidence), AS-03 enrichment; raw Node output confirmed</w:t>
            </w:r>
          </w:p>
        </w:tc>
      </w:tr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Regression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181/181 automated tests all passing — no regressions from ui + audit-signal workspace addition</w:t>
            </w:r>
          </w:p>
        </w:tc>
      </w:tr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Issue noted (I-01)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WebSocket socket.send TypeError in Phase 05 build — deferred Phase 06; UI functional via polling. Resolved in Phase 07.</w:t>
            </w:r>
          </w:p>
        </w:tc>
      </w:tr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ADR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ADR-006 — AuditSignal as the formal Urielle interface contract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85041" w:sz="8"/>
              <w:left w:val="single" w:color="085041" w:sz="20"/>
              <w:bottom w:val="single" w:color="085041" w:sz="4"/>
              <w:right w:val="single" w:color="085041" w:sz="4"/>
            </w:tcBorders>
            <w:shd w:fill="E1F5EE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85041"/>
                <w:sz w:val="20"/>
                <w:szCs w:val="20"/>
              </w:rPr>
              <w:t xml:space="preserve">Toru-William alignment: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Phase 05 delivered the minimum viable signal layer Toru described — AuditSignalCore with 14 mandatory fields, AuditSignalSequence linking patternType/consistencyScore/escalationDetected, and optional enrichment. Evidence level with sequence=STRONG confirmed for BLOCK+escalation pattern.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5920"/>
        <w:gridCol w:w="1600"/>
        <w:gridCol w:w="1200"/>
      </w:tblGrid>
      <w:tr>
        <w:tc>
          <w:tcPr>
            <w:tcW w:type="dxa" w:w="640"/>
            <w:tcBorders>
              <w:top w:val="single" w:color="7A0000" w:sz="4"/>
              <w:left w:val="single" w:color="7A0000" w:sz="4"/>
              <w:bottom w:val="single" w:color="7A0000" w:sz="4"/>
              <w:right w:val="single" w:color="7A0000" w:sz="4"/>
            </w:tcBorders>
            <w:shd w:fill="7A0000" w:val="clear"/>
            <w:tcMar>
              <w:top w:type="dxa" w:w="100"/>
              <w:left w:type="dxa" w:w="100"/>
              <w:bottom w:type="dxa" w:w="10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06</w:t>
            </w:r>
          </w:p>
        </w:tc>
        <w:tc>
          <w:tcPr>
            <w:tcW w:type="dxa" w:w="5920"/>
            <w:tcBorders>
              <w:top w:val="single" w:color="7A0000" w:sz="4"/>
              <w:left w:val="single" w:color="7A0000" w:sz="4"/>
              <w:bottom w:val="single" w:color="7A0000" w:sz="4"/>
              <w:right w:val="single" w:color="7A0000" w:sz="4"/>
            </w:tcBorders>
            <w:shd w:fill="FCE4D6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A0000"/>
                <w:sz w:val="24"/>
                <w:szCs w:val="24"/>
              </w:rPr>
              <w:t xml:space="preserve">Hardening &amp; Compliance</w:t>
            </w:r>
          </w:p>
        </w:tc>
        <w:tc>
          <w:tcPr>
            <w:tcW w:type="dxa" w:w="1600"/>
            <w:tcBorders>
              <w:top w:val="single" w:color="7A0000" w:sz="4"/>
              <w:left w:val="single" w:color="7A0000" w:sz="4"/>
              <w:bottom w:val="single" w:color="7A0000" w:sz="4"/>
              <w:right w:val="single" w:color="7A0000" w:sz="4"/>
            </w:tcBorders>
            <w:shd w:fill="FCE4D6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Week 10–12</w:t>
            </w:r>
          </w:p>
        </w:tc>
        <w:tc>
          <w:tcPr>
            <w:tcW w:type="dxa" w:w="1200"/>
            <w:tcBorders>
              <w:top w:val="single" w:color="7A0000" w:sz="4"/>
              <w:left w:val="single" w:color="7A0000" w:sz="4"/>
              <w:bottom w:val="single" w:color="7A0000" w:sz="4"/>
              <w:right w:val="single" w:color="7A0000" w:sz="4"/>
            </w:tcBorders>
            <w:shd w:fill="E2EFDA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7"/>
                <w:szCs w:val="17"/>
              </w:rPr>
              <w:t xml:space="preserve">229 auto + 11 pen tests ✓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t xml:space="preserve">What Was Built</w:t>
      </w:r>
    </w:p>
    <w:p>
      <w:pPr>
        <w:spacing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Phase 06 delivered the @ncaos/hardening package — STRIDE threat model (15 threats), AI/ML threat model (12 threats), JWT+RBAC middleware, RateLimiter, ISO 42001 control mapping (14 controls), pen test scenarios (11), and chaos test harness (5 scenarios).</w:t>
      </w:r>
    </w:p>
    <w:p>
      <w:p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160"/>
        <w:gridCol w:w="1000"/>
      </w:tblGrid>
      <w:tr>
        <w:trPr>
          <w:tblHeader/>
        </w:trPr>
        <w:tc>
          <w:tcPr>
            <w:tcW w:type="dxa" w:w="3200"/>
            <w:tcBorders>
              <w:top w:val="single" w:color="7A0000" w:sz="4"/>
              <w:left w:val="single" w:color="7A0000" w:sz="4"/>
              <w:bottom w:val="single" w:color="7A0000" w:sz="4"/>
              <w:right w:val="single" w:color="7A0000" w:sz="4"/>
            </w:tcBorders>
            <w:shd w:fill="7A000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 / Module</w:t>
            </w:r>
          </w:p>
        </w:tc>
        <w:tc>
          <w:tcPr>
            <w:tcW w:type="dxa" w:w="5160"/>
            <w:tcBorders>
              <w:top w:val="single" w:color="7A0000" w:sz="4"/>
              <w:left w:val="single" w:color="7A0000" w:sz="4"/>
              <w:bottom w:val="single" w:color="7A0000" w:sz="4"/>
              <w:right w:val="single" w:color="7A0000" w:sz="4"/>
            </w:tcBorders>
            <w:shd w:fill="7A000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1000"/>
            <w:tcBorders>
              <w:top w:val="single" w:color="7A0000" w:sz="4"/>
              <w:left w:val="single" w:color="7A0000" w:sz="4"/>
              <w:bottom w:val="single" w:color="7A0000" w:sz="4"/>
              <w:right w:val="single" w:color="7A0000" w:sz="4"/>
            </w:tcBorders>
            <w:shd w:fill="7A000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</w:tr>
      <w:tr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E75B6"/>
                <w:sz w:val="18"/>
                <w:szCs w:val="18"/>
              </w:rPr>
              <w:t xml:space="preserve">hardening/src/stride/stride-model.ts</w:t>
            </w:r>
          </w:p>
        </w:tc>
        <w:tc>
          <w:tcPr>
            <w:tcW w:type="dxa" w:w="5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15 STRIDE threats across 6 categories. 4 HIGH risks: S-001, T-002, D-001, E-001</w:t>
            </w:r>
          </w:p>
        </w:tc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STRIDE</w:t>
            </w:r>
          </w:p>
        </w:tc>
      </w:tr>
      <w:tr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E75B6"/>
                <w:sz w:val="18"/>
                <w:szCs w:val="18"/>
              </w:rPr>
              <w:t xml:space="preserve">hardening/src/aiml/aiml-threat-model.ts</w:t>
            </w:r>
          </w:p>
        </w:tc>
        <w:tc>
          <w:tcPr>
            <w:tcW w:type="dxa" w:w="5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12 AI/ML-specific threats: AdversarialInput, ModelDrift, ContextManipulation, PolicyGaming with egsMitigation per threat</w:t>
            </w:r>
          </w:p>
        </w:tc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AI/ML</w:t>
            </w:r>
          </w:p>
        </w:tc>
      </w:tr>
      <w:tr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E75B6"/>
                <w:sz w:val="18"/>
                <w:szCs w:val="18"/>
              </w:rPr>
              <w:t xml:space="preserve">hardening/src/jwt/auth-middleware.ts</w:t>
            </w:r>
          </w:p>
        </w:tc>
        <w:tc>
          <w:tcPr>
            <w:tcW w:type="dxa" w:w="5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JWT HS256 middleware + RBAC (operator/admin/auditor) + RateLimiter token bucket (100 req/s, burst 150)</w:t>
            </w:r>
          </w:p>
        </w:tc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Auth</w:t>
            </w:r>
          </w:p>
        </w:tc>
      </w:tr>
      <w:tr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E75B6"/>
                <w:sz w:val="18"/>
                <w:szCs w:val="18"/>
              </w:rPr>
              <w:t xml:space="preserve">hardening/src/iso42001/iso42001-mapping.ts</w:t>
            </w:r>
          </w:p>
        </w:tc>
        <w:tc>
          <w:tcPr>
            <w:tcW w:type="dxa" w:w="5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14 ISO 42001:2023 controls — 8 IMPLEMENTED, 3 PARTIAL, 1 PLANNED. coverage ≥70%</w:t>
            </w:r>
          </w:p>
        </w:tc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Compliance</w:t>
            </w:r>
          </w:p>
        </w:tc>
      </w:tr>
      <w:tr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E75B6"/>
                <w:sz w:val="18"/>
                <w:szCs w:val="18"/>
              </w:rPr>
              <w:t xml:space="preserve">hardening/src/pentest/pentest-scenarios.ts</w:t>
            </w:r>
          </w:p>
        </w:tc>
        <w:tc>
          <w:tcPr>
            <w:tcW w:type="dxa" w:w="5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11 pen test scenarios with PowerShell commands and pass/fail criteria (PT-001→PT-010 + PT-CHAOS-001)</w:t>
            </w:r>
          </w:p>
        </w:tc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Pen Test</w:t>
            </w:r>
          </w:p>
        </w:tc>
      </w:tr>
      <w:tr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E75B6"/>
                <w:sz w:val="18"/>
                <w:szCs w:val="18"/>
              </w:rPr>
              <w:t xml:space="preserve">hardening/src/chaos/chaos-harness.ts</w:t>
            </w:r>
          </w:p>
        </w:tc>
        <w:tc>
          <w:tcPr>
            <w:tcW w:type="dxa" w:w="5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5 chaos scenarios — CHAOS-001 validates ADR-002 FAIL_SAFE on shell kill</w:t>
            </w:r>
          </w:p>
        </w:tc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Chaos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t xml:space="preserve">Phase 06 Test Results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Automated tests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48 new: stride.test.ts (8) + auth.test.ts (8) + chaos.test.ts (8) + iso42001.test.ts (19) + mttd-regression.test.ts (5)</w:t>
            </w:r>
          </w:p>
        </w:tc>
      </w:tr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Cumulative automated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229/229 — all prior phases passing</w:t>
            </w:r>
          </w:p>
        </w:tc>
      </w:tr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Fix applied (F-01)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aiml-threat-model.ts: category renamed to ModelDrift, egsMitigation added to all 12 threats</w:t>
            </w:r>
          </w:p>
        </w:tc>
      </w:tr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Pen tests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6 PASS (PT-001, 004, 005, 007 partial, 008, CHAOS-001), 4 DEFERRED (PT-003, 006, 009, 010)</w:t>
            </w:r>
          </w:p>
        </w:tc>
      </w:tr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MTTD SLA baseline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Gate p99=0.03ms, Premise p99=0.05ms, Authority p99=0.03ms, Continuity p99=0.05ms — all &lt;1% breach rate</w:t>
            </w:r>
          </w:p>
        </w:tc>
      </w:tr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ADR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ADR-007 — Phase 06 security hardening strategy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t xml:space="preserve">STRIDE — HIGH Risk Threats and Fixes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3360"/>
        <w:gridCol w:w="3600"/>
      </w:tblGrid>
      <w:tr>
        <w:trPr>
          <w:tblHeader/>
        </w:trPr>
        <w:tc>
          <w:tcPr>
            <w:tcW w:type="dxa" w:w="800"/>
            <w:tcBorders>
              <w:top w:val="single" w:color="7A0000" w:sz="4"/>
              <w:left w:val="single" w:color="7A0000" w:sz="4"/>
              <w:bottom w:val="single" w:color="7A0000" w:sz="4"/>
              <w:right w:val="single" w:color="7A0000" w:sz="4"/>
            </w:tcBorders>
            <w:shd w:fill="7A0000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1600"/>
            <w:tcBorders>
              <w:top w:val="single" w:color="7A0000" w:sz="4"/>
              <w:left w:val="single" w:color="7A0000" w:sz="4"/>
              <w:bottom w:val="single" w:color="7A0000" w:sz="4"/>
              <w:right w:val="single" w:color="7A0000" w:sz="4"/>
            </w:tcBorders>
            <w:shd w:fill="7A0000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Category</w:t>
            </w:r>
          </w:p>
        </w:tc>
        <w:tc>
          <w:tcPr>
            <w:tcW w:type="dxa" w:w="3360"/>
            <w:tcBorders>
              <w:top w:val="single" w:color="7A0000" w:sz="4"/>
              <w:left w:val="single" w:color="7A0000" w:sz="4"/>
              <w:bottom w:val="single" w:color="7A0000" w:sz="4"/>
              <w:right w:val="single" w:color="7A0000" w:sz="4"/>
            </w:tcBorders>
            <w:shd w:fill="7A0000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Threat</w:t>
            </w:r>
          </w:p>
        </w:tc>
        <w:tc>
          <w:tcPr>
            <w:tcW w:type="dxa" w:w="3600"/>
            <w:tcBorders>
              <w:top w:val="single" w:color="7A0000" w:sz="4"/>
              <w:left w:val="single" w:color="7A0000" w:sz="4"/>
              <w:bottom w:val="single" w:color="7A0000" w:sz="4"/>
              <w:right w:val="single" w:color="7A0000" w:sz="4"/>
            </w:tcBorders>
            <w:shd w:fill="7A0000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Phase 06 Action</w:t>
            </w:r>
          </w:p>
        </w:tc>
      </w:tr>
      <w:tr>
        <w:tc>
          <w:tcPr>
            <w:tcW w:type="dxa" w:w="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CE4D6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33C00"/>
                <w:sz w:val="16"/>
                <w:szCs w:val="16"/>
              </w:rPr>
              <w:t xml:space="preserve">S-001</w:t>
            </w:r>
          </w:p>
        </w:tc>
        <w:tc>
          <w:tcPr>
            <w:tcW w:type="dxa" w:w="16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CE4D6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Spoofing</w:t>
            </w:r>
          </w:p>
        </w:tc>
        <w:tc>
          <w:tcPr>
            <w:tcW w:type="dxa" w:w="33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CE4D6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Any caller can impersonate tenant via X-Partner-ID header</w:t>
            </w:r>
          </w:p>
        </w:tc>
        <w:tc>
          <w:tcPr>
            <w:tcW w:type="dxa" w:w="36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CE4D6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JWT middleware — X-Partner-ID must match JWT sub claim</w:t>
            </w:r>
          </w:p>
        </w:tc>
      </w:tr>
      <w:tr>
        <w:tc>
          <w:tcPr>
            <w:tcW w:type="dxa" w:w="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33C00"/>
                <w:sz w:val="16"/>
                <w:szCs w:val="16"/>
              </w:rPr>
              <w:t xml:space="preserve">T-002</w:t>
            </w:r>
          </w:p>
        </w:tc>
        <w:tc>
          <w:tcPr>
            <w:tcW w:type="dxa" w:w="16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Tampering</w:t>
            </w:r>
          </w:p>
        </w:tc>
        <w:tc>
          <w:tcPr>
            <w:tcW w:type="dxa" w:w="33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Any tenant can attempt policy weakening without authorization</w:t>
            </w:r>
          </w:p>
        </w:tc>
        <w:tc>
          <w:tcPr>
            <w:tcW w:type="dxa" w:w="36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Require admin role JWT claim for POST /v1/policy (RBAC)</w:t>
            </w:r>
          </w:p>
        </w:tc>
      </w:tr>
      <w:tr>
        <w:tc>
          <w:tcPr>
            <w:tcW w:type="dxa" w:w="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CE4D6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33C00"/>
                <w:sz w:val="16"/>
                <w:szCs w:val="16"/>
              </w:rPr>
              <w:t xml:space="preserve">D-001</w:t>
            </w:r>
          </w:p>
        </w:tc>
        <w:tc>
          <w:tcPr>
            <w:tcW w:type="dxa" w:w="16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CE4D6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DenialOfService</w:t>
            </w:r>
          </w:p>
        </w:tc>
        <w:tc>
          <w:tcPr>
            <w:tcW w:type="dxa" w:w="33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CE4D6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Shell exhaustion via /v1/process flooding</w:t>
            </w:r>
          </w:p>
        </w:tc>
        <w:tc>
          <w:tcPr>
            <w:tcW w:type="dxa" w:w="36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CE4D6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RateLimiter: 100 req/s per PARTNER_ID, burst 150</w:t>
            </w:r>
          </w:p>
        </w:tc>
      </w:tr>
      <w:tr>
        <w:tc>
          <w:tcPr>
            <w:tcW w:type="dxa" w:w="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33C00"/>
                <w:sz w:val="16"/>
                <w:szCs w:val="16"/>
              </w:rPr>
              <w:t xml:space="preserve">E-001</w:t>
            </w:r>
          </w:p>
        </w:tc>
        <w:tc>
          <w:tcPr>
            <w:tcW w:type="dxa" w:w="16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ElevationOfPrivilege</w:t>
            </w:r>
          </w:p>
        </w:tc>
        <w:tc>
          <w:tcPr>
            <w:tcW w:type="dxa" w:w="33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Privilege escalation via policy update or overrideAttempted</w:t>
            </w:r>
          </w:p>
        </w:tc>
        <w:tc>
          <w:tcPr>
            <w:tcW w:type="dxa" w:w="36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Admin-only RBAC + PT-008 confirms overrideAttempted=true → BLOCK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5920"/>
        <w:gridCol w:w="1600"/>
        <w:gridCol w:w="1200"/>
      </w:tblGrid>
      <w:tr>
        <w:tc>
          <w:tcPr>
            <w:tcW w:type="dxa" w:w="64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100"/>
              <w:left w:type="dxa" w:w="100"/>
              <w:bottom w:type="dxa" w:w="10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07</w:t>
            </w:r>
          </w:p>
        </w:tc>
        <w:tc>
          <w:tcPr>
            <w:tcW w:type="dxa" w:w="592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D6E4F0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4"/>
                <w:szCs w:val="24"/>
              </w:rPr>
              <w:t xml:space="preserve">Stakeholder Demo &amp; Handoff</w:t>
            </w:r>
          </w:p>
        </w:tc>
        <w:tc>
          <w:tcPr>
            <w:tcW w:type="dxa" w:w="16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D6E4F0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Week 12–14</w:t>
            </w:r>
          </w:p>
        </w:tc>
        <w:tc>
          <w:tcPr>
            <w:tcW w:type="dxa" w:w="12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E2EFDA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7"/>
                <w:szCs w:val="17"/>
              </w:rPr>
              <w:t xml:space="preserve">229 auto + live demo ✓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t xml:space="preserve">What Was Built</w:t>
      </w:r>
    </w:p>
    <w:p>
      <w:pPr>
        <w:spacing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Phase 07 delivered the structured stakeholder demo (6 steps, 4 audiences), commercial pilot proposal (3 tiers), v1.0 production roadmap (ADR-008), and the v1.0-rc git tag. The Phase 05 WebSocket I-01 defect was resolved in the Phase 07 production build.</w:t>
      </w:r>
    </w:p>
    <w:p>
      <w:p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160"/>
        <w:gridCol w:w="1000"/>
      </w:tblGrid>
      <w:tr>
        <w:trPr>
          <w:tblHeader/>
        </w:trPr>
        <w:tc>
          <w:tcPr>
            <w:tcW w:type="dxa" w:w="32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 / Module</w:t>
            </w:r>
          </w:p>
        </w:tc>
        <w:tc>
          <w:tcPr>
            <w:tcW w:type="dxa" w:w="516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10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</w:tr>
      <w:tr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E75B6"/>
                <w:sz w:val="18"/>
                <w:szCs w:val="18"/>
              </w:rPr>
              <w:t xml:space="preserve">egs/demo/demo-scenario.ts</w:t>
            </w:r>
          </w:p>
        </w:tc>
        <w:tc>
          <w:tcPr>
            <w:tcW w:type="dxa" w:w="5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6-step live containment demo — D-01 Health → D-02 Clean → D-03 BLOCK → D-04 Sequence → D-05 Audit → D-06 GovState</w:t>
            </w:r>
          </w:p>
        </w:tc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Demo</w:t>
            </w:r>
          </w:p>
        </w:tc>
      </w:tr>
      <w:tr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E75B6"/>
                <w:sz w:val="18"/>
                <w:szCs w:val="18"/>
              </w:rPr>
              <w:t xml:space="preserve">egs/pilot/pilot-proposal.ts</w:t>
            </w:r>
          </w:p>
        </w:tc>
        <w:tc>
          <w:tcPr>
            <w:tcW w:type="dxa" w:w="5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3-tier pilot: Observe (4wk) → Contain (8wk) → Audit (12wk) + v1.0 roadmap MUST/SHOULD/NICE</w:t>
            </w:r>
          </w:p>
        </w:tc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Pilot</w:t>
            </w:r>
          </w:p>
        </w:tc>
      </w:tr>
      <w:tr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E75B6"/>
                <w:sz w:val="18"/>
                <w:szCs w:val="18"/>
              </w:rPr>
              <w:t xml:space="preserve">docs/adr/ADR-008-v1-roadmap.md</w:t>
            </w:r>
          </w:p>
        </w:tc>
        <w:tc>
          <w:tcPr>
            <w:tcW w:type="dxa" w:w="5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v1.0-rc scope: 6 MUST items for production, 4 SHOULD, 3 NICE. Deferred STRIDE items documented.</w:t>
            </w:r>
          </w:p>
        </w:tc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ADR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t xml:space="preserve">Demo Execution Results — 2026-05-19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D-01 Health baseline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status=OK, watchdog=RUNNING, slaHealthy=True, policy=STRICT-PROD — PASS</w:t>
            </w:r>
          </w:p>
        </w:tc>
      </w:tr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D-02 Clean request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REQ-000002, action=DOWNGRADE, integrity=Available/88, evidenceHandle=EVD-... — PASS</w:t>
            </w:r>
          </w:p>
        </w:tc>
      </w:tr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D-03 Threat → BLOCK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REQ-000003, action=BLOCK, authority=invalid, integrity=Critical/29 — PASS</w:t>
            </w:r>
          </w:p>
        </w:tc>
      </w:tr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D-04 Sequence summary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patternType=CONTAINED, escalationDetected=True, consistencyScore=94, layers={gate,authority} — PASS</w:t>
            </w:r>
          </w:p>
        </w:tc>
      </w:tr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D-05 Audit trail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Full EventRecord: layer=authority, severity=high, detectionMode=Authority Boundary Enforcement, sequenceNumber=2 — PASS</w:t>
            </w:r>
          </w:p>
        </w:tc>
      </w:tr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D-06 GovState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operationalMode=CONTAINMENT, rawExposurePct=100, governedOutputPct=54, activeEvent=AUTHORITY_REVOKED/HIGH — PASS</w:t>
            </w:r>
          </w:p>
        </w:tc>
      </w:tr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WebSocket (I-01)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Resolved in Phase 07 production build — [WS] Client connected: GLOBAL_ENT_2026 confirmed in server log</w:t>
            </w:r>
          </w:p>
        </w:tc>
      </w:tr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Admin Terminal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All 4 role views confirmed; sequence panel loads from evidence handle click; Executive trend chart renders</w:t>
            </w:r>
          </w:p>
        </w:tc>
      </w:tr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Git tag v1.0-rc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Tagged and pushed — GitHub release created with Phase 01–07 summary</w:t>
            </w:r>
          </w:p>
        </w:tc>
      </w:tr>
      <w:tr>
        <w:tc>
          <w:tcPr>
            <w:tcW w:type="dxa" w:w="2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Production build</w:t>
            </w:r>
          </w:p>
        </w:tc>
        <w:tc>
          <w:tcPr>
            <w:tcW w:type="dxa" w:w="69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878 modules, dist/assets/index-BjNu-vPh.js 592.57 kB — no build errors on SGWLWH000683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85041" w:sz="8"/>
              <w:left w:val="single" w:color="085041" w:sz="20"/>
              <w:bottom w:val="single" w:color="085041" w:sz="4"/>
              <w:right w:val="single" w:color="085041" w:sz="4"/>
            </w:tcBorders>
            <w:shd w:fill="E1F5EE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85041"/>
                <w:sz w:val="20"/>
                <w:szCs w:val="20"/>
              </w:rPr>
              <w:t xml:space="preserve">Toru-William live evidence (D-04):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patternType=CONTAINED, escalationDetected=True, consistencyScore=94, actions={DOWNGRADE,BLOCK}, layers={gate,authority}. Sequence summary produced entirely from boundary signals — no internal visibility used. AuditSignal interface validated end-to-end.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120" w:before="300"/>
      </w:pPr>
      <w:r>
        <w:t xml:space="preserve">3. Architecture Decision Records</w:t>
      </w:r>
    </w:p>
    <w:p>
      <w:p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00"/>
        <w:gridCol w:w="3360"/>
        <w:gridCol w:w="3600"/>
      </w:tblGrid>
      <w:tr>
        <w:trPr>
          <w:tblHeader/>
        </w:trPr>
        <w:tc>
          <w:tcPr>
            <w:tcW w:type="dxa" w:w="10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ADR</w:t>
            </w:r>
          </w:p>
        </w:tc>
        <w:tc>
          <w:tcPr>
            <w:tcW w:type="dxa" w:w="14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336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Decision</w:t>
            </w:r>
          </w:p>
        </w:tc>
        <w:tc>
          <w:tcPr>
            <w:tcW w:type="dxa" w:w="36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Consequence</w:t>
            </w:r>
          </w:p>
        </w:tc>
      </w:tr>
      <w:tr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ADR-001</w:t>
            </w:r>
          </w:p>
        </w:tc>
        <w:tc>
          <w:tcPr>
            <w:tcW w:type="dxa" w:w="1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Phase 01</w:t>
            </w:r>
          </w:p>
        </w:tc>
        <w:tc>
          <w:tcPr>
            <w:tcW w:type="dxa" w:w="33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Zod-first type contracts as architectural boundary</w:t>
            </w:r>
          </w:p>
        </w:tc>
        <w:tc>
          <w:tcPr>
            <w:tcW w:type="dxa" w:w="36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All packages import from @ncaos/core. Breaking changes require version bump. New fields must be .optional().</w:t>
            </w:r>
          </w:p>
        </w:tc>
      </w:tr>
      <w:tr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ADR-002</w:t>
            </w:r>
          </w:p>
        </w:tc>
        <w:tc>
          <w:tcPr>
            <w:tcW w:type="dxa" w:w="1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Phase 01</w:t>
            </w:r>
          </w:p>
        </w:tc>
        <w:tc>
          <w:tcPr>
            <w:tcW w:type="dxa" w:w="33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Fail-safe default-deny as unconditional invariant</w:t>
            </w:r>
          </w:p>
        </w:tc>
        <w:tc>
          <w:tcPr>
            <w:tcW w:type="dxa" w:w="36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failSafeVerdict() cannot be disabled by policy. Shell failure → always BLOCK. Validated by PT-CHAOS-001.</w:t>
            </w:r>
          </w:p>
        </w:tc>
      </w:tr>
      <w:tr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ADR-003</w:t>
            </w:r>
          </w:p>
        </w:tc>
        <w:tc>
          <w:tcPr>
            <w:tcW w:type="dxa" w:w="1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Phase 02</w:t>
            </w:r>
          </w:p>
        </w:tc>
        <w:tc>
          <w:tcPr>
            <w:tcW w:type="dxa" w:w="33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Shell process isolation strategy</w:t>
            </w:r>
          </w:p>
        </w:tc>
        <w:tc>
          <w:tcPr>
            <w:tcW w:type="dxa" w:w="36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ShellLoop runs as separate process. Watchdog monitors and restarts. API returns 503 during restart window.</w:t>
            </w:r>
          </w:p>
        </w:tc>
      </w:tr>
      <w:tr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ADR-004</w:t>
            </w:r>
          </w:p>
        </w:tc>
        <w:tc>
          <w:tcPr>
            <w:tcW w:type="dxa" w:w="1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Phase 03</w:t>
            </w:r>
          </w:p>
        </w:tc>
        <w:tc>
          <w:tcPr>
            <w:tcW w:type="dxa" w:w="33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Detection layer independence</w:t>
            </w:r>
          </w:p>
        </w:tc>
        <w:tc>
          <w:tcPr>
            <w:tcW w:type="dxa" w:w="36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Each detector is a class, not a function. MTTD measured inside each detector. Rule sets configurable at construction.</w:t>
            </w:r>
          </w:p>
        </w:tc>
      </w:tr>
      <w:tr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ADR-005</w:t>
            </w:r>
          </w:p>
        </w:tc>
        <w:tc>
          <w:tcPr>
            <w:tcW w:type="dxa" w:w="1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Phase 04</w:t>
            </w:r>
          </w:p>
        </w:tc>
        <w:tc>
          <w:tcPr>
            <w:tcW w:type="dxa" w:w="33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Per-tenant detector isolation</w:t>
            </w:r>
          </w:p>
        </w:tc>
        <w:tc>
          <w:tcPr>
            <w:tcW w:type="dxa" w:w="36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TenantDetectorRegistry: one detector set per tenant. Memory scales with active tenants. Phase 07+: Redis-backed.</w:t>
            </w:r>
          </w:p>
        </w:tc>
      </w:tr>
      <w:tr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ADR-006</w:t>
            </w:r>
          </w:p>
        </w:tc>
        <w:tc>
          <w:tcPr>
            <w:tcW w:type="dxa" w:w="1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Phase 05</w:t>
            </w:r>
          </w:p>
        </w:tc>
        <w:tc>
          <w:tcPr>
            <w:tcW w:type="dxa" w:w="33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AuditSignal schema as Urielle interface contract</w:t>
            </w:r>
          </w:p>
        </w:tc>
        <w:tc>
          <w:tcPr>
            <w:tcW w:type="dxa" w:w="36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Urielle ONLY consumes AuditSignal — never accesses @ncaos/shell or @ncaos/detection directly. Three-layer schema.</w:t>
            </w:r>
          </w:p>
        </w:tc>
      </w:tr>
      <w:tr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ADR-007</w:t>
            </w:r>
          </w:p>
        </w:tc>
        <w:tc>
          <w:tcPr>
            <w:tcW w:type="dxa" w:w="1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Phase 06</w:t>
            </w:r>
          </w:p>
        </w:tc>
        <w:tc>
          <w:tcPr>
            <w:tcW w:type="dxa" w:w="33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Phase 06 security hardening strategy</w:t>
            </w:r>
          </w:p>
        </w:tc>
        <w:tc>
          <w:tcPr>
            <w:tcW w:type="dxa" w:w="36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JWT opt-in via JWT_SECRET env var. RateLimiter token bucket. 4 STRIDE items deferred to v1.0 production MUST list.</w:t>
            </w:r>
          </w:p>
        </w:tc>
      </w:tr>
      <w:tr>
        <w:tc>
          <w:tcPr>
            <w:tcW w:type="dxa" w:w="1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ADR-008</w:t>
            </w:r>
          </w:p>
        </w:tc>
        <w:tc>
          <w:tcPr>
            <w:tcW w:type="dxa" w:w="1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Phase 07</w:t>
            </w:r>
          </w:p>
        </w:tc>
        <w:tc>
          <w:tcPr>
            <w:tcW w:type="dxa" w:w="33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v1.0-rc scope and production readiness criteria</w:t>
            </w:r>
          </w:p>
        </w:tc>
        <w:tc>
          <w:tcPr>
            <w:tcW w:type="dxa" w:w="36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6 MUST items for production. 4 SHOULD. 3 NICE. Pilot Tier 1 (Observe) can proceed with v1.0-rc.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pStyle w:val="Heading1"/>
        <w:spacing w:after="120" w:before="300"/>
      </w:pPr>
      <w:r>
        <w:t xml:space="preserve">4. v1.0 Production Roadmap (ADR-008)</w:t>
      </w:r>
    </w:p>
    <w:p>
      <w:pPr>
        <w:spacing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Six MUST items are required for production deployment. Pilot Tier 1 (Observe mode) can proceed with v1.0-rc as-is.</w:t>
      </w:r>
    </w:p>
    <w:p>
      <w:p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800"/>
        <w:gridCol w:w="1400"/>
        <w:gridCol w:w="1200"/>
        <w:gridCol w:w="2160"/>
      </w:tblGrid>
      <w:tr>
        <w:trPr>
          <w:tblHeader/>
        </w:trPr>
        <w:tc>
          <w:tcPr>
            <w:tcW w:type="dxa" w:w="8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38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14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12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Effort</w:t>
            </w:r>
          </w:p>
        </w:tc>
        <w:tc>
          <w:tcPr>
            <w:tcW w:type="dxa" w:w="216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STRIDE Ref</w:t>
            </w:r>
          </w:p>
        </w:tc>
      </w:tr>
      <w:tr>
        <w:tc>
          <w:tcPr>
            <w:tcW w:type="dxa" w:w="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CE4D6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833C00"/>
                <w:sz w:val="14"/>
                <w:szCs w:val="14"/>
              </w:rPr>
              <w:t xml:space="preserve">MUST</w:t>
            </w:r>
          </w:p>
        </w:tc>
        <w:tc>
          <w:tcPr>
            <w:tcW w:type="dxa" w:w="3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WebSocket authentication in upgrade handler</w:t>
            </w:r>
          </w:p>
        </w:tc>
        <w:tc>
          <w:tcPr>
            <w:tcW w:type="dxa" w:w="1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Security</w:t>
            </w:r>
          </w:p>
        </w:tc>
        <w:tc>
          <w:tcPr>
            <w:tcW w:type="dxa" w:w="1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1 day</w:t>
            </w:r>
          </w:p>
        </w:tc>
        <w:tc>
          <w:tcPr>
            <w:tcW w:type="dxa" w:w="2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S-003</w:t>
            </w:r>
          </w:p>
        </w:tc>
      </w:tr>
      <w:tr>
        <w:tc>
          <w:tcPr>
            <w:tcW w:type="dxa" w:w="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CE4D6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833C00"/>
                <w:sz w:val="14"/>
                <w:szCs w:val="14"/>
              </w:rPr>
              <w:t xml:space="preserve">MUST</w:t>
            </w:r>
          </w:p>
        </w:tc>
        <w:tc>
          <w:tcPr>
            <w:tcW w:type="dxa" w:w="3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Stack trace stripping in production error responses</w:t>
            </w:r>
          </w:p>
        </w:tc>
        <w:tc>
          <w:tcPr>
            <w:tcW w:type="dxa" w:w="1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Security</w:t>
            </w:r>
          </w:p>
        </w:tc>
        <w:tc>
          <w:tcPr>
            <w:tcW w:type="dxa" w:w="1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0.5 day</w:t>
            </w:r>
          </w:p>
        </w:tc>
        <w:tc>
          <w:tcPr>
            <w:tcW w:type="dxa" w:w="2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I-001</w:t>
            </w:r>
          </w:p>
        </w:tc>
      </w:tr>
      <w:tr>
        <w:tc>
          <w:tcPr>
            <w:tcW w:type="dxa" w:w="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CE4D6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833C00"/>
                <w:sz w:val="14"/>
                <w:szCs w:val="14"/>
              </w:rPr>
              <w:t xml:space="preserve">MUST</w:t>
            </w:r>
          </w:p>
        </w:tc>
        <w:tc>
          <w:tcPr>
            <w:tcW w:type="dxa" w:w="3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HMAC-signed evidence handles</w:t>
            </w:r>
          </w:p>
        </w:tc>
        <w:tc>
          <w:tcPr>
            <w:tcW w:type="dxa" w:w="1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Security</w:t>
            </w:r>
          </w:p>
        </w:tc>
        <w:tc>
          <w:tcPr>
            <w:tcW w:type="dxa" w:w="1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1 day</w:t>
            </w:r>
          </w:p>
        </w:tc>
        <w:tc>
          <w:tcPr>
            <w:tcW w:type="dxa" w:w="2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R-001</w:t>
            </w:r>
          </w:p>
        </w:tc>
      </w:tr>
      <w:tr>
        <w:tc>
          <w:tcPr>
            <w:tcW w:type="dxa" w:w="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CE4D6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833C00"/>
                <w:sz w:val="14"/>
                <w:szCs w:val="14"/>
              </w:rPr>
              <w:t xml:space="preserve">MUST</w:t>
            </w:r>
          </w:p>
        </w:tc>
        <w:tc>
          <w:tcPr>
            <w:tcW w:type="dxa" w:w="3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String sanitization in ProcessRequestSchema (sourceId + inputFlags)</w:t>
            </w:r>
          </w:p>
        </w:tc>
        <w:tc>
          <w:tcPr>
            <w:tcW w:type="dxa" w:w="1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Security</w:t>
            </w:r>
          </w:p>
        </w:tc>
        <w:tc>
          <w:tcPr>
            <w:tcW w:type="dxa" w:w="1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0.5 day</w:t>
            </w:r>
          </w:p>
        </w:tc>
        <w:tc>
          <w:tcPr>
            <w:tcW w:type="dxa" w:w="2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T-003</w:t>
            </w:r>
          </w:p>
        </w:tc>
      </w:tr>
      <w:tr>
        <w:tc>
          <w:tcPr>
            <w:tcW w:type="dxa" w:w="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CE4D6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833C00"/>
                <w:sz w:val="14"/>
                <w:szCs w:val="14"/>
              </w:rPr>
              <w:t xml:space="preserve">MUST</w:t>
            </w:r>
          </w:p>
        </w:tc>
        <w:tc>
          <w:tcPr>
            <w:tcW w:type="dxa" w:w="3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activatedBy bound to JWT sub in PolicyStore</w:t>
            </w:r>
          </w:p>
        </w:tc>
        <w:tc>
          <w:tcPr>
            <w:tcW w:type="dxa" w:w="1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Security</w:t>
            </w:r>
          </w:p>
        </w:tc>
        <w:tc>
          <w:tcPr>
            <w:tcW w:type="dxa" w:w="1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0.5 day</w:t>
            </w:r>
          </w:p>
        </w:tc>
        <w:tc>
          <w:tcPr>
            <w:tcW w:type="dxa" w:w="2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R-002</w:t>
            </w:r>
          </w:p>
        </w:tc>
      </w:tr>
      <w:tr>
        <w:tc>
          <w:tcPr>
            <w:tcW w:type="dxa" w:w="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CE4D6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833C00"/>
                <w:sz w:val="14"/>
                <w:szCs w:val="14"/>
              </w:rPr>
              <w:t xml:space="preserve">MUST</w:t>
            </w:r>
          </w:p>
        </w:tc>
        <w:tc>
          <w:tcPr>
            <w:tcW w:type="dxa" w:w="3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/v1/mttd restricted to admin role JWT claim</w:t>
            </w:r>
          </w:p>
        </w:tc>
        <w:tc>
          <w:tcPr>
            <w:tcW w:type="dxa" w:w="1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Security</w:t>
            </w:r>
          </w:p>
        </w:tc>
        <w:tc>
          <w:tcPr>
            <w:tcW w:type="dxa" w:w="1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0.5 day</w:t>
            </w:r>
          </w:p>
        </w:tc>
        <w:tc>
          <w:tcPr>
            <w:tcW w:type="dxa" w:w="2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I-003</w:t>
            </w:r>
          </w:p>
        </w:tc>
      </w:tr>
      <w:tr>
        <w:tc>
          <w:tcPr>
            <w:tcW w:type="dxa" w:w="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2CC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7F6000"/>
                <w:sz w:val="14"/>
                <w:szCs w:val="14"/>
              </w:rPr>
              <w:t xml:space="preserve">SHOULD</w:t>
            </w:r>
          </w:p>
        </w:tc>
        <w:tc>
          <w:tcPr>
            <w:tcW w:type="dxa" w:w="3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TimescaleDB persistence for EventStore (survive restart)</w:t>
            </w:r>
          </w:p>
        </w:tc>
        <w:tc>
          <w:tcPr>
            <w:tcW w:type="dxa" w:w="1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Infrastructure</w:t>
            </w:r>
          </w:p>
        </w:tc>
        <w:tc>
          <w:tcPr>
            <w:tcW w:type="dxa" w:w="1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3 days</w:t>
            </w:r>
          </w:p>
        </w:tc>
        <w:tc>
          <w:tcPr>
            <w:tcW w:type="dxa" w:w="2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2CC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7F6000"/>
                <w:sz w:val="14"/>
                <w:szCs w:val="14"/>
              </w:rPr>
              <w:t xml:space="preserve">SHOULD</w:t>
            </w:r>
          </w:p>
        </w:tc>
        <w:tc>
          <w:tcPr>
            <w:tcW w:type="dxa" w:w="3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Redis-backed TenantDetectorRegistry (multi-node horizontal scale)</w:t>
            </w:r>
          </w:p>
        </w:tc>
        <w:tc>
          <w:tcPr>
            <w:tcW w:type="dxa" w:w="1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Infrastructure</w:t>
            </w:r>
          </w:p>
        </w:tc>
        <w:tc>
          <w:tcPr>
            <w:tcW w:type="dxa" w:w="1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2 days</w:t>
            </w:r>
          </w:p>
        </w:tc>
        <w:tc>
          <w:tcPr>
            <w:tcW w:type="dxa" w:w="2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2CC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7F6000"/>
                <w:sz w:val="14"/>
                <w:szCs w:val="14"/>
              </w:rPr>
              <w:t xml:space="preserve">SHOULD</w:t>
            </w:r>
          </w:p>
        </w:tc>
        <w:tc>
          <w:tcPr>
            <w:tcW w:type="dxa" w:w="3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RS256 JWT key rotation (replace HS256)</w:t>
            </w:r>
          </w:p>
        </w:tc>
        <w:tc>
          <w:tcPr>
            <w:tcW w:type="dxa" w:w="1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Security</w:t>
            </w:r>
          </w:p>
        </w:tc>
        <w:tc>
          <w:tcPr>
            <w:tcW w:type="dxa" w:w="1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1 day</w:t>
            </w:r>
          </w:p>
        </w:tc>
        <w:tc>
          <w:tcPr>
            <w:tcW w:type="dxa" w:w="2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2CC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7F6000"/>
                <w:sz w:val="14"/>
                <w:szCs w:val="14"/>
              </w:rPr>
              <w:t xml:space="preserve">SHOULD</w:t>
            </w:r>
          </w:p>
        </w:tc>
        <w:tc>
          <w:tcPr>
            <w:tcW w:type="dxa" w:w="3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GitHub Pages demo deployment</w:t>
            </w:r>
          </w:p>
        </w:tc>
        <w:tc>
          <w:tcPr>
            <w:tcW w:type="dxa" w:w="1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Demo</w:t>
            </w:r>
          </w:p>
        </w:tc>
        <w:tc>
          <w:tcPr>
            <w:tcW w:type="dxa" w:w="1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1 day</w:t>
            </w:r>
          </w:p>
        </w:tc>
        <w:tc>
          <w:tcPr>
            <w:tcW w:type="dxa" w:w="2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NICE</w:t>
            </w:r>
          </w:p>
        </w:tc>
        <w:tc>
          <w:tcPr>
            <w:tcW w:type="dxa" w:w="3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HMAC-signed sourceId for Gate allowlist verification</w:t>
            </w:r>
          </w:p>
        </w:tc>
        <w:tc>
          <w:tcPr>
            <w:tcW w:type="dxa" w:w="1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Security</w:t>
            </w:r>
          </w:p>
        </w:tc>
        <w:tc>
          <w:tcPr>
            <w:tcW w:type="dxa" w:w="1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2 days</w:t>
            </w:r>
          </w:p>
        </w:tc>
        <w:tc>
          <w:tcPr>
            <w:tcW w:type="dxa" w:w="2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S-002</w:t>
            </w:r>
          </w:p>
        </w:tc>
      </w:tr>
      <w:tr>
        <w:tc>
          <w:tcPr>
            <w:tcW w:type="dxa" w:w="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NICE</w:t>
            </w:r>
          </w:p>
        </w:tc>
        <w:tc>
          <w:tcPr>
            <w:tcW w:type="dxa" w:w="3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Per-tenant event ingestion rate limit (EventStore D-002)</w:t>
            </w:r>
          </w:p>
        </w:tc>
        <w:tc>
          <w:tcPr>
            <w:tcW w:type="dxa" w:w="1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Security</w:t>
            </w:r>
          </w:p>
        </w:tc>
        <w:tc>
          <w:tcPr>
            <w:tcW w:type="dxa" w:w="1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1 day</w:t>
            </w:r>
          </w:p>
        </w:tc>
        <w:tc>
          <w:tcPr>
            <w:tcW w:type="dxa" w:w="2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D-002</w:t>
            </w:r>
          </w:p>
        </w:tc>
      </w:tr>
      <w:tr>
        <w:tc>
          <w:tcPr>
            <w:tcW w:type="dxa" w:w="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NICE</w:t>
            </w:r>
          </w:p>
        </w:tc>
        <w:tc>
          <w:tcPr>
            <w:tcW w:type="dxa" w:w="3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Automated ISO 42001 evidence package generation</w:t>
            </w:r>
          </w:p>
        </w:tc>
        <w:tc>
          <w:tcPr>
            <w:tcW w:type="dxa" w:w="1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Compliance</w:t>
            </w:r>
          </w:p>
        </w:tc>
        <w:tc>
          <w:tcPr>
            <w:tcW w:type="dxa" w:w="1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3 days</w:t>
            </w:r>
          </w:p>
        </w:tc>
        <w:tc>
          <w:tcPr>
            <w:tcW w:type="dxa" w:w="2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pStyle w:val="Heading1"/>
        <w:spacing w:after="120" w:before="300"/>
      </w:pPr>
      <w:r>
        <w:t xml:space="preserve">5. Stakeholder Notes (Phases 01–07)</w:t>
      </w:r>
    </w:p>
    <w:p>
      <w:p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Stakeholder</w:t>
            </w:r>
          </w:p>
        </w:tc>
        <w:tc>
          <w:tcPr>
            <w:tcW w:type="dxa" w:w="736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Phases 01–07 Prove</w:t>
            </w:r>
          </w:p>
        </w:tc>
      </w:tr>
      <w:tr>
        <w:tc>
          <w:tcPr>
            <w:tcW w:type="dxa" w:w="2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Executive
(Risk &amp; Accountability)</w:t>
            </w:r>
          </w:p>
        </w:tc>
        <w:tc>
          <w:tcPr>
            <w:tcW w:type="dxa" w:w="73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Containment is structural — continuation is no longer a default risk. Live demo (D-03) showed action=BLOCK with authority=invalid and governedOutputPct=54 (vs rawExposurePct=100). The Admin Terminal Executive view shows RAW_EXPOSURE vs GOVERNED_OUTPUT in real time for any authorized viewer.</w:t>
            </w:r>
          </w:p>
        </w:tc>
      </w:tr>
      <w:tr>
        <w:tc>
          <w:tcPr>
            <w:tcW w:type="dxa" w:w="2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System Architect
(Boundary &amp; Decoupling)</w:t>
            </w:r>
          </w:p>
        </w:tc>
        <w:tc>
          <w:tcPr>
            <w:tcW w:type="dxa" w:w="73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EGS treats the AI/OS as an untrusted black box. Observer-Judge-Enforcer loop is process-isolated (ADR-003). Internal crash cannot disable governance — PT-CHAOS-001 confirmed 503 during restart window. Per-tenant detector isolation (ADR-005) prevents rule set contamination. @ncaos/detection detects at the boundary — no internal visibility used.</w:t>
            </w:r>
          </w:p>
        </w:tc>
      </w:tr>
      <w:tr>
        <w:tc>
          <w:tcPr>
            <w:tcW w:type="dxa" w:w="2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Legal &amp; Compliance
(Auditability)</w:t>
            </w:r>
          </w:p>
        </w:tc>
        <w:tc>
          <w:tcPr>
            <w:tcW w:type="dxa" w:w="73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Structural Audit Trail: every containment event generates an EVIDENCE_HANDLE retrievable via GET /v1/audit/:handle. SequenceSummary provides behavioral pattern evidence (patternType=CONTAINED, consistencyScore=94) without internal model access. ISO 42001:2023 — 8 controls IMPLEMENTED, 3 PARTIAL. AuditSignal schema (ADR-006) is the formal typed contract for compliance evidence.</w:t>
            </w:r>
          </w:p>
        </w:tc>
      </w:tr>
      <w:tr>
        <w:tc>
          <w:tcPr>
            <w:tcW w:type="dxa" w:w="2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Toru
(Audit Layer Architect)</w:t>
            </w:r>
          </w:p>
        </w:tc>
        <w:tc>
          <w:tcPr>
            <w:tcW w:type="dxa" w:w="73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Phase 05 AuditSignal schema delivers the minimum viable signal layer: 14-field core (always present) + 8-field sequence + optional enrichment. Phase 07 live demo confirmed: patternType=CONTAINED, escalationDetected=True, consistencyScore=94, actionChain={DOWNGRADE,BLOCK}, layers={gate,authority}. Urielle consumes /v1/events/sequence/:id/summary — no EGS internal access required. ISO42001_CONTROL_MAP links each containment layer to relevant clause controls.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E4F0" w:sz="4" w:space="1"/>
      </w:pBdr>
      <w:spacing w:after="0" w:before="0"/>
    </w:pPr>
  </w:p>
  <w:p>
    <w:pPr>
      <w:tabs>
        <w:tab w:val="right" w:pos="9360"/>
      </w:tabs>
      <w:spacing w:after="0" w:before="40"/>
    </w:pPr>
    <w:r>
      <w:rPr>
        <w:rFonts w:ascii="Arial" w:cs="Arial" w:eastAsia="Arial" w:hAnsi="Arial"/>
        <w:color w:val="595959"/>
        <w:sz w:val="16"/>
        <w:szCs w:val="16"/>
      </w:rPr>
      <w:t xml:space="preserve">NCAOS-Urielle · github.com/wholidi/NCAOS-Urielle  |  Non-Public / Concept Artifact</w:t>
    </w:r>
    <w:r>
      <w:rPr>
        <w:rFonts w:ascii="Arial" w:cs="Arial" w:eastAsia="Arial" w:hAnsi="Arial"/>
        <w:color w:val="595959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/>
    </w:pPr>
    <w:r>
      <w:rPr>
        <w:rFonts w:ascii="Arial" w:cs="Arial" w:eastAsia="Arial" w:hAnsi="Arial"/>
        <w:b/>
        <w:bCs/>
        <w:color w:val="1F3864"/>
        <w:sz w:val="20"/>
        <w:szCs w:val="20"/>
      </w:rPr>
      <w:t xml:space="preserve">NCAOS / EGS  </w:t>
    </w:r>
    <w:r>
      <w:rPr>
        <w:rFonts w:ascii="Arial" w:cs="Arial" w:eastAsia="Arial" w:hAnsi="Arial"/>
        <w:color w:val="595959"/>
        <w:sz w:val="20"/>
        <w:szCs w:val="20"/>
      </w:rPr>
      <w:t xml:space="preserve">— Phase Summary  ·  v0.1 through v1.0-rc</w:t>
    </w:r>
  </w:p>
  <w:p>
    <w:pPr>
      <w:pBdr>
        <w:bottom w:val="single" w:color="2E75B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  <w:rPr>
        <w:rFonts w:ascii="Arial" w:cs="Arial" w:eastAsia="Arial" w:hAnsi="Arial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1"/>
      </w:pBdr>
      <w:spacing w:after="140" w:before="30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1F3864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2026-05-24T03:34:33.606Z</dcterms:created>
  <dcterms:modified xsi:type="dcterms:W3CDTF">2026-05-24T03:34:33.617Z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