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36"/>
          <w:szCs w:val="36"/>
        </w:rPr>
        <w:t xml:space="preserve">AI SYSTEM INVENTORY ENTRY</w:t>
      </w:r>
    </w:p>
    <w:p>
      <w:pPr>
        <w:spacing w:after="40" w:before="0"/>
        <w:jc w:val="center"/>
      </w:pPr>
      <w:r>
        <w:rPr>
          <w:rFonts w:ascii="Arial" w:cs="Arial" w:eastAsia="Arial" w:hAnsi="Arial"/>
          <w:color w:val="595959"/>
          <w:sz w:val="20"/>
          <w:szCs w:val="20"/>
        </w:rPr>
        <w:t xml:space="preserve">Evidence Item S1-03  |  Urielle AI Audit Engagement</w:t>
      </w:r>
    </w:p>
    <w:p>
      <w:pPr>
        <w:spacing w:after="40" w:before="0"/>
        <w:jc w:val="center"/>
      </w:pPr>
      <w:r>
        <w:rPr>
          <w:rFonts w:ascii="Arial" w:cs="Arial" w:eastAsia="Arial" w:hAnsi="Arial"/>
          <w:color w:val="2E75B6"/>
          <w:sz w:val="18"/>
          <w:szCs w:val="18"/>
        </w:rPr>
        <w:t xml:space="preserve">ISO 42001:2023 Clause 6  </w:t>
      </w:r>
      <w:r>
        <w:rPr>
          <w:rFonts w:ascii="Arial" w:cs="Arial" w:eastAsia="Arial" w:hAnsi="Arial"/>
          <w:color w:val="595959"/>
          <w:sz w:val="18"/>
          <w:szCs w:val="18"/>
        </w:rPr>
        <w:t xml:space="preserve">|</w:t>
      </w:r>
      <w:r>
        <w:rPr>
          <w:rFonts w:ascii="Arial" w:cs="Arial" w:eastAsia="Arial" w:hAnsi="Arial"/>
          <w:color w:val="2E75B6"/>
          <w:sz w:val="18"/>
          <w:szCs w:val="18"/>
        </w:rPr>
        <w:t xml:space="preserve">  EU AI Act Article 49  </w:t>
      </w:r>
      <w:r>
        <w:rPr>
          <w:rFonts w:ascii="Arial" w:cs="Arial" w:eastAsia="Arial" w:hAnsi="Arial"/>
          <w:color w:val="595959"/>
          <w:sz w:val="18"/>
          <w:szCs w:val="18"/>
        </w:rPr>
        <w:t xml:space="preserve">|</w:t>
      </w:r>
      <w:r>
        <w:rPr>
          <w:rFonts w:ascii="Arial" w:cs="Arial" w:eastAsia="Arial" w:hAnsi="Arial"/>
          <w:color w:val="2E75B6"/>
          <w:sz w:val="18"/>
          <w:szCs w:val="18"/>
        </w:rPr>
        <w:t xml:space="preserve">  NIST AI RMF GOVERN 1.1</w:t>
      </w:r>
    </w:p>
    <w:p>
      <w:pPr>
        <w:pBdr>
          <w:bottom w:val="single" w:color="1F4E79" w:sz="6" w:space="4"/>
        </w:pBdr>
        <w:spacing w:after="240" w:before="0"/>
        <w:jc w:val="center"/>
      </w:pPr>
      <w:r>
        <w:rPr>
          <w:rFonts w:ascii="Arial" w:cs="Arial" w:eastAsia="Arial" w:hAnsi="Arial"/>
          <w:color w:val="595959"/>
          <w:sz w:val="16"/>
          <w:szCs w:val="16"/>
        </w:rPr>
        <w:t xml:space="preserve">Document Version: 1.0  |  Classification: Confidential  |  Date: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ENGAGEMENT INFORMATION</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Engagement Reference</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[ERT-2026-001]</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Client Organisation</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NCAOS-Urielle</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Auditor</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William Hartono / Urielle AI — wholidipro@urielle-ai.com</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Evidence Item Reference</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S1-03 — AI System Inventory Entry</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Document Date</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June 2026</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Document Status</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F7A3A"/>
                <w:sz w:val="18"/>
                <w:szCs w:val="18"/>
              </w:rPr>
              <w:t xml:space="preserve">Final — v1.0</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 1 — SYSTEM IDENTITY</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AI System Name</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8"/>
                <w:szCs w:val="18"/>
              </w:rPr>
              <w:t xml:space="preserve">NCAOS-Urielle External Governance Shell (EGS)</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System Version</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v1.0 Release Candidate (v1.0-rc), 7-Phase Build Complete</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Repository</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github.com/wholidi/NCAOS-Urielle</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System Type</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AI Governance Enforcement Layer / External Governance Shell (EGS)</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Deployment Context</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TypeScript Monorepo — Node.js runtime, REST API, React Admin Terminal</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Geographic Scope</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Singapore (primary); Southeast Asia regional (secondary); Global API consumers</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Inventory Date</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June 2026</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Inventory Owner</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William Hartono — Founder, Urielle AI (wholidipro@urielle-ai.com)</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 2 — SYSTEM PURPOSE AND FUNCTION</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Primary Purpose</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NCAOS-Urielle is an External Governance Shell (EGS) that enforces AI/OS boundary controls, tenant isolation, and audit signal generation for AI systems operating in multi-tenant environments.</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Core Capabilities</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Phase 01 — @ncaos/core: Domain primitives, tenant models, policy contracts</w:t>
            </w:r>
          </w:p>
          <w:p>
            <w:r>
              <w:rPr>
                <w:rFonts w:ascii="Arial" w:cs="Arial" w:eastAsia="Arial" w:hAnsi="Arial"/>
                <w:sz w:val="18"/>
                <w:szCs w:val="18"/>
              </w:rPr>
              <w:t xml:space="preserve">Phase 02 — @ncaos/shell: Policy enforcement engine and boundary control</w:t>
            </w:r>
          </w:p>
          <w:p>
            <w:r>
              <w:rPr>
                <w:rFonts w:ascii="Arial" w:cs="Arial" w:eastAsia="Arial" w:hAnsi="Arial"/>
                <w:sz w:val="18"/>
                <w:szCs w:val="18"/>
              </w:rPr>
              <w:t xml:space="preserve">Phase 03 — @ncaos/detection: Anomaly detection and threat signal processing</w:t>
            </w:r>
          </w:p>
          <w:p>
            <w:r>
              <w:rPr>
                <w:rFonts w:ascii="Arial" w:cs="Arial" w:eastAsia="Arial" w:hAnsi="Arial"/>
                <w:sz w:val="18"/>
                <w:szCs w:val="18"/>
              </w:rPr>
              <w:t xml:space="preserve">Phase 04 — @ncaos/api: REST API (14 routes), EventStore, sequenceId audit linking</w:t>
            </w:r>
          </w:p>
          <w:p>
            <w:r>
              <w:rPr>
                <w:rFonts w:ascii="Arial" w:cs="Arial" w:eastAsia="Arial" w:hAnsi="Arial"/>
                <w:sz w:val="18"/>
                <w:szCs w:val="18"/>
              </w:rPr>
              <w:t xml:space="preserve">Phase 05 — @ncaos/ui + @ncaos/audit-signal: React Admin Terminal (4 roles), Zod schema</w:t>
            </w:r>
          </w:p>
          <w:p>
            <w:r>
              <w:rPr>
                <w:rFonts w:ascii="Arial" w:cs="Arial" w:eastAsia="Arial" w:hAnsi="Arial"/>
                <w:sz w:val="18"/>
                <w:szCs w:val="18"/>
              </w:rPr>
              <w:t xml:space="preserve">Phase 06 — @ncaos/hardening: Penetration testing, security hardening</w:t>
            </w:r>
          </w:p>
          <w:p>
            <w:r>
              <w:rPr>
                <w:rFonts w:ascii="Arial" w:cs="Arial" w:eastAsia="Arial" w:hAnsi="Arial"/>
                <w:sz w:val="18"/>
                <w:szCs w:val="18"/>
              </w:rPr>
              <w:t xml:space="preserve">Phase 07 — Stakeholder demo and validation (with Toru / NCAOS Japan)</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Intended Users</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AI Governance Practitioners, Compliance Officers, Enterprise AI Risk Teams, Audit Principals</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Decisions Made / Supported</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Policy enforcement decisions (allow/deny/alert), tenant boundary enforcement, audit event generation. System supports human oversight — it does not make autonomous business decisions.</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Data Processed</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Tenant identifiers, API call metadata, policy rule sets, audit event logs, anomaly detection signals. No personal health, financial, or biometric data.</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Excluded Use Cases</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Autonomous decision-making without human review; biometric identification; credit scoring; hiring decisions; law enforcement profiling.</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9360"/>
            <w:gridSpan w:val="3"/>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 3 — RISK CLASSIFICATION</w:t>
            </w:r>
          </w:p>
        </w:tc>
      </w:tr>
      <w:tr>
        <w:tc>
          <w:tcPr>
            <w:tcW w:type="dxa" w:w="234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9"/>
                <w:szCs w:val="19"/>
              </w:rPr>
              <w:t xml:space="preserve">Criterion</w:t>
            </w:r>
          </w:p>
        </w:tc>
        <w:tc>
          <w:tcPr>
            <w:tcW w:type="dxa" w:w="351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9"/>
                <w:szCs w:val="19"/>
              </w:rPr>
              <w:t xml:space="preserve">ISO 42001:2023 Clause 6 Assessment</w:t>
            </w:r>
          </w:p>
        </w:tc>
        <w:tc>
          <w:tcPr>
            <w:tcW w:type="dxa" w:w="351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9"/>
                <w:szCs w:val="19"/>
              </w:rPr>
              <w:t xml:space="preserve">EU AI Act Article 49 Assessment</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Risk Classification Outcome</w:t>
            </w:r>
          </w:p>
        </w:tc>
        <w:tc>
          <w:tcPr>
            <w:tcW w:type="dxa" w:w="351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b/>
                <w:bCs/>
                <w:color w:val="7D4E00"/>
                <w:sz w:val="18"/>
                <w:szCs w:val="18"/>
              </w:rPr>
              <w:t xml:space="preserve">LIMITED RISK</w:t>
            </w:r>
          </w:p>
        </w:tc>
        <w:tc>
          <w:tcPr>
            <w:tcW w:type="dxa" w:w="351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r>
              <w:rPr>
                <w:rFonts w:ascii="Arial" w:cs="Arial" w:eastAsia="Arial" w:hAnsi="Arial"/>
                <w:b/>
                <w:bCs/>
                <w:color w:val="7D4E00"/>
                <w:sz w:val="18"/>
                <w:szCs w:val="18"/>
              </w:rPr>
              <w:t xml:space="preserve">LIMITED RISK (Not High-Risk per Annex III)</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Classification Basis</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ISO 42001 cl.6.1: Organisational context and AI system risk determination. System operates as a governance tool; impacts are primarily on operational compliance rather than on individuals' fundamental rights.</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EU AI Act Art.6 + Annex III: System does not fall within prohibited practices (Art.5) or high-risk categories (Annex III). No biometric, critical infrastructure, employment, or access-to-services use.</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Prohibited Practices Check</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000000"/>
                <w:sz w:val="18"/>
                <w:szCs w:val="18"/>
              </w:rPr>
              <w:t xml:space="preserve">CLEAR — No subliminal manipulation, no exploitation of vulnerabilities, no social scoring, no real-time biometric surveillance.</w:t>
            </w:r>
          </w:p>
        </w:tc>
        <w:tc>
          <w:tcPr>
            <w:tcW w:type="dxa" w:w="351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val="false"/>
                <w:bCs w:val="false"/>
                <w:color w:val="000000"/>
                <w:sz w:val="18"/>
                <w:szCs w:val="18"/>
              </w:rPr>
              <w:t xml:space="preserve">CLEAR — System does not engage in any practice listed under EU AI Act Art.5 prohibited AI practices.</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Annex III High-Risk Check</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Not applicable — ISO 42001 does not use Annex III, but equivalent sector review conducted: governance tooling is not classified as high-risk AI.</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NOT HIGH-RISK — System is not used in biometrics, critical infrastructure, education, employment, essential services, law enforcement, migration, or justice domains.</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Article 49 Registration Obligation</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N/A (ISO 42001 framework)</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Art.49 registration in EU database NOT currently triggered. System is not high-risk per Annex III. Obligation to register arises if system scope expands to high-risk categories.</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Risk Review Trigger Conditions</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Reviewed upon: scope expansion, new tenant onboarding, change in decision authority, or material change to data processed.</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Reviewed upon: deployment in EU market for Annex III use case, or if system begins supporting decisions with significant individual impact.</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9360"/>
            <w:gridSpan w:val="3"/>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 4 — FRAMEWORK CONFORMANCE MAPPING</w:t>
            </w:r>
          </w:p>
        </w:tc>
      </w:tr>
      <w:tr>
        <w:tc>
          <w:tcPr>
            <w:tcW w:type="dxa" w:w="234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9"/>
                <w:szCs w:val="19"/>
              </w:rPr>
              <w:t xml:space="preserve">Requirement</w:t>
            </w:r>
          </w:p>
        </w:tc>
        <w:tc>
          <w:tcPr>
            <w:tcW w:type="dxa" w:w="351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9"/>
                <w:szCs w:val="19"/>
              </w:rPr>
              <w:t xml:space="preserve">Reference</w:t>
            </w:r>
          </w:p>
        </w:tc>
        <w:tc>
          <w:tcPr>
            <w:tcW w:type="dxa" w:w="3510"/>
            <w:gridSpan w:val="1"/>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19"/>
                <w:szCs w:val="19"/>
              </w:rPr>
              <w:t xml:space="preserve">Conformance Evidence</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AI Inventory Maintenance</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ISO 42001:2023 cl.6.1 — Planning; cl.8.4 — AI system documentation</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This document constitutes the inventory entry. Maintained by Urielle AI as audit principal.</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Risk Assessment Record</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ISO 42001 cl.6.1.2 — AI risk assessment; NIST AI RMF GOVERN 1.1</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Risk classification completed (Section 3). Test reports for all 7 phases available: Phase 04 = 181 tests, Phase 05 = Zod schema + ADR-006.</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Transparency Obligations</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EU AI Act Art.13 — Transparency; Art.49 — Registration for high-risk systems</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Art.13 not triggered (not high-risk). Art.49 registration not required at current classification. Transparency documentation maintained per audit engagement.</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Human Oversight</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EU AI Act Art.14; ISO 42001 cl.6.1; NIST AI RMF GOVERN 6</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System design enforces human-in-the-loop: React Admin Terminal (4 role views), no autonomous enforcement without policy approval. ADR-006 documents oversight architecture.</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Post-Market Monitoring</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EU AI Act Art.72; ISO 42001 cl.9 — Performance evaluation</w:t>
            </w:r>
          </w:p>
        </w:tc>
        <w:tc>
          <w:tcPr>
            <w:tcW w:type="dxa" w:w="351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b w:val="false"/>
                <w:bCs w:val="false"/>
                <w:color w:val="000000"/>
                <w:sz w:val="18"/>
                <w:szCs w:val="18"/>
              </w:rPr>
              <w:t xml:space="preserve">AuditSignal schema (3-layer Zod validation) and EventStore provide continuous monitoring capability. Phase 06 pen testing documented.</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SECTION 5 — OWNERSHIP AND ACCOUNTABILITY</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AI System Owner</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000000"/>
                <w:sz w:val="18"/>
                <w:szCs w:val="18"/>
              </w:rPr>
              <w:t xml:space="preserve">William Hartono — Founder, Urielle AI</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Role</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AI Governance Practitioner / Audit Principal / FHCA (ForHumanity Certified Auditor)</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Contact</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wholidipro@urielle-ai.com | urielle-ai.com | wholidi.github.io</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Date of Appointment</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June 2026 (Founding — Urielle AI)</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External Collaborator</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Toru (NCAOS Japan) — Research validation partner; Phase 07 stakeholder demo co-reviewer</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Accountability Framework</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ISO 42001:2023 cl.5.3 (Roles &amp; Responsibilities); NIST AI RMF GOVERN 1.1; EU AI Act Art.16 (Obligations of providers)</w:t>
            </w:r>
          </w:p>
        </w:tc>
      </w:tr>
      <w:tr>
        <w:tc>
          <w:tcPr>
            <w:tcW w:type="dxa" w:w="23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18"/>
                <w:szCs w:val="18"/>
              </w:rPr>
              <w:t xml:space="preserve">Next Review Date</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December 2026 (6-month review cycle) or upon material change</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CERTIFICATION AND ATTESTATION</w:t>
            </w:r>
          </w:p>
        </w:tc>
      </w:tr>
      <w:tr>
        <w:tc>
          <w:tcPr>
            <w:tcW w:type="dxa" w:w="9360"/>
            <w:tcBorders>
              <w:top w:val="single" w:color="1F4E79" w:sz="4"/>
              <w:left w:val="single" w:color="1F4E79" w:sz="4"/>
              <w:bottom w:val="single" w:color="1F4E79" w:sz="4"/>
              <w:right w:val="single" w:color="1F4E79" w:sz="4"/>
            </w:tcBorders>
            <w:shd w:fill="F0F7FF" w:val="clear"/>
            <w:tcMar>
              <w:top w:type="dxa" w:w="160"/>
              <w:left w:type="dxa" w:w="200"/>
              <w:bottom w:type="dxa" w:w="160"/>
              <w:right w:type="dxa" w:w="200"/>
            </w:tcMar>
          </w:tcPr>
          <w:p>
            <w:pPr>
              <w:spacing w:after="80" w:before="0"/>
            </w:pPr>
            <w:r>
              <w:rPr>
                <w:rFonts w:ascii="Arial" w:cs="Arial" w:eastAsia="Arial" w:hAnsi="Arial"/>
                <w:sz w:val="18"/>
                <w:szCs w:val="18"/>
              </w:rPr>
              <w:t xml:space="preserve">I, the undersigned, certify that the information recorded in this AI System Inventory Entry is accurate and complete to the best of my knowledge, and that this entry has been prepared in good faith to support the audit engagement conducted by Urielle AI.</w:t>
            </w:r>
          </w:p>
          <w:p>
            <w:pPr>
              <w:spacing w:after="80" w:before="0"/>
            </w:pPr>
            <w:r>
              <w:rPr>
                <w:rFonts w:ascii="Arial" w:cs="Arial" w:eastAsia="Arial" w:hAnsi="Arial"/>
                <w:sz w:val="18"/>
                <w:szCs w:val="18"/>
              </w:rPr>
              <w:t xml:space="preserve">This document is submitted as Evidence Item S1-03 in response to the Urielle AI Evidence Request Table. Gaps identified in this inventory represent genuine findings, not failures, consistent with the audit methodology stated in the Evidence Request.</w:t>
            </w:r>
          </w:p>
          <w:p>
            <w:pPr>
              <w:spacing w:after="80" w:before="80"/>
            </w:pPr>
            <w:r>
              <w:rPr>
                <w:rFonts w:ascii="Arial" w:cs="Arial" w:eastAsia="Arial" w:hAnsi="Arial"/>
                <w:b/>
                <w:bCs/>
                <w:sz w:val="18"/>
                <w:szCs w:val="18"/>
              </w:rPr>
              <w:t xml:space="preserve">Signed:  ___________________________</w:t>
            </w:r>
          </w:p>
          <w:p>
            <w:pPr>
              <w:spacing w:after="40" w:before="0"/>
            </w:pPr>
            <w:r>
              <w:rPr>
                <w:rFonts w:ascii="Arial" w:cs="Arial" w:eastAsia="Arial" w:hAnsi="Arial"/>
                <w:sz w:val="18"/>
                <w:szCs w:val="18"/>
              </w:rPr>
              <w:t xml:space="preserve">Name:    William Hartono</w:t>
            </w:r>
          </w:p>
          <w:p>
            <w:pPr>
              <w:spacing w:after="40" w:before="0"/>
            </w:pPr>
            <w:r>
              <w:rPr>
                <w:rFonts w:ascii="Arial" w:cs="Arial" w:eastAsia="Arial" w:hAnsi="Arial"/>
                <w:sz w:val="18"/>
                <w:szCs w:val="18"/>
              </w:rPr>
              <w:t xml:space="preserve">Title:   Founder, Urielle AI / AI System Owner</w:t>
            </w:r>
          </w:p>
          <w:p>
            <w:pPr>
              <w:spacing w:after="40" w:before="0"/>
            </w:pPr>
            <w:r>
              <w:rPr>
                <w:rFonts w:ascii="Arial" w:cs="Arial" w:eastAsia="Arial" w:hAnsi="Arial"/>
                <w:sz w:val="18"/>
                <w:szCs w:val="18"/>
              </w:rPr>
              <w:t xml:space="preserve">Date:    ___________________________</w:t>
            </w:r>
          </w:p>
        </w:tc>
      </w:tr>
    </w:tbl>
    <w:p>
      <w:pPr>
        <w:spacing w:after="0" w:before="200"/>
        <w:jc w:val="center"/>
      </w:pPr>
      <w:r>
        <w:rPr>
          <w:rFonts w:ascii="Arial" w:cs="Arial" w:eastAsia="Arial" w:hAnsi="Arial"/>
          <w:color w:val="595959"/>
          <w:sz w:val="16"/>
          <w:szCs w:val="16"/>
        </w:rPr>
        <w:t xml:space="preserve">NCAOS-Urielle AI System Inventory Entry  |  Evidence Item S1-03  |  Urielle AI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2026-06-06T15:48:17.536Z</dcterms:created>
  <dcterms:modified xsi:type="dcterms:W3CDTF">2026-06-06T15:48:17.537Z</dcterms:modified>
</cp:coreProperties>
</file>

<file path=docProps/custom.xml><?xml version="1.0" encoding="utf-8"?>
<Properties xmlns="http://schemas.openxmlformats.org/officeDocument/2006/custom-properties" xmlns:vt="http://schemas.openxmlformats.org/officeDocument/2006/docPropsVTypes"/>
</file>