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AI POLICY AND AI USE POLICY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95959"/>
          <w:sz w:val="21"/>
          <w:szCs w:val="21"/>
        </w:rPr>
        <w:t xml:space="preserve">Evidence Item S5-01  |  Section 5 — Governance and Accountability  |  Urielle AI Audit Template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ISO 42001 cl.5.2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|  EU AI Act Art.9  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|  EU AI Act Art.13 (Transparency)  </w:t>
      </w:r>
      <w:r>
        <w:rPr>
          <w:rFonts w:ascii="Arial" w:cs="Arial" w:eastAsia="Arial" w:hAnsi="Arial"/>
          <w:color w:val="2E75B6"/>
          <w:sz w:val="18"/>
          <w:szCs w:val="18"/>
        </w:rPr>
        <w:t xml:space="preserve">|  NIST AI RMF GOVERN 1</w:t>
      </w:r>
    </w:p>
    <w:p>
      <w:pPr>
        <w:pBdr>
          <w:bottom w:val="single" w:color="1F4E79" w:sz="6" w:space="4"/>
        </w:pBdr>
        <w:spacing w:after="280" w:before="0"/>
        <w:jc w:val="center"/>
      </w:pPr>
      <w:r>
        <w:rPr>
          <w:rFonts w:ascii="Arial" w:cs="Arial" w:eastAsia="Arial" w:hAnsi="Arial"/>
          <w:b/>
          <w:bCs/>
          <w:color w:val="1F7A3A"/>
          <w:sz w:val="16"/>
          <w:szCs w:val="16"/>
        </w:rPr>
        <w:t xml:space="preserve">  FILLED = NCAOS-Urielle reference     </w:t>
      </w:r>
      <w:r>
        <w:rPr>
          <w:rFonts w:ascii="Arial" w:cs="Arial" w:eastAsia="Arial" w:hAnsi="Arial"/>
          <w:b/>
          <w:bCs/>
          <w:color w:val="7D5A00"/>
          <w:sz w:val="16"/>
          <w:szCs w:val="16"/>
        </w:rPr>
        <w:t xml:space="preserve">  [ CREAM ] = Replace per engagement  </w:t>
      </w:r>
      <w:r>
        <w:rPr>
          <w:rFonts w:ascii="Arial" w:cs="Arial" w:eastAsia="Arial" w:hAnsi="Arial"/>
          <w:color w:val="595959"/>
          <w:sz w:val="16"/>
          <w:szCs w:val="16"/>
        </w:rPr>
        <w:t xml:space="preserve">  Minimum 1 page  |  v1.0  |  June 2026  |  Confidential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FF8E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0"/>
                <w:sz w:val="18"/>
                <w:szCs w:val="18"/>
              </w:rPr>
              <w:t xml:space="preserve">HOW TO USE THIS TEMPLATE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Reusable Urielle AI template for Evidence Item S5-01 — AI Policy / AI Use Policy. Satisfies ISO 42001 cl.5.2 (policy), EU AI Act Art.9 (risk management), and NIST AI RMF GOVERN 1. NCAOS-Urielle is pre-filled as the reference engagement.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Evidence Request requires four elements — minimum 1 page: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APPROVED USES — which use cases of AI are explicitly permitted. Tied to S1-04 (Intended Use Statement) and S1-03 (risk classification).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PROHIBITED USES — which uses are explicitly forbidden. Must cross-reference the EU AI Act Art.5 prohibited practices and S1-04 EX-01 to EX-08 exclusions.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ACCOUNTABILITY STRUCTURE — who is responsible for AI governance. Named individuals, not teams. Cross-reference S1-05 (Owner and Accountability Record).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REVIEW CADENCE — how often the policy is reviewed, what triggers an unscheduled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This document should read as a policy — written in clear, authoritative language — not as a table of fields. Section 3 provides the narrative policy text; Section 4 provides the structured summary.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Duplicate for each engagement. NCAOS-Urielle reference is permanent — do not overwrite.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9360"/>
            <w:gridSpan w:val="3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1 — DOCUMENT CONTROL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(Reference)</w:t>
            </w:r>
          </w:p>
        </w:tc>
        <w:tc>
          <w:tcPr>
            <w:tcW w:type="dxa" w:w="35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Engagement 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Evidence Item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S5-01 — AI Policy / AI Use Policy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[S5-01]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AI System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NCAOS-Urielle External Governance Shell (EGS)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[System name and version]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Organisation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Urielle AI (urielle-ai.com) — Singapore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[Organisation / legal entity name]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Engagement Ref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[ERT-2026-001]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[ERT-YYYY-NNN]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Auditor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William Hartono / Urielle AI — wholidipro@urielle-ai.com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[Auditor name / firm]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Policy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William Hartono — Founder, Urielle AI / FHCA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[Named individual — ISO 42001 cl.5.2 requires named owner]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Policy Version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 — Initial policy (June 2026)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[vX.X — increment at each review or material change]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June 2026 — upon v1.0-rc deployment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 — when this policy version becomes effective]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Next Review Date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December 2026 (6-month cycle per S1-05 owner schedule)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[DD Month YYYY — scheduled review date]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Related Items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S1-03 (Risk Classification), S1-04 (Intended Use), S1-05 (Owner), S2-05 (Deployment Approval), S4-01 (Incident Procedure)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[Cross-reference S1-03, S1-04, S1-05]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3A"/>
                <w:sz w:val="18"/>
                <w:szCs w:val="18"/>
              </w:rPr>
              <w:t xml:space="preserve">Final — v1.0</w:t>
            </w:r>
          </w:p>
        </w:tc>
        <w:tc>
          <w:tcPr>
            <w:tcW w:type="dxa" w:w="351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[Draft / Final]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2 — POLICY STATEMENT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URIELLE AI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AI POLICY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18"/>
                <w:szCs w:val="18"/>
              </w:rPr>
              <w:t xml:space="preserve">Governing the design, deployment, and operation of AI systems developed and operated by Urielle AI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Version 1.0  |  June 2026  |  Policy Owner: William Hartono</w:t>
            </w:r>
          </w:p>
        </w:tc>
      </w:tr>
    </w:tbl>
    <w:p>
      <w:pPr>
        <w:spacing w:after="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EF4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pBdr>
                <w:bottom w:val="single" w:color="2E75B6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1.  Purpose and Scope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AI Policy governs the design, development, deployment, and operation of all AI systems created and operated by Urielle AI, a Singapore-based AI safety, governance, and audit practice. It applies to all AI systems in the Urielle AI portfolio, including the NCAOS-Urielle External Governance Shell (EGS), and to all current and future AI audit engagements conducted under the Urielle AI brand.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policy is maintained in accordance with ISO 42001:2023 cl.5.2 (AI management system policy) and EU AI Act Art.9 (risk management system), and is reviewed at 6-month intervals or upon any material change to the system scope, regulatory landscape, or organisational context.</w:t>
            </w:r>
          </w:p>
          <w:p>
            <w:pPr>
              <w:pBdr>
                <w:bottom w:val="single" w:color="2E75B6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2.  Approved Uses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Urielle AI approves the design and deployment of AI systems for the following use categories, subject to the risk assessment and deployment approval process defined in S1-03 and S2-05: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Governance Enforcement — AI systems that enforce policy boundaries between AI applications and their operating environment, including the NCAOS-Urielle EGS. Approved for deployment in multi-tenant enterprise governance contexts where qualified operators are present.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Audit and Assurance Tooling — AI-assisted tools that support the generation, verification, or analysis of audit evidence for AI governance assessments. Approved for use under qualified auditor supervision (FHCA or equivalent credential).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Safety Research and Prototyping — Experimental AI systems developed as proof-of-concept for AI safety governance methodologies, deployed exclusively in controlled research environments with no live tenant data.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AI Governance Education and Demonstration — AI system demonstrations conducted for the purpose of illustrating governance principles to client organisations, regulators, or governance practitioners. No production data used.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 approved uses must be documented in an Intended Use Statement (S1-04) before deployment. Use cases not listed above require policy amendment and governance review before proceeding.</w:t>
            </w:r>
          </w:p>
          <w:p>
            <w:pPr>
              <w:pBdr>
                <w:bottom w:val="single" w:color="2E75B6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3.  Prohibited Uses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following uses of AI are explicitly prohibited under this policy, consistent with EU AI Act Art.5 (prohibited AI practices) and the exclusions documented in S1-04 (EX-01 to EX-08):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Biometric identification — any use of AI to identify, categorise, or profile natural persons from biometric data, including real-time remote biometric surveillance in publicly accessible spaces.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Social scoring — use of AI to evaluate or classify natural persons based on their social behaviour or personal characteristics leading to detrimental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Subliminal manipulation — any AI technique that exploits subconscious vulnerabilities or uses subliminal cues to manipulate behaviour in ways that cause harm.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Autonomous high-stakes decisions about persons — AI systems that make autonomous decisions with significant individual impact (employment, credit, healthcare, access to essential services, law enforcement profiling) without meaningful human oversight and the right of appeal.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Exploitation of vulnerable groups — AI systems that exploit age, disability, or economic vulnerability to unduly influence behaviour.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Deployment without governance controls — any AI system deployed into a production environment without a completed Intended Use Statement (S1-04), Risk Classification (S1-03), and Deployment Approval (S2-05).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Use of excluded data types — AI systems that process biometric, health, political, religious, or racial data without explicit documented legal basis (GDPR Art.9 / PDPA equivalent) and risk assessment.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Engagement scope beyond approved use — using an AI system for a purpose not documented in its Intended Use Statement without a formal policy amendment and governance review.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Violations of these prohibitions must be reported to the Policy Owner (William Hartono) immediately and documented in the Incident Register (S4-02).</w:t>
            </w:r>
          </w:p>
          <w:p>
            <w:pPr>
              <w:pBdr>
                <w:bottom w:val="single" w:color="2E75B6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4.  Accountability Structure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Urielle AI operates under a named-individual accountability model. Accountability for AI governance does not rest with teams, committees, or automated processes — it rests with named persons who can be contacted, questioned, and held responsible.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4.1  Policy Owner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William Hartono (Founder, Urielle AI). Responsible for: maintaining and reviewing this policy, approving amendments, and ensuring the policy is communicated to all relevant parties. Credential: FHCA (ForHumanity Certified AI Auditor under the EU AI Act). Contact: wholidipro@urielle-ai.com.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4.2  AI System Owner (per system)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Identified per system in S1-05 (Owner and Accountability Record). At v1.0-rc: William Hartono is also the AI System Owner for NCAOS-Urielle EGS. For future systems: a named individual must be designated before deployment.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4.3  Bilateral Partner (NCAOS-Urielle specific)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Toru (NCAOS Japan) — research validation partner. Accountable for: Boundary Governance Layer design decisions, AuditSignal semantics (ADR-006), and Phase 07 independent review. Accountability scope defined in bilateral NDA.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4.4  Escalation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governance concern, potential policy violation, or AI ethics question that cannot be resolved at AI System Owner level escalates to the Policy Owner. If the Policy Owner has a conflict of interest, escalation goes to the bilateral partner and, where applicable, the relevant regulatory authority.</w:t>
            </w:r>
          </w:p>
          <w:p>
            <w:pPr>
              <w:pBdr>
                <w:bottom w:val="single" w:color="2E75B6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5.  Policy Review Cadence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policy is reviewed at the following intervals and triggers: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Scheduled Reviews: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Every 6 months — aligned with the owner review cycle defined in S1-05. Next scheduled review: December 2026.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Annually — a full policy review covering all provisions against the current regulatory landscape (EU AI Act implementing acts, ISO 42001 updates, PDPA guidance).</w:t>
            </w:r>
          </w:p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Triggered Reviews: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Material change to any AI system's scope, intended use, or risk classification.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Regulatory development — new EU AI Act implementing act, delegated act, or regulatory guidance affecting the system's classification.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Incident — any INC-1 or INC-2 incident that reveals a gap in this policy.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AI system development — this policy is reviewed before any new AI system enters the development pipeline to confirm it is consistent with approved use categories.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Bilateral agreement change — any amendment to the NCAOS Japan bilateral NDA that affects governance scope.</w:t>
            </w:r>
          </w:p>
          <w:p>
            <w:pPr>
              <w:spacing w:after="8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Policy amendments are version-controlled (v1.0, v1.1, etc.) and documented in S4-03 (Change Management Register) as PROCESS CHANGE type. All prior versions are archived.</w:t>
            </w:r>
          </w:p>
          <w:p>
            <w:pPr>
              <w:pBdr>
                <w:bottom w:val="single" w:color="2E75B6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6.  Regulatory Alignment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policy is aligned with the following regulatory frameworks as of June 2026: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EU AI Act (Regulation 2024/1689) — prohibition provisions (Art.5), risk management obligations (Art.9), transparency obligations (Art.13), human oversight (Art.14), provider obligations (Art.16).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ISO 42001:2023 — AI management system standard. Policy provisions satisfy cl.5.2 (policy), cl.6.1 (risk assessment), cl.8.4 (system documentation), cl.9.1 (performance evaluation), cl.10.1 (corrective action).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NIST AI RMF (2023) — GOVERN function. Policy provisions map to GOVERN 1 (policies and processes), GOVERN 2 (accountability), GOVERN 6 (human oversight).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PDPA (Singapore) — Personal Data Protection Act. Policy prohibitions on processing of personal data without legal basis are consistent with PDPA obligations. Currently dormant (NCAOS-Urielle v1.0-rc processes no personal data).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Where frameworks conflict, the more protective provision applies. Regulatory alignment is reviewed at each scheduled review cycle.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[ YOUR ENGAGEMENT — Policy Narrative Template ]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Replace the NCAOS-Urielle narrative above with your organisation's AI Policy. Minimum 1 page. Include all six sections below. The policy must read as an authoritative statement — not as a table of fields. ]</w:t>
            </w:r>
          </w:p>
          <w:p>
            <w:pPr>
              <w:pBdr>
                <w:bottom w:val="single" w:color="D6E4F0" w:sz="2" w:space="2"/>
              </w:pBdr>
              <w:spacing w:after="120" w:before="120"/>
            </w:pPr>
          </w:p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1.  Purpose and Scope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Describe the purpose of this policy. Which organisation(s) does it apply to? Which AI systems? Which activities — design, development, deployment, operation, decommission? ]</w:t>
            </w:r>
          </w:p>
          <w:p>
            <w:pPr>
              <w:pBdr>
                <w:bottom w:val="single" w:color="D6E4F0" w:sz="2" w:space="2"/>
              </w:pBdr>
              <w:spacing w:after="120" w:before="120"/>
            </w:pPr>
          </w:p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2.  Approved Uses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List the AI use cases explicitly approved by this policy. Each approved use should reference the corresponding S1-04 Intended Use Statement. State any conditions or limitations on the approval. ]</w:t>
            </w:r>
          </w:p>
          <w:p>
            <w:pPr>
              <w:pBdr>
                <w:bottom w:val="single" w:color="D6E4F0" w:sz="2" w:space="2"/>
              </w:pBdr>
              <w:spacing w:after="120" w:before="120"/>
            </w:pPr>
          </w:p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3.  Prohibited Uses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List explicitly prohibited uses. At minimum, reference EU AI Act Art.5 prohibited practices and your S1-04 EX-01 to EX-08 exclusions. State the consequence of violation. ]</w:t>
            </w:r>
          </w:p>
          <w:p>
            <w:pPr>
              <w:pBdr>
                <w:bottom w:val="single" w:color="D6E4F0" w:sz="2" w:space="2"/>
              </w:pBdr>
              <w:spacing w:after="120" w:before="120"/>
            </w:pPr>
          </w:p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4.  Accountability Structure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Name the Policy Owner, the AI System Owner(s) per system, and the escalation path. Named individuals — not teams or roles. Cross-reference S1-05 for each system's named owner. ]</w:t>
            </w:r>
          </w:p>
          <w:p>
            <w:pPr>
              <w:pBdr>
                <w:bottom w:val="single" w:color="D6E4F0" w:sz="2" w:space="2"/>
              </w:pBdr>
              <w:spacing w:after="120" w:before="120"/>
            </w:pPr>
          </w:p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5.  Policy Review Cadence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State the scheduled review frequency (minimum annual; 6-monthly recommended). List the trigger conditions for unscheduled review. How are amendments versioned and archived? ]</w:t>
            </w:r>
          </w:p>
          <w:p>
            <w:pPr>
              <w:pBdr>
                <w:bottom w:val="single" w:color="D6E4F0" w:sz="2" w:space="2"/>
              </w:pBdr>
              <w:spacing w:after="120" w:before="120"/>
            </w:pPr>
          </w:p>
          <w:p>
            <w:pPr>
              <w:pBdr>
                <w:bottom w:val="single" w:color="7D5A00" w:sz="4" w:space="2"/>
              </w:pBdr>
              <w:spacing w:after="80" w:before="180"/>
            </w:pPr>
            <w:r>
              <w:rPr>
                <w:rFonts w:ascii="Arial" w:cs="Arial" w:eastAsia="Arial" w:hAnsi="Arial"/>
                <w:b/>
                <w:bCs/>
                <w:color w:val="7D5A00"/>
                <w:sz w:val="22"/>
                <w:szCs w:val="22"/>
              </w:rPr>
              <w:t xml:space="preserve">6.  Regulatory Alignment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7D5A00"/>
                <w:sz w:val="18"/>
                <w:szCs w:val="18"/>
              </w:rPr>
              <w:t xml:space="preserve">[ Which regulatory frameworks does this policy align with? For each: cite the specific provisions addressed. Where frameworks conflict, state which takes precedence. 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480"/>
        <w:gridCol w:w="3000"/>
      </w:tblGrid>
      <w:tr>
        <w:tc>
          <w:tcPr>
            <w:tcW w:type="dxa" w:w="9360"/>
            <w:gridSpan w:val="4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4 — STRUCTURED POLICY SUMMARY (Quick-Reference for Auditors)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D4E00"/>
                <w:sz w:val="16"/>
                <w:szCs w:val="16"/>
              </w:rPr>
              <w:t xml:space="preserve">TEMPLATE NOTE: </w:t>
            </w:r>
            <w:r>
              <w:rPr>
                <w:rFonts w:ascii="Arial" w:cs="Arial" w:eastAsia="Arial" w:hAnsi="Arial"/>
                <w:i/>
                <w:iCs/>
                <w:color w:val="7D4E00"/>
                <w:sz w:val="16"/>
                <w:szCs w:val="16"/>
              </w:rPr>
              <w:t xml:space="preserve">This table provides auditors with a structured quick-reference to the policy provisions above. It does not replace the narrative — it supplements it. Complete both the narrative (Section 3) and this summary.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Policy Principle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NCAOS-Urielle Policy Position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[ Your Organisation 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system deployment requires formal approval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AI system is deployed to any environment (including pilot) without a completed S1-03 (Risk Classification), S1-04 (Intended Use Statement), and S2-05 (Deployment Approval) signed by a named individual.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/ CONDITIONAL — state your organisation's deployment gate policy]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Named individual accountability is mandatory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AI system in the Urielle AI portfolio must have a named accountable individual per S1-05. Teams and committees cannot hold accountability without a named primary accountable person.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name the accountable individual for each system or state how accountability is assigned]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EU AI Act Art.5 prohibited practices are absolutely prohibited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prohibited AI practices under EU AI Act Art.5 are unconditionally prohibited — including biometric surveillance, social scoring, subliminal manipulation, and exploitation of vulnerable groups. No business case overrides this prohibition.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state your organisation's position on EU AI Act prohibited practices]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High-risk AI systems require additional governance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AI system classified as High-Risk under EU AI Act Annex III requires: Art.49 registration, Art.13 transparency documentation, Art.14 human oversight design, and a separate governance review. NCAOS-Urielle is currently Limited Risk — this provision is prospective.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does your organisation operate any High-Risk systems? What additional governance applies?]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Personal data requires explicit legal basis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AI system in the Urielle AI portfolio may process personal data without documented legal basis (PDPA / GDPR Art.6). Special category data (GDPR Art.9) requires explicit consent or equivalent specific basis. NCAOS-Urielle v1.0-rc processes no personal data.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[State your organisation's personal data legal basis for each system that processes personal data]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Monitoring is mandatory for all deployed systems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AI systems in production must have an active monitoring configuration (S3-01) and a maintained alert log (S3-04) from the date of deployment. Systems without active monitoring may not operate in production.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is monitoring mandatory in your organisation's policy? What is the minimum monitoring requirement?]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Bias assessment is required before deployment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AI systems must complete an applicability assessment for bias and fairness (S2-04) before deployment. If demographic bias testing is applicable, it must be conducted. 'Not applicable' requires substantiated reasoning.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when is bias assessment required? What threshold triggers demographic fairness testing?]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Policy violations trigger incident procedure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confirmed violation of this AI Policy triggers the AI Incident Response Procedure (S4-01) at INC-2 (HIGH) or above. Violations are logged in the Incident Register (S4-02) and reported to the Policy Owner.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what severity level do policy violations trigger? Who is notified? Is there a whistleblowing channel?]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AI use policy applies to third-party and bilateral systems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Where AI systems are co-developed under bilateral agreements (e.g. NCAOS Japan bilateral NDA), this policy applies to Urielle AI's contribution and scope. Bilateral partners are expected to operate equivalent governance standards.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F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[YES / NO — does your policy apply to third-party or partner AI systems? How is compliance verified?]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Policy review is mandatory at defined intervals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This policy is reviewed every 6 months and upon any material trigger. Policy version history is maintained. Superseded versions are archived. Policy is communicated to all named accountable individuals upon update.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[State your review frequency. Who approves amendments? How is the updated policy communicated?]</w:t>
            </w:r>
          </w:p>
        </w:tc>
      </w:tr>
      <w:tr>
        <w:tc>
          <w:tcPr>
            <w:tcW w:type="dxa" w:w="72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[P-##]</w:t>
            </w:r>
          </w:p>
        </w:tc>
        <w:tc>
          <w:tcPr>
            <w:tcW w:type="dxa" w:w="21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[Policy principle — one clear, testable statement]</w:t>
            </w:r>
          </w:p>
        </w:tc>
        <w:tc>
          <w:tcPr>
            <w:tcW w:type="dxa" w:w="348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[Your organisation's position on this principle]</w:t>
            </w:r>
          </w:p>
        </w:tc>
        <w:tc>
          <w:tcPr>
            <w:tcW w:type="dxa" w:w="300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FFD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7D5A00"/>
                <w:sz w:val="18"/>
                <w:szCs w:val="18"/>
              </w:rPr>
              <w:t xml:space="preserve">[Alternative / template column]</w:t>
            </w:r>
          </w:p>
        </w:tc>
      </w:tr>
    </w:tbl>
    <w:p>
      <w:pPr>
        <w:spacing w:after="0" w:before="2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5 — POLICY OWNER ATTESTATION AND APPROVAL</w:t>
            </w:r>
          </w:p>
        </w:tc>
      </w:tr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F0F7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I, the named Policy Owner below, approve this AI Policy and certify that: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approved uses in Section 3.2 represent the complete set of AI uses authorised by this policy. Uses not listed are not authorised without a formal policy amendment.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prohibited uses in Section 3.3 are unconditionally prohibited — there are no business circumstances under which they would be permitted without a policy amendment and regulatory review.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accountability structure in Section 3.4 names real individuals with genuine accountability — not placeholder roles or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review cadence in Section 3.5 reflects our actual committed governance cycle — not an aspirational frequency maintained for audit purposes.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policy is effective from the date signed below and supersedes any prior AI use policy or AI governance statement issued by Urielle AI.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 is submitted as Evidence Item S5-01 in response to the Urielle AI Evidence Request.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480"/>
            </w:tblGrid>
            <w:tr>
              <w:tc>
                <w:tcPr>
                  <w:tcW w:type="dxa" w:w="448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NCAOS-Urielle Reference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18"/>
                      <w:szCs w:val="18"/>
                    </w:rPr>
                    <w:t xml:space="preserve">Policy Owner: William Hartono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Title:   Founder, Urielle AI / FHCA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Policy Version: 1.0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Effective Date: June 2026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Signed:  ___________________________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Date:    ___________________________</w:t>
                  </w:r>
                </w:p>
              </w:tc>
              <w:tc>
                <w:tcPr>
                  <w:tcW w:type="dxa" w:w="4480"/>
                  <w:tcBorders>
                    <w:top w:val="dashed" w:color="999999" w:sz="2"/>
                    <w:left w:val="dashed" w:color="999999" w:sz="2"/>
                    <w:bottom w:val="dashed" w:color="999999" w:sz="2"/>
                    <w:right w:val="dashed" w:color="999999" w:sz="2"/>
                  </w:tcBorders>
                  <w:shd w:fill="FFFDE7" w:val="clear"/>
                  <w:tcMar>
                    <w:top w:type="dxa" w:w="80"/>
                    <w:left w:type="dxa" w:w="100"/>
                    <w:bottom w:type="dxa" w:w="80"/>
                    <w:right w:type="dxa" w:w="10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7D5A00"/>
                      <w:sz w:val="18"/>
                      <w:szCs w:val="18"/>
                    </w:rPr>
                    <w:t xml:space="preserve">[ Your Engagement — Replace ]</w:t>
                  </w:r>
                </w:p>
                <w:p>
                  <w:pPr>
                    <w:spacing w:after="40" w:before="4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Policy Owner: [Full Name]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Title:   [Title, Organisation]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Policy Version: [vX.X]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Effective Date: [DD Month YYYY]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Signed:  ___________________________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7D5A00"/>
                      <w:sz w:val="18"/>
                      <w:szCs w:val="18"/>
                    </w:rPr>
                    <w:t xml:space="preserve">Date:    ___________________________</w:t>
                  </w:r>
                </w:p>
              </w:tc>
            </w:tr>
          </w:tbl>
          <w:p/>
        </w:tc>
      </w:tr>
    </w:tbl>
    <w:p>
      <w:pPr>
        <w:spacing w:after="0" w:before="200"/>
        <w:jc w:val="center"/>
      </w:pPr>
      <w:r>
        <w:rPr>
          <w:rFonts w:ascii="Arial" w:cs="Arial" w:eastAsia="Arial" w:hAnsi="Arial"/>
          <w:color w:val="595959"/>
          <w:sz w:val="15"/>
          <w:szCs w:val="15"/>
        </w:rPr>
        <w:t xml:space="preserve">AI Policy / AI Use Policy  |  S5-01 Template  |  Urielle AI  |  v1.0  |  June 2026  |  Confidential  |  Duplicate — do not overwrite reference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2026-06-07T15:06:12.086Z</dcterms:created>
  <dcterms:modified xsi:type="dcterms:W3CDTF">2026-06-07T15:06:12.097Z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