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4"/>
          <w:szCs w:val="44"/>
        </w:rPr>
        <w:t xml:space="preserve">IMPACT ASSESSMENT</w:t>
      </w:r>
    </w:p>
    <w:p>
      <w:pPr>
        <w:spacing w:after="40" w:before="0"/>
        <w:jc w:val="center"/>
      </w:pPr>
      <w:r>
        <w:rPr>
          <w:rFonts w:ascii="Arial" w:cs="Arial" w:eastAsia="Arial" w:hAnsi="Arial"/>
          <w:b/>
          <w:bCs/>
          <w:color w:val="595959"/>
          <w:sz w:val="22"/>
          <w:szCs w:val="22"/>
        </w:rPr>
        <w:t xml:space="preserve">Data Protection Impact Assessment (DPIA) / AI Impact Assessment (AI IA)</w:t>
      </w:r>
    </w:p>
    <w:p>
      <w:pPr>
        <w:spacing w:after="40" w:before="0"/>
        <w:jc w:val="center"/>
      </w:pPr>
      <w:r>
        <w:rPr>
          <w:rFonts w:ascii="Arial" w:cs="Arial" w:eastAsia="Arial" w:hAnsi="Arial"/>
          <w:color w:val="595959"/>
          <w:sz w:val="20"/>
          <w:szCs w:val="20"/>
        </w:rPr>
        <w:t xml:space="preserve">Evidence Item S5-03  |  Section 5 — Governance and Accountability  |  Urielle AI Audit Template</w:t>
      </w:r>
    </w:p>
    <w:p>
      <w:pPr>
        <w:spacing w:after="40" w:before="0"/>
        <w:jc w:val="center"/>
      </w:pPr>
      <w:r>
        <w:rPr>
          <w:rFonts w:ascii="Arial" w:cs="Arial" w:eastAsia="Arial" w:hAnsi="Arial"/>
          <w:color w:val="2E75B6"/>
          <w:sz w:val="18"/>
          <w:szCs w:val="18"/>
        </w:rPr>
        <w:t xml:space="preserve">EU AI Act Art.9  </w:t>
      </w:r>
      <w:r>
        <w:rPr>
          <w:rFonts w:ascii="Arial" w:cs="Arial" w:eastAsia="Arial" w:hAnsi="Arial"/>
          <w:color w:val="595959"/>
          <w:sz w:val="18"/>
          <w:szCs w:val="18"/>
        </w:rPr>
        <w:t xml:space="preserve">|  AI Verify Principle 7  </w:t>
      </w:r>
      <w:r>
        <w:rPr>
          <w:rFonts w:ascii="Arial" w:cs="Arial" w:eastAsia="Arial" w:hAnsi="Arial"/>
          <w:color w:val="595959"/>
          <w:sz w:val="18"/>
          <w:szCs w:val="18"/>
        </w:rPr>
        <w:t xml:space="preserve">|  GDPR Art.35 (DPIA)  </w:t>
      </w:r>
      <w:r>
        <w:rPr>
          <w:rFonts w:ascii="Arial" w:cs="Arial" w:eastAsia="Arial" w:hAnsi="Arial"/>
          <w:color w:val="2E75B6"/>
          <w:sz w:val="18"/>
          <w:szCs w:val="18"/>
        </w:rPr>
        <w:t xml:space="preserve">|  ISO 42001 cl.6.1</w:t>
      </w:r>
    </w:p>
    <w:p>
      <w:pPr>
        <w:pBdr>
          <w:bottom w:val="single" w:color="1F4E79" w:sz="6" w:space="4"/>
        </w:pBdr>
        <w:spacing w:after="280" w:before="0"/>
        <w:jc w:val="center"/>
      </w:pPr>
      <w:r>
        <w:rPr>
          <w:rFonts w:ascii="Arial" w:cs="Arial" w:eastAsia="Arial" w:hAnsi="Arial"/>
          <w:b/>
          <w:bCs/>
          <w:color w:val="1F7A3A"/>
          <w:sz w:val="16"/>
          <w:szCs w:val="16"/>
        </w:rPr>
        <w:t xml:space="preserve">  FILLED = NCAOS-Urielle reference     </w:t>
      </w:r>
      <w:r>
        <w:rPr>
          <w:rFonts w:ascii="Arial" w:cs="Arial" w:eastAsia="Arial" w:hAnsi="Arial"/>
          <w:b/>
          <w:bCs/>
          <w:color w:val="7D5A00"/>
          <w:sz w:val="16"/>
          <w:szCs w:val="16"/>
        </w:rPr>
        <w:t xml:space="preserve">  [ CREAM ] = Replace per engagement  </w:t>
      </w:r>
      <w:r>
        <w:rPr>
          <w:rFonts w:ascii="Arial" w:cs="Arial" w:eastAsia="Arial" w:hAnsi="Arial"/>
          <w:color w:val="595959"/>
          <w:sz w:val="16"/>
          <w:szCs w:val="16"/>
        </w:rPr>
        <w:t xml:space="preserve">  If none: state why + alternative due diligence  |  v1.0  |  June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FF8E1" w:val="clear"/>
            <w:tcMar>
              <w:top w:type="dxa" w:w="140"/>
              <w:left w:type="dxa" w:w="200"/>
              <w:bottom w:type="dxa" w:w="140"/>
              <w:right w:type="dxa" w:w="200"/>
            </w:tcMar>
          </w:tcPr>
          <w:p>
            <w:pPr>
              <w:spacing w:after="80" w:before="0"/>
            </w:pPr>
            <w:r>
              <w:rPr>
                <w:rFonts w:ascii="Arial" w:cs="Arial" w:eastAsia="Arial" w:hAnsi="Arial"/>
                <w:b/>
                <w:bCs/>
                <w:color w:val="7D4E00"/>
                <w:sz w:val="18"/>
                <w:szCs w:val="18"/>
              </w:rPr>
              <w:t xml:space="preserve">HOW TO USE THIS TEMPLATE</w:t>
            </w:r>
          </w:p>
          <w:p>
            <w:pPr>
              <w:spacing w:after="80" w:before="0"/>
            </w:pPr>
            <w:r>
              <w:rPr>
                <w:rFonts w:ascii="Arial" w:cs="Arial" w:eastAsia="Arial" w:hAnsi="Arial"/>
                <w:b w:val="false"/>
                <w:bCs w:val="false"/>
                <w:color w:val="000000"/>
                <w:sz w:val="18"/>
                <w:szCs w:val="18"/>
              </w:rPr>
              <w:t xml:space="preserve">Reusable Urielle AI template for Evidence Item S5-03 — Impact Assessment (DPIA or AI IA). Satisfies EU AI Act Art.9, AI Verify Principle 7, GDPR Art.35, and ISO 42001 cl.6.1. NCAOS-Urielle is pre-filled as the reference engagement.</w:t>
            </w:r>
          </w:p>
          <w:p>
            <w:pPr>
              <w:spacing w:after="40" w:before="0"/>
            </w:pPr>
            <w:r>
              <w:rPr>
                <w:rFonts w:ascii="Arial" w:cs="Arial" w:eastAsia="Arial" w:hAnsi="Arial"/>
                <w:b w:val="false"/>
                <w:bCs w:val="false"/>
                <w:color w:val="000000"/>
                <w:sz w:val="18"/>
                <w:szCs w:val="18"/>
              </w:rPr>
              <w:t xml:space="preserve">The Evidence Request accepts two outcomes — both are valid:</w:t>
            </w:r>
          </w:p>
          <w:p>
            <w:pPr>
              <w:pStyle w:val="ListParagraph"/>
              <w:numPr>
                <w:ilvl w:val="0"/>
                <w:numId w:val="2"/>
              </w:numPr>
              <w:spacing w:after="30" w:before="30"/>
            </w:pPr>
            <w:r>
              <w:rPr>
                <w:rFonts w:ascii="Arial" w:cs="Arial" w:eastAsia="Arial" w:hAnsi="Arial"/>
                <w:color w:val="7D4E00"/>
                <w:sz w:val="18"/>
                <w:szCs w:val="18"/>
              </w:rPr>
              <w:t xml:space="preserve">OUTCOME A — DPIA or AI IA REQUIRED and CONDUCTED: Complete the full screening (Section 3) and assessment (Sections 4–8). This is required when: the system processes personal data at scale or high risk (GDPR Art.35), or the system is High-Risk under EU AI Act Annex III.</w:t>
            </w:r>
          </w:p>
          <w:p>
            <w:pPr>
              <w:pStyle w:val="ListParagraph"/>
              <w:numPr>
                <w:ilvl w:val="0"/>
                <w:numId w:val="2"/>
              </w:numPr>
              <w:spacing w:after="30" w:before="30"/>
            </w:pPr>
            <w:r>
              <w:rPr>
                <w:rFonts w:ascii="Arial" w:cs="Arial" w:eastAsia="Arial" w:hAnsi="Arial"/>
                <w:color w:val="7D4E00"/>
                <w:sz w:val="18"/>
                <w:szCs w:val="18"/>
              </w:rPr>
              <w:t xml:space="preserve">OUTCOME B — DPIA / AI IA NOT REQUIRED: Complete the screening (Section 3) with substantiated reasoning for each question, then complete Section 9 (Alternative Due Diligence). State explicitly what alternative due diligence was performed instead. 'If none: state why' — this is the Evidence Request's exact instruction.</w:t>
            </w:r>
          </w:p>
          <w:p>
            <w:pPr>
              <w:pStyle w:val="ListParagraph"/>
              <w:numPr>
                <w:ilvl w:val="0"/>
                <w:numId w:val="2"/>
              </w:numPr>
              <w:spacing w:after="30" w:before="30"/>
            </w:pPr>
            <w:r>
              <w:rPr>
                <w:rFonts w:ascii="Arial" w:cs="Arial" w:eastAsia="Arial" w:hAnsi="Arial"/>
                <w:color w:val="7D4E00"/>
                <w:sz w:val="18"/>
                <w:szCs w:val="18"/>
              </w:rPr>
              <w:t xml:space="preserve">NCAOS-Urielle leads to OUTCOME B: no personal data processed, not High-Risk, DPIA not mandatory. Section 9 documents the AI Verify / ISO 42001 governance framework as the alternative due diligence.</w:t>
            </w:r>
          </w:p>
          <w:p>
            <w:pPr>
              <w:pStyle w:val="ListParagraph"/>
              <w:numPr>
                <w:ilvl w:val="0"/>
                <w:numId w:val="2"/>
              </w:numPr>
              <w:spacing w:after="30" w:before="30"/>
            </w:pPr>
            <w:r>
              <w:rPr>
                <w:rFonts w:ascii="Arial" w:cs="Arial" w:eastAsia="Arial" w:hAnsi="Arial"/>
                <w:color w:val="7D4E00"/>
                <w:sz w:val="18"/>
                <w:szCs w:val="18"/>
              </w:rPr>
              <w:t xml:space="preserve">Duplicate for each engagement. NCAOS-Urielle reference is permanent — do not overwrite.</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1 — DOCUMENT CONTROL</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(Reference)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Engagement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Evidence Item</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S5-03 — Impact Assessment (DPIA / AI IA)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[S5-03]</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 System</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NCAOS-Urielle EGS v1.0-rc</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[System name and version]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Engagement Ref</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[ERT-2026-001]</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[ERT-YYYY-NNN]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Auditor</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 Urielle AI — wholidipro@urielle-ai.com</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[Auditor name / firm]</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Assessment Lead</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William Hartono (Founder, Urielle AI / FHCA)</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[Named individual]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Assessment Date</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June 2026</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[DD Month YYYY]</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Assessment Outcome</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OUTCOME B — DPIA / AI IA NOT REQUIRED. Substantiated reasoning in Section 3. Alternative due diligence in Section 9.</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[OUTCOME A (required + conducted) / OUTCOME B (not required — reasons stated)]</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Related Items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S1-03 (Risk Classification), S1-04 (Intended Use — EX-01 to EX-08), S2-02 (Data Lineage), S2-04 (Bias Assessment), S5-02 (Risk Register)</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[Cross-reference S1-03, S1-04, S2-02]</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Status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Final — v1.0</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[Draft / Final]</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2 — SYSTEM CONTEXT FOR IMPACT ASSESSMENT</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(Reference)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Engagement ]</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System Purpose</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AI governance enforcement layer — enforces policy boundaries at the API level between AI systems and their operating environment in multi-tenant deployments.</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[Plain-language system purpose]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Processes Personal Data?</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 — Operational metadata only (tenant IDs, API call logs). No personal data by design at v1.0-rc. Formally declared in S2-02 §2.</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(describe categories) / NO — formally declared in S2-02]</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Affects Natural Persons?</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F7A3A"/>
                <w:sz w:val="18"/>
                <w:szCs w:val="18"/>
              </w:rPr>
              <w:t xml:space="preserve">NO — System enforces governance at the AI/OS infrastructure layer. No decisions about or outputs directed at natural persons. Confirmed in S2-04 §2.</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(describe impact pathway) / NO — confirmed in S2-04 §2]</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EU AI Act Classification</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Limited Risk — not High-Risk per Annex III. Not subject to mandatory DPIA requirements under EU AI Act. Confirmed in S1-03.</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[Prohibited / High-Risk / Limited Risk / Minimal Risk — confirmed in S1-03]</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GDPR Controller Status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595959"/>
                <w:sz w:val="18"/>
                <w:szCs w:val="18"/>
              </w:rPr>
              <w:t xml:space="preserve">Urielle AI processes no personal data in NCAOS-Urielle v1.0-rc. No GDPR data controller obligations triggered. PDPA Singapore applies if personal data is introduced in future versions.</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[Data controller / Data processor / Joint controller / Not applicable — state basis]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Deployment Environment</w:t>
            </w:r>
          </w:p>
        </w:tc>
        <w:tc>
          <w:tcPr>
            <w:tcW w:type="dxa" w:w="351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val="false"/>
                <w:bCs w:val="false"/>
                <w:color w:val="7D4E00"/>
                <w:sz w:val="18"/>
                <w:szCs w:val="18"/>
              </w:rPr>
              <w:t xml:space="preserve">Pilot — local test environment. No production tenants or live data. No real-world impact pathway exists at current deployment stage.</w:t>
            </w:r>
          </w:p>
        </w:tc>
        <w:tc>
          <w:tcPr>
            <w:tcW w:type="dxa" w:w="351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[Pilot / Production / Public-facing / Internal only — note: production deployment changes impact profile significantly]</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2880"/>
        <w:gridCol w:w="960"/>
        <w:gridCol w:w="1800"/>
      </w:tblGrid>
      <w:tr>
        <w:tc>
          <w:tcPr>
            <w:tcW w:type="dxa" w:w="9360"/>
            <w:gridSpan w:val="5"/>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3 — DPIA / AI IA SCREENING QUESTIONNAIRE</w:t>
            </w:r>
          </w:p>
        </w:tc>
      </w:tr>
      <w:tr>
        <w:tc>
          <w:tcPr>
            <w:tcW w:type="dxa" w:w="9360"/>
            <w:gridSpan w:val="5"/>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Answer each question with substantiated reasoning. 'NO' answers must be supported by evidence references — not just assertions. For NCAOS-Urielle, all answers are NO, but each is backed by a specific document reference. A 'YES' to any question below triggers the full DPIA/AI IA in Sections 4–8.</w:t>
            </w:r>
          </w:p>
        </w:tc>
      </w:tr>
      <w:tr>
        <w:tc>
          <w:tcPr>
            <w:tcW w:type="dxa" w:w="72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Ref</w:t>
            </w:r>
          </w:p>
        </w:tc>
        <w:tc>
          <w:tcPr>
            <w:tcW w:type="dxa" w:w="30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Screening Question</w:t>
            </w:r>
          </w:p>
        </w:tc>
        <w:tc>
          <w:tcPr>
            <w:tcW w:type="dxa" w:w="288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NCAOS-Urielle Assessment</w:t>
            </w:r>
          </w:p>
        </w:tc>
        <w:tc>
          <w:tcPr>
            <w:tcW w:type="dxa" w:w="96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Answer</w:t>
            </w:r>
          </w:p>
        </w:tc>
        <w:tc>
          <w:tcPr>
            <w:tcW w:type="dxa" w:w="180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8"/>
                <w:szCs w:val="18"/>
              </w:rPr>
              <w:t xml:space="preserve">[ Your System ]</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SQ-01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Does the system process personal data as defined by GDPR Art.4 (any information relating to an identified or identifiable natural person)?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NCAOS-Urielle processes tenant IDs (pseudonymous system identifiers), API call metadata, and policy rule sets. None of these constitute personal data. Declared in S2-02 §2.</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SQ-02</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Does the system process special category personal data (GDPR Art.9 — health, race, biometric, religion, political opinion, etc.)?</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No special category data of any kind is processed. System does not ingest data about persons.</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SQ-03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Does the system make automated decisions with significant impact on natural persons (GDPR Art.22 — profiling, credit, employment, access to services)?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Enforcement decisions are about API calls from AI systems, not about natural persons. No decision affects an individual's rights, freedoms, or legal status.</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SQ-04</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Does the system use biometric data or facilitate biometric identification?</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Explicitly excluded in S1-04 EX-02: 'Biometric identification or categorisation of natural persons — EU AI Act Art.5(1)(a)-(d) — Prohibited practices.'</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SQ-05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Is the system classified as High-Risk under EU AI Act Annex III (biometrics, critical infrastructure, education, employment, essential services, law enforcement, migration, justice)?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System is classified as Limited Risk under ISO 42001 cl.6.1 and EU AI Act. Not in any Annex III category. Confirmed in S1-03.</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SQ-06</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Does the system process personal data at large scale (GDPR Art.35(3)(b) — processing that covers a large number of data subjects in a systematic manner)?</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No personal data processed. Large scale processing test is not applicable.</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7D4E00"/>
                <w:sz w:val="16"/>
                <w:szCs w:val="16"/>
              </w:rPr>
              <w:t xml:space="preserve">N/A</w:t>
            </w:r>
          </w:p>
        </w:tc>
        <w:tc>
          <w:tcPr>
            <w:tcW w:type="dxa" w:w="18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SQ-07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Does the system involve systematic monitoring of a publicly accessible area (GDPR Art.35(3)(c))?</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System operates at the API infrastructure layer in a controlled multi-tenant environment. No public area monitoring.</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SQ-08</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Does the system create or use inferred data about individuals (profiling, scoring, categorisation)?</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System generates AuditSignal records about API boundary decisions — not about individual persons. No inference about persons occurs.</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SQ-09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Does the system use novel technology or apply existing technology in a novel manner that creates new privacy risks?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PARTIAL — The system is novel in that it applies governance enforcement at the AI/OS boundary level. However, novelty is in governance design, not in data processing. No new privacy risk pathway identified.</w:t>
            </w:r>
          </w:p>
        </w:tc>
        <w:tc>
          <w:tcPr>
            <w:tcW w:type="dxa" w:w="9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rFonts w:ascii="Arial" w:cs="Arial" w:eastAsia="Arial" w:hAnsi="Arial"/>
                <w:b/>
                <w:bCs/>
                <w:color w:val="7D4E00"/>
                <w:sz w:val="16"/>
                <w:szCs w:val="16"/>
              </w:rPr>
              <w:t xml:space="preserve">PARTIAL</w:t>
            </w:r>
          </w:p>
        </w:tc>
        <w:tc>
          <w:tcPr>
            <w:tcW w:type="dxa" w:w="18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SQ-10</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Does the system involve data matching or combining from multiple sources in ways individuals might not expect?</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No personal data is processed. Tenant API call metadata is not matched across data sources to infer information about persons.</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SQ-11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Has a national supervisory authority identified this type of processing as requiring a DPIA?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 PDPC Singapore has not identified AI governance enforcement tools of this type as requiring DPIA. EU EDPB and national DPAs have not issued guidance covering deterministic governance enforcement tools.</w:t>
            </w:r>
          </w:p>
        </w:tc>
        <w:tc>
          <w:tcPr>
            <w:tcW w:type="dxa" w:w="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1F7A3A"/>
                <w:sz w:val="16"/>
                <w:szCs w:val="16"/>
              </w:rPr>
              <w:t xml:space="preserve">NO</w:t>
            </w:r>
          </w:p>
        </w:tc>
        <w:tc>
          <w:tcPr>
            <w:tcW w:type="dxa" w:w="18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r>
        <w:tc>
          <w:tcPr>
            <w:tcW w:type="dxa" w:w="7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SQ-12</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Could the system, if it fails or produces incorrect outputs, cause harm to individuals?</w:t>
            </w:r>
          </w:p>
        </w:tc>
        <w:tc>
          <w:tcPr>
            <w:tcW w:type="dxa" w:w="288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INDIRECT/LOW — Incorrect enforcement decisions could affect AI system behaviour, which could indirectly affect users of those AI systems. However, this is an indirect harm pathway through multiple intermediary layers. Direct individual harm from NCAOS-Urielle output is not plausible at current scope.</w:t>
            </w:r>
          </w:p>
        </w:tc>
        <w:tc>
          <w:tcPr>
            <w:tcW w:type="dxa" w:w="9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jc w:val="center"/>
            </w:pPr>
            <w:r>
              <w:rPr>
                <w:rFonts w:ascii="Arial" w:cs="Arial" w:eastAsia="Arial" w:hAnsi="Arial"/>
                <w:b/>
                <w:bCs/>
                <w:color w:val="7D4E00"/>
                <w:sz w:val="16"/>
                <w:szCs w:val="16"/>
              </w:rPr>
              <w:t xml:space="preserve">INDIRECT</w:t>
            </w:r>
          </w:p>
        </w:tc>
        <w:tc>
          <w:tcPr>
            <w:tcW w:type="dxa" w:w="18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[Your system — YES / NO / PARTIAL]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8F5E9" w:val="clear"/>
            <w:tcMar>
              <w:top w:type="dxa" w:w="140"/>
              <w:left w:type="dxa" w:w="200"/>
              <w:bottom w:type="dxa" w:w="140"/>
              <w:right w:type="dxa" w:w="200"/>
            </w:tcMar>
          </w:tcPr>
          <w:p>
            <w:pPr>
              <w:spacing w:after="80" w:before="0"/>
            </w:pPr>
            <w:r>
              <w:rPr>
                <w:rFonts w:ascii="Arial" w:cs="Arial" w:eastAsia="Arial" w:hAnsi="Arial"/>
                <w:b/>
                <w:bCs/>
                <w:color w:val="1F7A3A"/>
                <w:sz w:val="18"/>
                <w:szCs w:val="18"/>
              </w:rPr>
              <w:t xml:space="preserve">SCREENING CONCLUSION — NCAOS-Urielle EGS v1.0-rc</w:t>
            </w:r>
          </w:p>
          <w:p>
            <w:pPr>
              <w:spacing w:after="40" w:before="0"/>
            </w:pPr>
            <w:r>
              <w:rPr>
                <w:rFonts w:ascii="Arial" w:cs="Arial" w:eastAsia="Arial" w:hAnsi="Arial"/>
                <w:b w:val="false"/>
                <w:bCs w:val="false"/>
                <w:color w:val="000000"/>
                <w:sz w:val="18"/>
                <w:szCs w:val="18"/>
              </w:rPr>
              <w:t xml:space="preserve">Based on the screening questionnaire above, a full DPIA under GDPR Art.35 is NOT REQUIRED for NCAOS-Urielle EGS v1.0-rc because:</w:t>
            </w:r>
          </w:p>
          <w:p>
            <w:pPr>
              <w:pStyle w:val="ListParagraph"/>
              <w:numPr>
                <w:ilvl w:val="0"/>
                <w:numId w:val="2"/>
              </w:numPr>
              <w:spacing w:after="30" w:before="30"/>
            </w:pPr>
            <w:r>
              <w:rPr>
                <w:rFonts w:ascii="Arial" w:cs="Arial" w:eastAsia="Arial" w:hAnsi="Arial"/>
                <w:color w:val="000000"/>
                <w:sz w:val="18"/>
                <w:szCs w:val="18"/>
              </w:rPr>
              <w:t xml:space="preserve">The system does not process personal data (SQ-01: NO — confirmed S2-02).</w:t>
            </w:r>
          </w:p>
          <w:p>
            <w:pPr>
              <w:pStyle w:val="ListParagraph"/>
              <w:numPr>
                <w:ilvl w:val="0"/>
                <w:numId w:val="2"/>
              </w:numPr>
              <w:spacing w:after="30" w:before="30"/>
            </w:pPr>
            <w:r>
              <w:rPr>
                <w:rFonts w:ascii="Arial" w:cs="Arial" w:eastAsia="Arial" w:hAnsi="Arial"/>
                <w:color w:val="000000"/>
                <w:sz w:val="18"/>
                <w:szCs w:val="18"/>
              </w:rPr>
              <w:t xml:space="preserve">The system does not make automated decisions about natural persons (SQ-03: NO — confirmed S2-04).</w:t>
            </w:r>
          </w:p>
          <w:p>
            <w:pPr>
              <w:pStyle w:val="ListParagraph"/>
              <w:numPr>
                <w:ilvl w:val="0"/>
                <w:numId w:val="2"/>
              </w:numPr>
              <w:spacing w:after="30" w:before="30"/>
            </w:pPr>
            <w:r>
              <w:rPr>
                <w:rFonts w:ascii="Arial" w:cs="Arial" w:eastAsia="Arial" w:hAnsi="Arial"/>
                <w:color w:val="000000"/>
                <w:sz w:val="18"/>
                <w:szCs w:val="18"/>
              </w:rPr>
              <w:t xml:space="preserve">The system is not classified as High-Risk under EU AI Act Annex III (SQ-05: NO — confirmed S1-03).</w:t>
            </w:r>
          </w:p>
          <w:p>
            <w:pPr>
              <w:pStyle w:val="ListParagraph"/>
              <w:numPr>
                <w:ilvl w:val="0"/>
                <w:numId w:val="2"/>
              </w:numPr>
              <w:spacing w:after="30" w:before="30"/>
            </w:pPr>
            <w:r>
              <w:rPr>
                <w:rFonts w:ascii="Arial" w:cs="Arial" w:eastAsia="Arial" w:hAnsi="Arial"/>
                <w:color w:val="000000"/>
                <w:sz w:val="18"/>
                <w:szCs w:val="18"/>
              </w:rPr>
              <w:t xml:space="preserve">No national supervisory authority has identified this type of system as requiring a DPIA (SQ-11: NO).</w:t>
            </w:r>
          </w:p>
          <w:p>
            <w:pPr>
              <w:spacing w:after="40" w:before="0"/>
            </w:pPr>
            <w:r>
              <w:rPr>
                <w:rFonts w:ascii="Arial" w:cs="Arial" w:eastAsia="Arial" w:hAnsi="Arial"/>
                <w:b w:val="false"/>
                <w:bCs w:val="false"/>
                <w:color w:val="000000"/>
                <w:sz w:val="18"/>
                <w:szCs w:val="18"/>
              </w:rPr>
              <w:t xml:space="preserve"/>
            </w:r>
          </w:p>
          <w:p>
            <w:pPr>
              <w:spacing w:after="80" w:before="0"/>
            </w:pPr>
            <w:r>
              <w:rPr>
                <w:rFonts w:ascii="Arial" w:cs="Arial" w:eastAsia="Arial" w:hAnsi="Arial"/>
                <w:b w:val="false"/>
                <w:bCs w:val="false"/>
                <w:color w:val="000000"/>
                <w:sz w:val="18"/>
                <w:szCs w:val="18"/>
              </w:rPr>
              <w:t xml:space="preserve">An AI Impact Assessment (AI IA) under AI Verify Principle 7 is also not mandatorily triggered, as the system does not produce outputs directed at natural persons and is Limited Risk. However, broader societal impact has been assessed in Section 6 as a governance best practice.</w:t>
            </w:r>
          </w:p>
          <w:p>
            <w:pPr>
              <w:spacing w:after="0" w:before="60"/>
            </w:pPr>
            <w:r>
              <w:rPr>
                <w:rFonts w:ascii="Arial" w:cs="Arial" w:eastAsia="Arial" w:hAnsi="Arial"/>
                <w:b w:val="false"/>
                <w:bCs w:val="false"/>
                <w:color w:val="7D4E00"/>
                <w:sz w:val="18"/>
                <w:szCs w:val="18"/>
              </w:rPr>
              <w:t xml:space="preserve">TRIGGER CONDITIONS: This conclusion is reversed if: (1) the system is reclassified as High-Risk, (2) personal data processing is introduced in a future version, or (3) the system is deployed by a data controller processing personal data of EU persons.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pPr>
              <w:spacing w:after="60" w:before="0"/>
            </w:pPr>
            <w:r>
              <w:rPr>
                <w:rFonts w:ascii="Arial" w:cs="Arial" w:eastAsia="Arial" w:hAnsi="Arial"/>
                <w:b/>
                <w:bCs/>
                <w:color w:val="7D5A00"/>
                <w:sz w:val="18"/>
                <w:szCs w:val="18"/>
              </w:rPr>
              <w:t xml:space="preserve">[ YOUR ENGAGEMENT — Screening Conclusion ]</w:t>
            </w:r>
          </w:p>
          <w:p>
            <w:pPr>
              <w:spacing w:after="80" w:before="0"/>
            </w:pPr>
            <w:r>
              <w:rPr>
                <w:rFonts w:ascii="Arial" w:cs="Arial" w:eastAsia="Arial" w:hAnsi="Arial"/>
                <w:b w:val="false"/>
                <w:bCs w:val="false"/>
                <w:color w:val="7D5A00"/>
                <w:sz w:val="18"/>
                <w:szCs w:val="18"/>
              </w:rPr>
              <w:t xml:space="preserve">Based on the screening above: [DPIA REQUIRED / DPIA NOT REQUIRED].</w:t>
            </w:r>
          </w:p>
          <w:p>
            <w:pPr>
              <w:spacing w:after="80" w:before="0"/>
            </w:pPr>
            <w:r>
              <w:rPr>
                <w:rFonts w:ascii="Arial" w:cs="Arial" w:eastAsia="Arial" w:hAnsi="Arial"/>
                <w:b w:val="false"/>
                <w:bCs w:val="false"/>
                <w:color w:val="7D5A00"/>
                <w:sz w:val="18"/>
                <w:szCs w:val="18"/>
              </w:rPr>
              <w:t xml:space="preserve">If DPIA required: complete Sections 4–8 and submit. If not required: state the basis for each 'NO' answer and complete Section 9 (Alternative Due Diligence).</w:t>
            </w:r>
          </w:p>
          <w:p>
            <w:pPr>
              <w:spacing w:after="80" w:before="0"/>
            </w:pPr>
            <w:r>
              <w:rPr>
                <w:rFonts w:ascii="Arial" w:cs="Arial" w:eastAsia="Arial" w:hAnsi="Arial"/>
                <w:b w:val="false"/>
                <w:bCs w:val="false"/>
                <w:color w:val="7D5A00"/>
                <w:sz w:val="18"/>
                <w:szCs w:val="18"/>
              </w:rPr>
              <w:t xml:space="preserve">Trigger conditions for re-assessment: [list the conditions that would require a DPIA in the future].</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SECTIONS 4–8 — FULL DPIA / AI IA (Complete if Screening = REQUIRED; Skip if OUTCOME B)</w:t>
            </w:r>
          </w:p>
        </w:tc>
      </w:tr>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NCAOS-Urielle does not require a full DPIA — Sections 4–8 are completed as a template for ML-based or personal-data-processing systems. For NCAOS-Urielle: proceed to Section 9 (Alternative Due Diligence). For your engagement: if screening concludes DPIA required, complete all sections below.</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9360"/>
            <w:gridSpan w:val="4"/>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4 — DATA FLOWS AND PROCESSING DESCRIPTION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4.1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What personal data is collected, and from whom?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 No personal data collected. For ML systems using this template: list data categories (e.g. name, email, IP address, location, behavioural data, sensitive categories).</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[Describe data collected: categories, data subjects (customers/employees/public), volume, sensitivity]</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4.2</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How is personal data collected (sources)?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Template: describe data sources — direct collection / third-party / public datasets / inferred.</w:t>
            </w:r>
          </w:p>
        </w:tc>
        <w:tc>
          <w:tcPr>
            <w:tcW w:type="dxa" w:w="30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[Direct from subjects / purchased / scraped / inferred / derived from other data]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4.3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What happens to the data — how is it processed by the AI?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Template: describe the AI's use of personal data — training, inference, scoring, profiling, generation.</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[Training data / inference input / output generation / decision input / profiling / matching]</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4.4</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What are the outputs of the AI system and who receives them?</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Template: describe outputs — decisions, recommendations, scores, content generated — and who acts on them.</w:t>
            </w:r>
          </w:p>
        </w:tc>
        <w:tc>
          <w:tcPr>
            <w:tcW w:type="dxa" w:w="30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[Output type / who receives / what action is taken based on the output / does a human review before action?]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4.5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How long is personal data retained?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Template: state retention period, legal basis for retention, and deletion process.</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[Retention period / deletion mechanism / who oversees data lifecycle]</w:t>
            </w:r>
          </w:p>
        </w:tc>
      </w:tr>
      <w:tr>
        <w:tc>
          <w:tcPr>
            <w:tcW w:type="dxa" w:w="9360"/>
            <w:gridSpan w:val="4"/>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5 — NECESSITY AND PROPORTIONALITY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5.1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What is the legal basis for processing under GDPR Art.6 (or PDPA equivalent)?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 No personal data. Template: Consent / Contract / Legal obligation / Vital interests / Public task / Legitimate interests.</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[State the specific Art.6 basis. If legitimate interests: complete LIA. If consent: describe mechanism.]</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5.2</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Is the processing necessary for the stated purpose? Could a less privacy-intrusive approach achieve the same result?</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Template: demonstrate necessity — could the purpose be achieved with less data, pseudonymised data, or aggregated data?</w:t>
            </w:r>
          </w:p>
        </w:tc>
        <w:tc>
          <w:tcPr>
            <w:tcW w:type="dxa" w:w="30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[Describe necessity analysis. Describe alternatives considered and why rejected.]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5.3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How is data minimisation (GDPR Art.5(1)(c)) ensured?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Template: what technical or process controls ensure only minimum necessary data is collected?</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[Data minimisation controls: field-level collection limits / purpose binding / automated deletion / aggregation before storage]</w:t>
            </w:r>
          </w:p>
        </w:tc>
      </w:tr>
      <w:tr>
        <w:tc>
          <w:tcPr>
            <w:tcW w:type="dxa" w:w="9360"/>
            <w:gridSpan w:val="4"/>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6 — BROADER SOCIETAL AND AI IMPACT (AI IA — AI Verify Principle 7)</w:t>
            </w:r>
          </w:p>
        </w:tc>
      </w:tr>
      <w:tr>
        <w:tc>
          <w:tcPr>
            <w:tcW w:type="dxa" w:w="9360"/>
            <w:gridSpan w:val="4"/>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This section is relevant for ALL systems, including those that don't require a DPIA. AI impact on society, vulnerable groups, and fundamental rights is assessed here. For NCAOS-Urielle: limited impact pathway — completed as governance best practice.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6.1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Could the system's outputs affect fundamental rights (dignity, non-discrimination, privacy, freedom of expression, assembly)?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INDIRECT / LOW — NCAOS-Urielle enforces governance boundaries at infrastructure level. Incorrect enforcement could theoretically affect downstream AI systems that interact with persons. Direct fundamental rights impact from this system is not identified at current scope and deployment.</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[Describe any fundamental rights impact pathway. Consider direct and indirect effects. For High-Risk systems: this analysis is mandatory under EU AI Act Art.9.]</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6.2</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Could the system produce discriminatory or differential outcomes for vulnerable groups?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POLICY AUTHORSHIP BIAS (identified in S2-04 BF-01): Rule sets authored by small bilateral team may encode implicit governance norm assumptions. No demographic vulnerable group directly affected — this is a B2B governance tool. Broader stakeholder review planned for v1.1.</w:t>
            </w:r>
          </w:p>
        </w:tc>
        <w:tc>
          <w:tcPr>
            <w:tcW w:type="dxa" w:w="30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[Describe any disparate impact potential. Consider: age, disability, ethnicity, gender, socioeconomic status, geography. Cross-reference S2-04 Bias Assessment.]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6.3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What are the broader societal benefits of this AI system?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POSITIVE IMPACT IDENTIFIED: NCAOS-Urielle is designed to improve AI governance compliance in multi-tenant environments. Effective deployment reduces the risk of AI systems operating outside defined policy boundaries, which contributes to the responsible deployment of AI in the organisations that use it.</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[Describe expected societal benefits — economic, social, environmental, governance-related.]</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6.4</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What are the broader societal risks of this AI system?</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GOVERNANCE RISK: If NCAOS-Urielle EGS itself has governance failures (incorrect enforcement, audit trail gaps), it could undermine rather than support AI governance in the organisations using it. Mitigated by the comprehensive evidence suite (S1-01 to S5-02) and monitoring regime (S3-01 to S3-06).</w:t>
            </w:r>
          </w:p>
        </w:tc>
        <w:tc>
          <w:tcPr>
            <w:tcW w:type="dxa" w:w="30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[Describe societal risks — what if the system fails, is misused, or has unintended consequences at scale?]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6.5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Has affected community or stakeholder consultation been conducted?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PARTIAL — Bilateral review with Toru (NCAOS Japan) represents limited stakeholder validation. Broader affected community consultation (potential tenant organisations) has not been conducted at v1.0-rc pilot stage. Planned for v1.1.</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[Describe any consultation — who was consulted, when, and what feedback was received? For High-Risk systems under EU AI Act: consultation may be required.]</w:t>
            </w:r>
          </w:p>
        </w:tc>
      </w:tr>
      <w:tr>
        <w:tc>
          <w:tcPr>
            <w:tcW w:type="dxa" w:w="9360"/>
            <w:gridSpan w:val="4"/>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7 — RISK IDENTIFICATION AND MEASURES (Privacy Risks)</w:t>
            </w:r>
          </w:p>
        </w:tc>
      </w:tr>
      <w:tr>
        <w:tc>
          <w:tcPr>
            <w:tcW w:type="dxa" w:w="9360"/>
            <w:gridSpan w:val="4"/>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For NCAOS-Urielle, privacy risks are minimal (no personal data). Template rows below are for systems processing personal data. For AI IA broader risks: cross-reference S5-02 Risk Register. For GDPR DPIA: describe specific privacy risks and mitigations.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7.1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Identify privacy risks and their likelihood/severity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DORMANT — No personal data at v1.0-rc. If personal data is introduced: risks include inadvertent data retention, cross-tenant exposure, unauthorised access, and regulatory notification obligations.
Cross-reference S5-02 R-PRI-01 and R-SEC-01 to R-SEC-03.</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[List each privacy risk: risk description / likelihood (1-5) / severity (1-5). Consider: unauthorised access / data breach / excessive collection / purpose limitation breach / retention violation]</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7.2</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What measures mitigate each privacy risk?</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DORMANT. For current system: S1-04 scope exclusion of personal data, S5-01 P-05 prohibition, S2-05 material change trigger for any data scope expansion.</w:t>
            </w:r>
          </w:p>
        </w:tc>
        <w:tc>
          <w:tcPr>
            <w:tcW w:type="dxa" w:w="30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[For each risk: technical control (encryption, access control, data minimisation) + organisational control (policy, training, DPA agreement) + monitoring measure]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7.3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After mitigation, is the residual privacy risk acceptable?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YES — for current system. No personal data = no privacy risk. For future versions with personal data: re-assessment required.</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[State residual risk level. If HIGH or CRITICAL residual risk: DPO consultation required. If unacceptable residual risk: do not proceed without supervisory authority consultation.]</w:t>
            </w:r>
          </w:p>
        </w:tc>
      </w:tr>
      <w:tr>
        <w:tc>
          <w:tcPr>
            <w:tcW w:type="dxa" w:w="9360"/>
            <w:gridSpan w:val="4"/>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8 — CONSULTATION AND SIGN-OFF</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8.1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Was a Data Protection Officer (DPO) consulted?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 Urielle AI does not have a mandatory DPO at current scale. No personal data processing triggers DPO consultation requirement. If personal data is introduced in future versions: DPO consultation required if High-Risk processing.</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[YES (DPO name + date + outcome) / NO (reason) / NOT APPLICABLE (no DPO / no personal data)]</w:t>
            </w:r>
          </w:p>
        </w:tc>
      </w:tr>
      <w:tr>
        <w:tc>
          <w:tcPr>
            <w:tcW w:type="dxa" w:w="1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1F4E79"/>
                <w:sz w:val="18"/>
                <w:szCs w:val="18"/>
              </w:rPr>
              <w:t xml:space="preserve">8.2</w:t>
            </w:r>
          </w:p>
        </w:tc>
        <w:tc>
          <w:tcPr>
            <w:tcW w:type="dxa" w:w="2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bCs/>
                <w:color w:val="000000"/>
                <w:sz w:val="18"/>
                <w:szCs w:val="18"/>
              </w:rPr>
              <w:t xml:space="preserve">Was the supervisory authority consulted (GDPR Art.36 prior consultation)?</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 No personal data processing. Prior consultation (GDPR Art.36) is required only when residual risk after DPIA remains high. No such threshold reached.</w:t>
            </w:r>
          </w:p>
        </w:tc>
        <w:tc>
          <w:tcPr>
            <w:tcW w:type="dxa" w:w="300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r>
              <w:rPr>
                <w:rFonts w:ascii="Arial" w:cs="Arial" w:eastAsia="Arial" w:hAnsi="Arial"/>
                <w:i/>
                <w:iCs/>
                <w:color w:val="7D5A00"/>
                <w:sz w:val="18"/>
                <w:szCs w:val="18"/>
              </w:rPr>
              <w:t xml:space="preserve">[YES (authority + date + outcome) / NO (reason) / NOT APPLICABLE]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4E79"/>
                <w:sz w:val="18"/>
                <w:szCs w:val="18"/>
              </w:rPr>
              <w:t xml:space="preserve">8.3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Has this assessment been reviewed and approved by the relevant authority within the organisation?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YES — reviewed and approved by William Hartono (Founder, Urielle AI) as Policy Owner (S5-01) and AI System Owner (S1-05). No separate governance body exists at current organisational scale.</w:t>
            </w:r>
          </w:p>
        </w:tc>
        <w:tc>
          <w:tcPr>
            <w:tcW w:type="dxa" w:w="3000"/>
            <w:tcBorders>
              <w:top w:val="dashed" w:color="999999" w:sz="2"/>
              <w:left w:val="dashed" w:color="999999" w:sz="2"/>
              <w:bottom w:val="dashed" w:color="999999" w:sz="2"/>
              <w:right w:val="dashed" w:color="999999" w:sz="2"/>
            </w:tcBorders>
            <w:shd w:fill="FFFFF5" w:val="clear"/>
            <w:tcMar>
              <w:top w:type="dxa" w:w="100"/>
              <w:left w:type="dxa" w:w="140"/>
              <w:bottom w:type="dxa" w:w="100"/>
              <w:right w:type="dxa" w:w="140"/>
            </w:tcMar>
          </w:tcPr>
          <w:p>
            <w:r>
              <w:rPr>
                <w:rFonts w:ascii="Arial" w:cs="Arial" w:eastAsia="Arial" w:hAnsi="Arial"/>
                <w:i/>
                <w:iCs/>
                <w:color w:val="7D5A00"/>
                <w:sz w:val="18"/>
                <w:szCs w:val="18"/>
              </w:rPr>
              <w:t xml:space="preserve">[Named approver / date / role / governance body if applicable]</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9 — ALTERNATIVE DUE DILIGENCE (Complete when DPIA / AI IA not required)</w:t>
            </w:r>
          </w:p>
        </w:tc>
      </w:tr>
      <w:tr>
        <w:tc>
          <w:tcPr>
            <w:tcW w:type="dxa" w:w="9360"/>
            <w:gridSpan w:val="1"/>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D4E00"/>
                <w:sz w:val="16"/>
                <w:szCs w:val="16"/>
              </w:rPr>
              <w:t xml:space="preserve">TEMPLATE NOTE: </w:t>
            </w:r>
            <w:r>
              <w:rPr>
                <w:rFonts w:ascii="Arial" w:cs="Arial" w:eastAsia="Arial" w:hAnsi="Arial"/>
                <w:i/>
                <w:iCs/>
                <w:color w:val="7D4E00"/>
                <w:sz w:val="16"/>
                <w:szCs w:val="16"/>
              </w:rPr>
              <w:t xml:space="preserve">The Evidence Request states: 'If none: state why and what alternative due diligence was performed.' This section directly satisfies that requirement. For NCAOS-Urielle, the comprehensive governance framework IS the alternative due diligence — it provides equivalent or greater assurance than a standalone DPIA for this system type.</w:t>
            </w:r>
          </w:p>
        </w:tc>
      </w:tr>
      <w:tr>
        <w:tc>
          <w:tcPr>
            <w:tcW w:type="dxa" w:w="9360"/>
            <w:tcBorders>
              <w:top w:val="single" w:color="1F4E79" w:sz="4"/>
              <w:left w:val="single" w:color="1F4E79" w:sz="4"/>
              <w:bottom w:val="single" w:color="1F4E79" w:sz="4"/>
              <w:right w:val="single" w:color="1F4E79" w:sz="4"/>
            </w:tcBorders>
            <w:shd w:fill="EEF4FB" w:val="clear"/>
            <w:tcMar>
              <w:top w:type="dxa" w:w="140"/>
              <w:left w:type="dxa" w:w="200"/>
              <w:bottom w:type="dxa" w:w="140"/>
              <w:right w:type="dxa" w:w="200"/>
            </w:tcMar>
          </w:tcPr>
          <w:p>
            <w:pPr>
              <w:pBdr>
                <w:bottom w:val="single" w:color="2E75B6" w:sz="4" w:space="2"/>
              </w:pBdr>
              <w:spacing w:after="80" w:before="160"/>
            </w:pPr>
            <w:r>
              <w:rPr>
                <w:rFonts w:ascii="Arial" w:cs="Arial" w:eastAsia="Arial" w:hAnsi="Arial"/>
                <w:b/>
                <w:bCs/>
                <w:color w:val="1F4E79"/>
                <w:sz w:val="22"/>
                <w:szCs w:val="22"/>
              </w:rPr>
              <w:t xml:space="preserve">NCAOS-Urielle — Alternative Due Diligence Statement</w:t>
            </w:r>
          </w:p>
          <w:p>
            <w:pPr>
              <w:spacing w:after="80" w:before="0"/>
            </w:pPr>
            <w:r>
              <w:rPr>
                <w:rFonts w:ascii="Arial" w:cs="Arial" w:eastAsia="Arial" w:hAnsi="Arial"/>
                <w:b w:val="false"/>
                <w:bCs w:val="false"/>
                <w:color w:val="000000"/>
                <w:sz w:val="18"/>
                <w:szCs w:val="18"/>
              </w:rPr>
              <w:t xml:space="preserve">A full DPIA has not been conducted for NCAOS-Urielle EGS v1.0-rc because: (a) no personal data is processed by the system, (b) no decisions affecting natural persons are made by the system, and (c) the system is not High-Risk under EU AI Act Annex III. Each of these conclusions is substantiated by specific governance documents.</w:t>
            </w:r>
          </w:p>
          <w:p>
            <w:pPr>
              <w:spacing w:after="4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Alternative Due Diligence Performed (in lieu of DPIA):</w:t>
            </w:r>
          </w:p>
          <w:p>
            <w:pPr>
              <w:spacing w:after="4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1.  Risk Assessment (ISO 42001 cl.6.1 — S5-02 Risk Register)</w:t>
            </w:r>
          </w:p>
          <w:p>
            <w:pPr>
              <w:spacing w:after="80" w:before="0"/>
            </w:pPr>
            <w:r>
              <w:rPr>
                <w:rFonts w:ascii="Arial" w:cs="Arial" w:eastAsia="Arial" w:hAnsi="Arial"/>
                <w:b w:val="false"/>
                <w:bCs w:val="false"/>
                <w:color w:val="000000"/>
                <w:sz w:val="18"/>
                <w:szCs w:val="18"/>
              </w:rPr>
              <w:t xml:space="preserve">A comprehensive AI risk register has been produced covering 17 identified risks across 9 categories. Each risk has been assessed for likelihood and impact (inherent and residual), with controls documented and effectiveness rated. This provides equivalent rigour to a DPIA risk assessment section for the risk categories relevant to this system.</w:t>
            </w:r>
          </w:p>
          <w:p>
            <w:pPr>
              <w:spacing w:after="6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2.  Bias and Fairness Assessment (AI Verify Principle 7 — S2-04)</w:t>
            </w:r>
          </w:p>
          <w:p>
            <w:pPr>
              <w:spacing w:after="80" w:before="0"/>
            </w:pPr>
            <w:r>
              <w:rPr>
                <w:rFonts w:ascii="Arial" w:cs="Arial" w:eastAsia="Arial" w:hAnsi="Arial"/>
                <w:b w:val="false"/>
                <w:bCs w:val="false"/>
                <w:color w:val="000000"/>
                <w:sz w:val="18"/>
                <w:szCs w:val="18"/>
              </w:rPr>
              <w:t xml:space="preserve">A structured bias applicability assessment was conducted per S2-04. The assessment concluded that standard demographic fairness testing is not applicable (no ML model, no personal data, no decisions about persons). Policy authorship bias was identified as a relevant concern and is being addressed through bilateral stakeholder review and a v1.1 roadmap item.</w:t>
            </w:r>
          </w:p>
          <w:p>
            <w:pPr>
              <w:spacing w:after="6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3.  Intended Use Statement and Exclusions (EU AI Act Art.13 — S1-04)</w:t>
            </w:r>
          </w:p>
          <w:p>
            <w:pPr>
              <w:spacing w:after="80" w:before="0"/>
            </w:pPr>
            <w:r>
              <w:rPr>
                <w:rFonts w:ascii="Arial" w:cs="Arial" w:eastAsia="Arial" w:hAnsi="Arial"/>
                <w:b w:val="false"/>
                <w:bCs w:val="false"/>
                <w:color w:val="000000"/>
                <w:sz w:val="18"/>
                <w:szCs w:val="18"/>
              </w:rPr>
              <w:t xml:space="preserve">A comprehensive Intended Use Statement documents 6 approved use cases, 8 explicitly excluded uses (EX-01 to EX-08 — covering all EU AI Act Art.5 prohibited practices and Annex III categories), and 4 foreseeable misuse scenarios with built-in mitigations. This provides equivalent transparency to the purpose limitation and necessity analysis in a DPIA.</w:t>
            </w:r>
          </w:p>
          <w:p>
            <w:pPr>
              <w:spacing w:after="6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4.  Data Lineage and Personal Data Declaration (GDPR Art.5 — S2-02)</w:t>
            </w:r>
          </w:p>
          <w:p>
            <w:pPr>
              <w:spacing w:after="80" w:before="0"/>
            </w:pPr>
            <w:r>
              <w:rPr>
                <w:rFonts w:ascii="Arial" w:cs="Arial" w:eastAsia="Arial" w:hAnsi="Arial"/>
                <w:b w:val="false"/>
                <w:bCs w:val="false"/>
                <w:color w:val="000000"/>
                <w:sz w:val="18"/>
                <w:szCs w:val="18"/>
              </w:rPr>
              <w:t xml:space="preserve">A Training Data Lineage Record formally declares that NCAOS-Urielle processes no personal data. The declaration is attested by the named data owner. If any personal data is introduced in a future version, S2-05 material change triggers require a full re-evaluation including DPIA.</w:t>
            </w:r>
          </w:p>
          <w:p>
            <w:pPr>
              <w:spacing w:after="6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5.  Monitoring and Accountability Framework (ISO 42001 cl.9.1 — S3-01 to S3-06, S5-01)</w:t>
            </w:r>
          </w:p>
          <w:p>
            <w:pPr>
              <w:spacing w:after="80" w:before="0"/>
            </w:pPr>
            <w:r>
              <w:rPr>
                <w:rFonts w:ascii="Arial" w:cs="Arial" w:eastAsia="Arial" w:hAnsi="Arial"/>
                <w:b w:val="false"/>
                <w:bCs w:val="false"/>
                <w:color w:val="000000"/>
                <w:sz w:val="18"/>
                <w:szCs w:val="18"/>
              </w:rPr>
              <w:t xml:space="preserve">A comprehensive monitoring regime (6 monitoring documents), an AI Policy (S5-01), and a named accountable individual (S1-05) provide ongoing governance assurance equivalent to the review and monitoring commitments required in a formal DPIA.</w:t>
            </w:r>
          </w:p>
          <w:p>
            <w:pPr>
              <w:spacing w:after="60" w:before="0"/>
            </w:pPr>
            <w:r>
              <w:rPr>
                <w:rFonts w:ascii="Arial" w:cs="Arial" w:eastAsia="Arial" w:hAnsi="Arial"/>
                <w:b w:val="false"/>
                <w:bCs w:val="false"/>
                <w:color w:val="000000"/>
                <w:sz w:val="18"/>
                <w:szCs w:val="18"/>
              </w:rPr>
              <w:t xml:space="preserve"/>
            </w:r>
          </w:p>
          <w:p>
            <w:pPr>
              <w:spacing w:after="30" w:before="80"/>
            </w:pPr>
            <w:r>
              <w:rPr>
                <w:rFonts w:ascii="Arial" w:cs="Arial" w:eastAsia="Arial" w:hAnsi="Arial"/>
                <w:b/>
                <w:bCs/>
                <w:color w:val="1F4E79"/>
                <w:sz w:val="17"/>
                <w:szCs w:val="17"/>
              </w:rPr>
              <w:t xml:space="preserve">6.  AI Verify Framework Alignment</w:t>
            </w:r>
          </w:p>
          <w:p>
            <w:pPr>
              <w:spacing w:after="80" w:before="0"/>
            </w:pPr>
            <w:r>
              <w:rPr>
                <w:rFonts w:ascii="Arial" w:cs="Arial" w:eastAsia="Arial" w:hAnsi="Arial"/>
                <w:b w:val="false"/>
                <w:bCs w:val="false"/>
                <w:color w:val="000000"/>
                <w:sz w:val="18"/>
                <w:szCs w:val="18"/>
              </w:rPr>
              <w:t xml:space="preserve">This evidence suite was produced in alignment with the AI Verify Framework (IMDA Singapore / AI Verify Foundation), of which Urielle AI is a General Member. AI Verify Principles 1, 4, 5, 7, 8, and 9 are specifically addressed across the evidence items.</w:t>
            </w:r>
          </w:p>
          <w:p>
            <w:pPr>
              <w:spacing w:after="80" w:before="0"/>
            </w:pPr>
            <w:r>
              <w:rPr>
                <w:rFonts w:ascii="Arial" w:cs="Arial" w:eastAsia="Arial" w:hAnsi="Arial"/>
                <w:b w:val="false"/>
                <w:bCs w:val="false"/>
                <w:color w:val="000000"/>
                <w:sz w:val="18"/>
                <w:szCs w:val="18"/>
              </w:rPr>
              <w:t xml:space="preserve"/>
            </w:r>
          </w:p>
          <w:p>
            <w:pPr>
              <w:spacing w:after="80" w:before="0"/>
            </w:pPr>
            <w:r>
              <w:rPr>
                <w:rFonts w:ascii="Arial" w:cs="Arial" w:eastAsia="Arial" w:hAnsi="Arial"/>
                <w:b/>
                <w:bCs/>
                <w:color w:val="1F7A3A"/>
                <w:sz w:val="18"/>
                <w:szCs w:val="18"/>
              </w:rPr>
              <w:t xml:space="preserve">Conclusion: The alternative due diligence performed provides comprehensive risk identification, bias assessment, impact analysis, transparency, accountability, and monitoring for the specific risk profile of NCAOS-Urielle EGS v1.0-rc. A standalone DPIA would not add material value at this system's current scope and risk classification.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FFDE7" w:val="clear"/>
            <w:tcMar>
              <w:top w:type="dxa" w:w="100"/>
              <w:left w:type="dxa" w:w="140"/>
              <w:bottom w:type="dxa" w:w="100"/>
              <w:right w:type="dxa" w:w="140"/>
            </w:tcMar>
          </w:tcPr>
          <w:p>
            <w:pPr>
              <w:pBdr>
                <w:bottom w:val="single" w:color="7D5A00" w:sz="4" w:space="2"/>
              </w:pBdr>
              <w:spacing w:after="80" w:before="160"/>
            </w:pPr>
            <w:r>
              <w:rPr>
                <w:rFonts w:ascii="Arial" w:cs="Arial" w:eastAsia="Arial" w:hAnsi="Arial"/>
                <w:b/>
                <w:bCs/>
                <w:color w:val="7D5A00"/>
                <w:sz w:val="22"/>
                <w:szCs w:val="22"/>
              </w:rPr>
              <w:t xml:space="preserve">[ Your Engagement — Alternative Due Diligence Statement ]</w:t>
            </w:r>
          </w:p>
          <w:p>
            <w:pPr>
              <w:spacing w:after="80" w:before="0"/>
            </w:pPr>
            <w:r>
              <w:rPr>
                <w:rFonts w:ascii="Arial" w:cs="Arial" w:eastAsia="Arial" w:hAnsi="Arial"/>
                <w:b w:val="false"/>
                <w:bCs w:val="false"/>
                <w:color w:val="7D5A00"/>
                <w:sz w:val="18"/>
                <w:szCs w:val="18"/>
              </w:rPr>
              <w:t xml:space="preserve">If DPIA not required: state clearly WHY it is not required (cite screening question answers), then describe WHAT alternative due diligence was conducted instead.</w:t>
            </w:r>
          </w:p>
          <w:p>
            <w:pPr>
              <w:pStyle w:val="ListParagraph"/>
              <w:numPr>
                <w:ilvl w:val="0"/>
                <w:numId w:val="2"/>
              </w:numPr>
              <w:spacing w:after="30" w:before="30"/>
            </w:pPr>
            <w:r>
              <w:rPr>
                <w:rFonts w:ascii="Arial" w:cs="Arial" w:eastAsia="Arial" w:hAnsi="Arial"/>
                <w:color w:val="7D5A00"/>
                <w:sz w:val="18"/>
                <w:szCs w:val="18"/>
              </w:rPr>
              <w:t xml:space="preserve">[Risk assessment — describe scope and methodology. Cross-reference S5-02.]</w:t>
            </w:r>
          </w:p>
          <w:p>
            <w:pPr>
              <w:pStyle w:val="ListParagraph"/>
              <w:numPr>
                <w:ilvl w:val="0"/>
                <w:numId w:val="2"/>
              </w:numPr>
              <w:spacing w:after="30" w:before="30"/>
            </w:pPr>
            <w:r>
              <w:rPr>
                <w:rFonts w:ascii="Arial" w:cs="Arial" w:eastAsia="Arial" w:hAnsi="Arial"/>
                <w:color w:val="7D5A00"/>
                <w:sz w:val="18"/>
                <w:szCs w:val="18"/>
              </w:rPr>
              <w:t xml:space="preserve">[Bias assessment — describe scope. Cross-reference S2-04.]</w:t>
            </w:r>
          </w:p>
          <w:p>
            <w:pPr>
              <w:pStyle w:val="ListParagraph"/>
              <w:numPr>
                <w:ilvl w:val="0"/>
                <w:numId w:val="2"/>
              </w:numPr>
              <w:spacing w:after="30" w:before="30"/>
            </w:pPr>
            <w:r>
              <w:rPr>
                <w:rFonts w:ascii="Arial" w:cs="Arial" w:eastAsia="Arial" w:hAnsi="Arial"/>
                <w:color w:val="7D5A00"/>
                <w:sz w:val="18"/>
                <w:szCs w:val="18"/>
              </w:rPr>
              <w:t xml:space="preserve">[Intended use / exclusions documentation — cross-reference S1-04.]</w:t>
            </w:r>
          </w:p>
          <w:p>
            <w:pPr>
              <w:pStyle w:val="ListParagraph"/>
              <w:numPr>
                <w:ilvl w:val="0"/>
                <w:numId w:val="2"/>
              </w:numPr>
              <w:spacing w:after="30" w:before="30"/>
            </w:pPr>
            <w:r>
              <w:rPr>
                <w:rFonts w:ascii="Arial" w:cs="Arial" w:eastAsia="Arial" w:hAnsi="Arial"/>
                <w:color w:val="7D5A00"/>
                <w:sz w:val="18"/>
                <w:szCs w:val="18"/>
              </w:rPr>
              <w:t xml:space="preserve">[Personal data declaration — cross-reference S2-02.]</w:t>
            </w:r>
          </w:p>
          <w:p>
            <w:pPr>
              <w:pStyle w:val="ListParagraph"/>
              <w:numPr>
                <w:ilvl w:val="0"/>
                <w:numId w:val="2"/>
              </w:numPr>
              <w:spacing w:after="30" w:before="30"/>
            </w:pPr>
            <w:r>
              <w:rPr>
                <w:rFonts w:ascii="Arial" w:cs="Arial" w:eastAsia="Arial" w:hAnsi="Arial"/>
                <w:color w:val="7D5A00"/>
                <w:sz w:val="18"/>
                <w:szCs w:val="18"/>
              </w:rPr>
              <w:t xml:space="preserve">[Monitoring framework — cross-reference S3-01 to S3-06.]</w:t>
            </w:r>
          </w:p>
          <w:p>
            <w:pPr>
              <w:pStyle w:val="ListParagraph"/>
              <w:numPr>
                <w:ilvl w:val="0"/>
                <w:numId w:val="2"/>
              </w:numPr>
              <w:spacing w:after="30" w:before="30"/>
            </w:pPr>
            <w:r>
              <w:rPr>
                <w:rFonts w:ascii="Arial" w:cs="Arial" w:eastAsia="Arial" w:hAnsi="Arial"/>
                <w:color w:val="7D5A00"/>
                <w:sz w:val="18"/>
                <w:szCs w:val="18"/>
              </w:rPr>
              <w:t xml:space="preserve">[Any regulatory framework alignment — ISO 42001, NIST AI RMF, AI Verify, sector-specific guidance.]</w:t>
            </w:r>
          </w:p>
          <w:p>
            <w:pPr>
              <w:spacing w:after="80" w:before="0"/>
            </w:pPr>
            <w:r>
              <w:rPr>
                <w:rFonts w:ascii="Arial" w:cs="Arial" w:eastAsia="Arial" w:hAnsi="Arial"/>
                <w:b w:val="false"/>
                <w:bCs w:val="false"/>
                <w:color w:val="7D5A00"/>
                <w:sz w:val="18"/>
                <w:szCs w:val="18"/>
              </w:rPr>
              <w:t xml:space="preserve">Conclusion: [State whether alternative due diligence is sufficient, or whether a formal DPIA is recommended despite not being mandatory.]</w:t>
            </w:r>
          </w:p>
        </w:tc>
      </w:tr>
    </w:tbl>
    <w:p>
      <w:pPr>
        <w:spacing w:after="0"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10 — ASSESSMENT LEAD ATTESTATION</w:t>
            </w:r>
          </w:p>
        </w:tc>
      </w:tr>
      <w:tr>
        <w:tc>
          <w:tcPr>
            <w:tcW w:type="dxa" w:w="9360"/>
            <w:tcBorders>
              <w:top w:val="single" w:color="1F4E79" w:sz="4"/>
              <w:left w:val="single" w:color="1F4E79" w:sz="4"/>
              <w:bottom w:val="single" w:color="1F4E79" w:sz="4"/>
              <w:right w:val="single" w:color="1F4E79" w:sz="4"/>
            </w:tcBorders>
            <w:shd w:fill="F0F7FF" w:val="clear"/>
            <w:tcMar>
              <w:top w:type="dxa" w:w="140"/>
              <w:left w:type="dxa" w:w="200"/>
              <w:bottom w:type="dxa" w:w="140"/>
              <w:right w:type="dxa" w:w="200"/>
            </w:tcMar>
          </w:tcPr>
          <w:p>
            <w:pPr>
              <w:spacing w:after="80" w:before="0"/>
            </w:pPr>
            <w:r>
              <w:rPr>
                <w:rFonts w:ascii="Arial" w:cs="Arial" w:eastAsia="Arial" w:hAnsi="Arial"/>
                <w:b w:val="false"/>
                <w:bCs w:val="false"/>
                <w:color w:val="000000"/>
                <w:sz w:val="18"/>
                <w:szCs w:val="18"/>
              </w:rPr>
              <w:t xml:space="preserve">I, the named assessment lead below, certify that:</w:t>
            </w:r>
          </w:p>
          <w:p>
            <w:pPr>
              <w:pStyle w:val="ListParagraph"/>
              <w:numPr>
                <w:ilvl w:val="0"/>
                <w:numId w:val="2"/>
              </w:numPr>
              <w:spacing w:after="20" w:before="20"/>
            </w:pPr>
            <w:r>
              <w:rPr>
                <w:rFonts w:ascii="Arial" w:cs="Arial" w:eastAsia="Arial" w:hAnsi="Arial"/>
                <w:sz w:val="18"/>
                <w:szCs w:val="18"/>
              </w:rPr>
              <w:t xml:space="preserve">The screening questionnaire in Section 3 has been answered honestly, with substantiated reasoning for each answer — not as a tick-box exercise.</w:t>
            </w:r>
          </w:p>
          <w:p>
            <w:pPr>
              <w:pStyle w:val="ListParagraph"/>
              <w:numPr>
                <w:ilvl w:val="0"/>
                <w:numId w:val="2"/>
              </w:numPr>
              <w:spacing w:after="20" w:before="20"/>
            </w:pPr>
            <w:r>
              <w:rPr>
                <w:rFonts w:ascii="Arial" w:cs="Arial" w:eastAsia="Arial" w:hAnsi="Arial"/>
                <w:sz w:val="18"/>
                <w:szCs w:val="18"/>
              </w:rPr>
              <w:t xml:space="preserve">The assessment outcome (OUTCOME B — DPIA not required) is based on the genuine facts of the system's design and deployment scope as of the assessment date.</w:t>
            </w:r>
          </w:p>
          <w:p>
            <w:pPr>
              <w:pStyle w:val="ListParagraph"/>
              <w:numPr>
                <w:ilvl w:val="0"/>
                <w:numId w:val="2"/>
              </w:numPr>
              <w:spacing w:after="20" w:before="20"/>
            </w:pPr>
            <w:r>
              <w:rPr>
                <w:rFonts w:ascii="Arial" w:cs="Arial" w:eastAsia="Arial" w:hAnsi="Arial"/>
                <w:sz w:val="18"/>
                <w:szCs w:val="18"/>
              </w:rPr>
              <w:t xml:space="preserve">The alternative due diligence described in Section 9 has actually been performed — it is not a retrospective description of documents created for other purposes.</w:t>
            </w:r>
          </w:p>
          <w:p>
            <w:pPr>
              <w:pStyle w:val="ListParagraph"/>
              <w:numPr>
                <w:ilvl w:val="0"/>
                <w:numId w:val="2"/>
              </w:numPr>
              <w:spacing w:after="20" w:before="20"/>
            </w:pPr>
            <w:r>
              <w:rPr>
                <w:rFonts w:ascii="Arial" w:cs="Arial" w:eastAsia="Arial" w:hAnsi="Arial"/>
                <w:sz w:val="18"/>
                <w:szCs w:val="18"/>
              </w:rPr>
              <w:t xml:space="preserve">If the system's scope changes in the ways described in the trigger conditions, this assessment will be revisited and a DPIA conducted if required.</w:t>
            </w:r>
          </w:p>
          <w:p>
            <w:pPr>
              <w:pStyle w:val="ListParagraph"/>
              <w:numPr>
                <w:ilvl w:val="0"/>
                <w:numId w:val="2"/>
              </w:numPr>
              <w:spacing w:after="20" w:before="20"/>
            </w:pPr>
            <w:r>
              <w:rPr>
                <w:rFonts w:ascii="Arial" w:cs="Arial" w:eastAsia="Arial" w:hAnsi="Arial"/>
                <w:sz w:val="18"/>
                <w:szCs w:val="18"/>
              </w:rPr>
              <w:t xml:space="preserve">This document is submitted as Evidence Item S5-03 in response to the Urielle AI Evidence Request.</w:t>
            </w:r>
          </w:p>
          <w:p>
            <w:pPr>
              <w:spacing w:after="0" w:before="40"/>
            </w:pPr>
            <w:r>
              <w:rPr>
                <w:rFonts w:ascii="Arial" w:cs="Arial" w:eastAsia="Arial" w:hAnsi="Arial"/>
                <w:b w:val="false"/>
                <w:bCs w:val="false"/>
                <w:color w:val="000000"/>
                <w:sz w:val="18"/>
                <w:szCs w:val="18"/>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60" w:before="0"/>
                  </w:pPr>
                  <w:r>
                    <w:rPr>
                      <w:rFonts w:ascii="Arial" w:cs="Arial" w:eastAsia="Arial" w:hAnsi="Arial"/>
                      <w:b/>
                      <w:bCs/>
                      <w:color w:val="1F4E79"/>
                      <w:sz w:val="18"/>
                      <w:szCs w:val="18"/>
                    </w:rPr>
                    <w:t xml:space="preserve">NCAOS-Urielle Reference</w:t>
                  </w:r>
                </w:p>
                <w:p>
                  <w:pPr>
                    <w:spacing w:after="40" w:before="40"/>
                  </w:pPr>
                  <w:r>
                    <w:rPr>
                      <w:rFonts w:ascii="Arial" w:cs="Arial" w:eastAsia="Arial" w:hAnsi="Arial"/>
                      <w:b/>
                      <w:bCs/>
                      <w:color w:val="1F7A3A"/>
                      <w:sz w:val="18"/>
                      <w:szCs w:val="18"/>
                    </w:rPr>
                    <w:t xml:space="preserve">Assessment Outcome: OUTCOME B</w:t>
                  </w:r>
                </w:p>
                <w:p>
                  <w:pPr>
                    <w:spacing w:after="40" w:before="0"/>
                  </w:pPr>
                  <w:r>
                    <w:rPr>
                      <w:rFonts w:ascii="Arial" w:cs="Arial" w:eastAsia="Arial" w:hAnsi="Arial"/>
                      <w:b w:val="false"/>
                      <w:bCs w:val="false"/>
                      <w:color w:val="000000"/>
                      <w:sz w:val="18"/>
                      <w:szCs w:val="18"/>
                    </w:rPr>
                    <w:t xml:space="preserve">Name:    William Hartono</w:t>
                  </w:r>
                </w:p>
                <w:p>
                  <w:pPr>
                    <w:spacing w:after="40" w:before="0"/>
                  </w:pPr>
                  <w:r>
                    <w:rPr>
                      <w:rFonts w:ascii="Arial" w:cs="Arial" w:eastAsia="Arial" w:hAnsi="Arial"/>
                      <w:b w:val="false"/>
                      <w:bCs w:val="false"/>
                      <w:color w:val="000000"/>
                      <w:sz w:val="18"/>
                      <w:szCs w:val="18"/>
                    </w:rPr>
                    <w:t xml:space="preserve">Title:   Founder, Urielle AI / FHCA</w:t>
                  </w:r>
                </w:p>
                <w:p>
                  <w:pPr>
                    <w:spacing w:after="40" w:before="0"/>
                  </w:pPr>
                  <w:r>
                    <w:rPr>
                      <w:rFonts w:ascii="Arial" w:cs="Arial" w:eastAsia="Arial" w:hAnsi="Arial"/>
                      <w:b w:val="false"/>
                      <w:bCs w:val="false"/>
                      <w:color w:val="000000"/>
                      <w:sz w:val="18"/>
                      <w:szCs w:val="18"/>
                    </w:rPr>
                    <w:t xml:space="preserve">Signed:  ___________________________</w:t>
                  </w:r>
                </w:p>
                <w:p>
                  <w:pPr>
                    <w:spacing w:after="0" w:before="0"/>
                  </w:pPr>
                  <w:r>
                    <w:rPr>
                      <w:rFonts w:ascii="Arial" w:cs="Arial" w:eastAsia="Arial" w:hAnsi="Arial"/>
                      <w:b w:val="false"/>
                      <w:bCs w:val="false"/>
                      <w:color w:val="000000"/>
                      <w:sz w:val="18"/>
                      <w:szCs w:val="18"/>
                    </w:rPr>
                    <w:t xml:space="preserve">Date:    ___________________________</w:t>
                  </w:r>
                </w:p>
              </w:tc>
              <w:tc>
                <w:tcPr>
                  <w:tcW w:type="dxa" w:w="4480"/>
                  <w:tcBorders>
                    <w:top w:val="dashed" w:color="999999" w:sz="2"/>
                    <w:left w:val="dashed" w:color="999999" w:sz="2"/>
                    <w:bottom w:val="dashed" w:color="999999" w:sz="2"/>
                    <w:right w:val="dashed" w:color="999999" w:sz="2"/>
                  </w:tcBorders>
                  <w:shd w:fill="FFFDE7" w:val="clear"/>
                  <w:tcMar>
                    <w:top w:type="dxa" w:w="80"/>
                    <w:left w:type="dxa" w:w="100"/>
                    <w:bottom w:type="dxa" w:w="80"/>
                    <w:right w:type="dxa" w:w="100"/>
                  </w:tcMar>
                </w:tcPr>
                <w:p>
                  <w:pPr>
                    <w:spacing w:after="60" w:before="0"/>
                  </w:pPr>
                  <w:r>
                    <w:rPr>
                      <w:rFonts w:ascii="Arial" w:cs="Arial" w:eastAsia="Arial" w:hAnsi="Arial"/>
                      <w:b/>
                      <w:bCs/>
                      <w:color w:val="7D5A00"/>
                      <w:sz w:val="18"/>
                      <w:szCs w:val="18"/>
                    </w:rPr>
                    <w:t xml:space="preserve">[ Your Engagement — Replace ]</w:t>
                  </w:r>
                </w:p>
                <w:p>
                  <w:pPr>
                    <w:spacing w:after="40" w:before="40"/>
                  </w:pPr>
                  <w:r>
                    <w:rPr>
                      <w:rFonts w:ascii="Arial" w:cs="Arial" w:eastAsia="Arial" w:hAnsi="Arial"/>
                      <w:b w:val="false"/>
                      <w:bCs w:val="false"/>
                      <w:color w:val="7D5A00"/>
                      <w:sz w:val="18"/>
                      <w:szCs w:val="18"/>
                    </w:rPr>
                    <w:t xml:space="preserve">Assessment Outcome: [A / B]</w:t>
                  </w:r>
                </w:p>
                <w:p>
                  <w:pPr>
                    <w:spacing w:after="40" w:before="0"/>
                  </w:pPr>
                  <w:r>
                    <w:rPr>
                      <w:rFonts w:ascii="Arial" w:cs="Arial" w:eastAsia="Arial" w:hAnsi="Arial"/>
                      <w:b w:val="false"/>
                      <w:bCs w:val="false"/>
                      <w:color w:val="7D5A00"/>
                      <w:sz w:val="18"/>
                      <w:szCs w:val="18"/>
                    </w:rPr>
                    <w:t xml:space="preserve">Name:    [Full Name]</w:t>
                  </w:r>
                </w:p>
                <w:p>
                  <w:pPr>
                    <w:spacing w:after="40" w:before="0"/>
                  </w:pPr>
                  <w:r>
                    <w:rPr>
                      <w:rFonts w:ascii="Arial" w:cs="Arial" w:eastAsia="Arial" w:hAnsi="Arial"/>
                      <w:b w:val="false"/>
                      <w:bCs w:val="false"/>
                      <w:color w:val="7D5A00"/>
                      <w:sz w:val="18"/>
                      <w:szCs w:val="18"/>
                    </w:rPr>
                    <w:t xml:space="preserve">Title:   [Title, Organisation]</w:t>
                  </w:r>
                </w:p>
                <w:p>
                  <w:pPr>
                    <w:spacing w:after="40" w:before="0"/>
                  </w:pPr>
                  <w:r>
                    <w:rPr>
                      <w:rFonts w:ascii="Arial" w:cs="Arial" w:eastAsia="Arial" w:hAnsi="Arial"/>
                      <w:b w:val="false"/>
                      <w:bCs w:val="false"/>
                      <w:color w:val="7D5A00"/>
                      <w:sz w:val="18"/>
                      <w:szCs w:val="18"/>
                    </w:rPr>
                    <w:t xml:space="preserve">Signed:  ___________________________</w:t>
                  </w:r>
                </w:p>
                <w:p>
                  <w:pPr>
                    <w:spacing w:after="0" w:before="0"/>
                  </w:pPr>
                  <w:r>
                    <w:rPr>
                      <w:rFonts w:ascii="Arial" w:cs="Arial" w:eastAsia="Arial" w:hAnsi="Arial"/>
                      <w:b w:val="false"/>
                      <w:bCs w:val="false"/>
                      <w:color w:val="7D5A00"/>
                      <w:sz w:val="18"/>
                      <w:szCs w:val="18"/>
                    </w:rPr>
                    <w:t xml:space="preserve">Date:    ___________________________</w:t>
                  </w:r>
                </w:p>
              </w:tc>
            </w:tr>
          </w:tbl>
          <w:p/>
        </w:tc>
      </w:tr>
    </w:tbl>
    <w:p>
      <w:pPr>
        <w:spacing w:after="0" w:before="200"/>
        <w:jc w:val="center"/>
      </w:pPr>
      <w:r>
        <w:rPr>
          <w:rFonts w:ascii="Arial" w:cs="Arial" w:eastAsia="Arial" w:hAnsi="Arial"/>
          <w:color w:val="595959"/>
          <w:sz w:val="15"/>
          <w:szCs w:val="15"/>
        </w:rPr>
        <w:t xml:space="preserve">Impact Assessment (DPIA / AI IA)  |  S5-03 Template  |  Urielle AI  |  Confidential  |  Duplicate — do not overwrite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2026-06-07T15:28:12.128Z</dcterms:created>
  <dcterms:modified xsi:type="dcterms:W3CDTF">2026-06-07T15:28:12.141Z</dcterms:modified>
</cp:coreProperties>
</file>

<file path=docProps/custom.xml><?xml version="1.0" encoding="utf-8"?>
<Properties xmlns="http://schemas.openxmlformats.org/officeDocument/2006/custom-properties" xmlns:vt="http://schemas.openxmlformats.org/officeDocument/2006/docPropsVTypes"/>
</file>