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8"/>
          <w:szCs w:val="38"/>
        </w:rPr>
        <w:t xml:space="preserve">THIRD-PARTY MODEL RISK ASSESSMENT</w:t>
      </w:r>
    </w:p>
    <w:p>
      <w:pPr>
        <w:spacing w:after="40" w:before="0"/>
        <w:jc w:val="center"/>
      </w:pPr>
      <w:r>
        <w:rPr>
          <w:rFonts w:ascii="Arial" w:cs="Arial" w:eastAsia="Arial" w:hAnsi="Arial"/>
          <w:b/>
          <w:bCs/>
          <w:color w:val="595959"/>
          <w:sz w:val="21"/>
          <w:szCs w:val="21"/>
        </w:rPr>
        <w:t xml:space="preserve">Evidence Item S5-04  |  Section 5 — Governance and Accountability  |  Urielle AI Audit Template</w:t>
      </w:r>
    </w:p>
    <w:p>
      <w:pPr>
        <w:spacing w:after="40" w:before="0"/>
        <w:jc w:val="center"/>
      </w:pPr>
      <w:r>
        <w:rPr>
          <w:rFonts w:ascii="Arial" w:cs="Arial" w:eastAsia="Arial" w:hAnsi="Arial"/>
          <w:color w:val="2E75B6"/>
          <w:sz w:val="18"/>
          <w:szCs w:val="18"/>
        </w:rPr>
        <w:t xml:space="preserve">ISO 42001 cl.8.4  </w:t>
      </w:r>
      <w:r>
        <w:rPr>
          <w:rFonts w:ascii="Arial" w:cs="Arial" w:eastAsia="Arial" w:hAnsi="Arial"/>
          <w:color w:val="595959"/>
          <w:sz w:val="18"/>
          <w:szCs w:val="18"/>
        </w:rPr>
        <w:t xml:space="preserve">|  NIST AI RMF MAP 5.1  </w:t>
      </w:r>
      <w:r>
        <w:rPr>
          <w:rFonts w:ascii="Arial" w:cs="Arial" w:eastAsia="Arial" w:hAnsi="Arial"/>
          <w:color w:val="595959"/>
          <w:sz w:val="18"/>
          <w:szCs w:val="18"/>
        </w:rPr>
        <w:t xml:space="preserve">|  EU AI Act Art.25 / Art.28  </w:t>
      </w:r>
      <w:r>
        <w:rPr>
          <w:rFonts w:ascii="Arial" w:cs="Arial" w:eastAsia="Arial" w:hAnsi="Arial"/>
          <w:color w:val="2E75B6"/>
          <w:sz w:val="18"/>
          <w:szCs w:val="18"/>
        </w:rPr>
        <w:t xml:space="preserve">|  ISO 42001 cl.6.1</w:t>
      </w:r>
    </w:p>
    <w:p>
      <w:pPr>
        <w:pBdr>
          <w:bottom w:val="single" w:color="1F4E79" w:sz="6" w:space="4"/>
        </w:pBdr>
        <w:spacing w:after="280" w:before="0"/>
        <w:jc w:val="center"/>
      </w:pPr>
      <w:r>
        <w:rPr>
          <w:rFonts w:ascii="Arial" w:cs="Arial" w:eastAsia="Arial" w:hAnsi="Arial"/>
          <w:b/>
          <w:bCs/>
          <w:color w:val="8B0000"/>
          <w:sz w:val="16"/>
          <w:szCs w:val="16"/>
        </w:rPr>
        <w:t xml:space="preserve">  Third-party AI terms, limitations, and data handling reviewed before deployment  </w:t>
      </w:r>
      <w:r>
        <w:rPr>
          <w:rFonts w:ascii="Arial" w:cs="Arial" w:eastAsia="Arial" w:hAnsi="Arial"/>
          <w:b/>
          <w:bCs/>
          <w:color w:val="1F7A3A"/>
          <w:sz w:val="16"/>
          <w:szCs w:val="16"/>
        </w:rPr>
        <w:t xml:space="preserve">  FILLED = NCAOS-Urielle reference  </w:t>
      </w:r>
      <w:r>
        <w:rPr>
          <w:rFonts w:ascii="Arial" w:cs="Arial" w:eastAsia="Arial" w:hAnsi="Arial"/>
          <w:b/>
          <w:bCs/>
          <w:color w:val="7D5A00"/>
          <w:sz w:val="16"/>
          <w:szCs w:val="16"/>
        </w:rPr>
        <w:t xml:space="preserve">  [ CREAM ] = Replace per engagement  </w:t>
      </w:r>
      <w:r>
        <w:rPr>
          <w:rFonts w:ascii="Arial" w:cs="Arial" w:eastAsia="Arial" w:hAnsi="Arial"/>
          <w:color w:val="595959"/>
          <w:sz w:val="16"/>
          <w:szCs w:val="16"/>
        </w:rPr>
        <w:t xml:space="preserve">  v1.0  |  June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FF8E1" w:val="clear"/>
            <w:tcMar>
              <w:top w:type="dxa" w:w="140"/>
              <w:left w:type="dxa" w:w="200"/>
              <w:bottom w:type="dxa" w:w="140"/>
              <w:right w:type="dxa" w:w="200"/>
            </w:tcMar>
          </w:tcPr>
          <w:p>
            <w:pPr>
              <w:spacing w:after="80" w:before="0"/>
            </w:pPr>
            <w:r>
              <w:rPr>
                <w:rFonts w:ascii="Arial" w:cs="Arial" w:eastAsia="Arial" w:hAnsi="Arial"/>
                <w:b/>
                <w:bCs/>
                <w:color w:val="7D4E00"/>
                <w:sz w:val="18"/>
                <w:szCs w:val="18"/>
              </w:rPr>
              <w:t xml:space="preserve">HOW TO USE THIS TEMPLATE</w:t>
            </w:r>
          </w:p>
          <w:p>
            <w:pPr>
              <w:spacing w:after="80" w:before="0"/>
            </w:pPr>
            <w:r>
              <w:rPr>
                <w:rFonts w:ascii="Arial" w:cs="Arial" w:eastAsia="Arial" w:hAnsi="Arial"/>
                <w:b w:val="false"/>
                <w:bCs w:val="false"/>
                <w:color w:val="000000"/>
                <w:sz w:val="18"/>
                <w:szCs w:val="18"/>
              </w:rPr>
              <w:t xml:space="preserve">Reusable Urielle AI template for Evidence Item S5-04 — Third-Party Model Risk Assessment. Satisfies ISO 42001 cl.8.4, NIST AI RMF MAP 5.1, and EU AI Act Art.25 / Art.28. NCAOS-Urielle is pre-filled as the reference engagement.</w:t>
            </w:r>
          </w:p>
          <w:p>
            <w:pPr>
              <w:spacing w:after="40" w:before="0"/>
            </w:pPr>
            <w:r>
              <w:rPr>
                <w:rFonts w:ascii="Arial" w:cs="Arial" w:eastAsia="Arial" w:hAnsi="Arial"/>
                <w:b w:val="false"/>
                <w:bCs w:val="false"/>
                <w:color w:val="000000"/>
                <w:sz w:val="18"/>
                <w:szCs w:val="18"/>
              </w:rPr>
              <w:t xml:space="preserve">The Evidence Request requires: evidence that third-party AI terms, limitations, and data handling were assessed before deployment. This applies when:</w:t>
            </w:r>
          </w:p>
          <w:p>
            <w:pPr>
              <w:pStyle w:val="ListParagraph"/>
              <w:numPr>
                <w:ilvl w:val="0"/>
                <w:numId w:val="2"/>
              </w:numPr>
              <w:spacing w:after="30" w:before="30"/>
            </w:pPr>
            <w:r>
              <w:rPr>
                <w:rFonts w:ascii="Arial" w:cs="Arial" w:eastAsia="Arial" w:hAnsi="Arial"/>
                <w:color w:val="7D4E00"/>
                <w:sz w:val="18"/>
                <w:szCs w:val="18"/>
              </w:rPr>
              <w:t xml:space="preserve">The system uses a third-party AI model or API (OpenAI GPT, Anthropic Claude, Google Gemini, AWS Bedrock, Azure OpenAI, Hugging Face hosted models, etc.).</w:t>
            </w:r>
          </w:p>
          <w:p>
            <w:pPr>
              <w:pStyle w:val="ListParagraph"/>
              <w:numPr>
                <w:ilvl w:val="0"/>
                <w:numId w:val="2"/>
              </w:numPr>
              <w:spacing w:after="30" w:before="30"/>
            </w:pPr>
            <w:r>
              <w:rPr>
                <w:rFonts w:ascii="Arial" w:cs="Arial" w:eastAsia="Arial" w:hAnsi="Arial"/>
                <w:color w:val="7D4E00"/>
                <w:sz w:val="18"/>
                <w:szCs w:val="18"/>
              </w:rPr>
              <w:t xml:space="preserve">The system uses a third-party AI governance or safety tool that processes system data.</w:t>
            </w:r>
          </w:p>
          <w:p>
            <w:pPr>
              <w:pStyle w:val="ListParagraph"/>
              <w:numPr>
                <w:ilvl w:val="0"/>
                <w:numId w:val="2"/>
              </w:numPr>
              <w:spacing w:after="30" w:before="30"/>
            </w:pPr>
            <w:r>
              <w:rPr>
                <w:rFonts w:ascii="Arial" w:cs="Arial" w:eastAsia="Arial" w:hAnsi="Arial"/>
                <w:color w:val="7D4E00"/>
                <w:sz w:val="18"/>
                <w:szCs w:val="18"/>
              </w:rPr>
              <w:t xml:space="preserve">A bilateral or supply-chain partner operates AI components that the system depends on.</w:t>
            </w:r>
          </w:p>
          <w:p>
            <w:pPr>
              <w:pStyle w:val="ListParagraph"/>
              <w:numPr>
                <w:ilvl w:val="0"/>
                <w:numId w:val="2"/>
              </w:numPr>
              <w:spacing w:after="30" w:before="30"/>
            </w:pPr>
            <w:r>
              <w:rPr>
                <w:rFonts w:ascii="Arial" w:cs="Arial" w:eastAsia="Arial" w:hAnsi="Arial"/>
                <w:color w:val="7D4E00"/>
                <w:sz w:val="18"/>
                <w:szCs w:val="18"/>
              </w:rPr>
              <w:t xml:space="preserve">NCAOS-Urielle v1.0-rc: NO third-party AI model or API is used. The system is entirely deterministic TypeScript. Section 3 documents this explicitly and assesses the bilateral partner (Toru / NCAOS Japan) as the relevant third-party relationship.</w:t>
            </w:r>
          </w:p>
          <w:p>
            <w:pPr>
              <w:pStyle w:val="ListParagraph"/>
              <w:numPr>
                <w:ilvl w:val="0"/>
                <w:numId w:val="2"/>
              </w:numPr>
              <w:spacing w:after="30" w:before="30"/>
            </w:pPr>
            <w:r>
              <w:rPr>
                <w:rFonts w:ascii="Arial" w:cs="Arial" w:eastAsia="Arial" w:hAnsi="Arial"/>
                <w:color w:val="7D4E00"/>
                <w:sz w:val="18"/>
                <w:szCs w:val="18"/>
              </w:rPr>
              <w:t xml:space="preserve">For systems using OpenAI / Google / Anthropic etc.: complete Section 5 (Provider-Specific Assessment) for each provider. A separate provider assessment block should be completed per provider.</w:t>
            </w:r>
          </w:p>
          <w:p>
            <w:pPr>
              <w:pStyle w:val="ListParagraph"/>
              <w:numPr>
                <w:ilvl w:val="0"/>
                <w:numId w:val="2"/>
              </w:numPr>
              <w:spacing w:after="30" w:before="30"/>
            </w:pPr>
            <w:r>
              <w:rPr>
                <w:rFonts w:ascii="Arial" w:cs="Arial" w:eastAsia="Arial" w:hAnsi="Arial"/>
                <w:color w:val="7D4E00"/>
                <w:sz w:val="18"/>
                <w:szCs w:val="18"/>
              </w:rPr>
              <w:t xml:space="preserve">Duplicate for each engagement. NCAOS-Urielle reference is permanent — do not overwrite.</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1 — DOCUMENT CONTROL</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(Reference)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Engagement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Evidence Item</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S5-04 — Third-Party Model Risk Assessment</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[S5-04]</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AI System</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NCAOS-Urielle EGS v1.0-rc</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[System name and version]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Engagement Ref</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[ERT-2026-001]</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[ERT-YYYY-NNN]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Auditor</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William Hartono / Urielle AI — wholidipro@urielle-ai.com</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[Auditor name / firm]</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Assessment Lead</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William Hartono (Founder, Urielle AI / FHCA)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[Named individual]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Assessment Date</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June 2026</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[DD Month YYYY]</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Third-Party AI Used?</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 — NCAOS-Urielle v1.0-rc uses no third-party AI model or API. Entirely deterministic TypeScript. One bilateral partner assessed (Section 4): Toru / NCAOS Japan.</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(list providers) / NO — state basis. If NO: still complete Section 3 (inventory) and Section 4 (bilateral partners).]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Related Items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S1-04 (Intended Use — no third-party AI dependencies), S2-01 (Model Card — ML components: None), S2-02 (Data Lineage — no external AI API), S5-02 R-BIL-01</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[Cross-reference S2-01 §2 (ML components), S2-02 §2 (external AI API), S1-04]</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Status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Final — v1.0</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[Draft / Final]</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2 — THIRD-PARTY AI DEPENDENCY INVENTORY</w:t>
            </w:r>
          </w:p>
        </w:tc>
      </w:tr>
      <w:tr>
        <w:tc>
          <w:tcPr>
            <w:tcW w:type="dxa" w:w="9360"/>
            <w:gridSpan w:val="3"/>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List ALL third-party AI dependencies — models, APIs, governance tools, safety layers, embedded AI features in other software. For NCAOS-Urielle: NONE. For other systems: one row per provider. If you discover dependencies you were not aware of (e.g. AI features in cloud platforms, AI-assisted code completion tools in development), list them.</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Dependency Type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Status</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Engagement — List all dependencies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Third-party AI inference API (e.g. OpenAI, Anthropic, Google, AWS Bedrock, Azure OpenAI)</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NONE — No API calls to any AI inference provider. Enforcement decisions are computed deterministically in @ncaos/shell from TypeScript rule sets.</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[Provider name / API endpoint / model version used / purpose of API call]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Embedded AI in cloud platform (e.g. AWS AI Services, Google Cloud AI, Azure Cognitive Services)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NONE — System runs on local infrastructure at v1.0-rc pilot stage. No cloud AI services used.</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[Platform / specific AI service / whether it processes system data]</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Open-source AI model (Hugging Face, Meta Llama, Mistral, etc.)</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NONE — No open-source AI model is loaded or executed.</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[Model name / version / hosting arrangement / data shared with model]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AI-assisted development tools (GitHub Copilot, Cursor, Codeium used to write system code)</w:t>
            </w:r>
          </w:p>
        </w:tc>
        <w:tc>
          <w:tcPr>
            <w:tcW w:type="dxa" w:w="351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color w:val="7D4E00"/>
                <w:sz w:val="18"/>
                <w:szCs w:val="18"/>
              </w:rPr>
              <w:t xml:space="preserve">PARTIAL DISCLOSURE — Development process used standard IDE tooling. Any AI-assisted code generation used by developer was not system-level AI — it is development tooling and not a runtime AI dependency. No AI-generated code was incorporated without human review.</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[Disclose if AI-assisted tools were used in development. State what code review process ensured no defects were introduced.]</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Third-party AI governance or safety tool (e.g. Guardrails AI, LangKit, Arize, etc.)</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NONE — No third-party AI governance or safety layer is used. NCAOS-Urielle IS the governance layer.</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[Tool name / what it does / whether it processes AI outputs or system data]</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Bilateral AI partner (co-developer or shared AI component)</w:t>
            </w:r>
          </w:p>
        </w:tc>
        <w:tc>
          <w:tcPr>
            <w:tcW w:type="dxa" w:w="351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color w:val="7D4E00"/>
                <w:sz w:val="18"/>
                <w:szCs w:val="18"/>
              </w:rPr>
              <w:t xml:space="preserve">YES — Toru (NCAOS Japan) is a bilateral research partner who owns the Boundary Governance Layer (BGL) design and AuditSignal semantics (ADR-006). Assessed in detail in Section 4.</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[Name / role / what AI components are shared / governance of shared components]</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3 — NO THIRD-PARTY AI DECLARATION (Complete if Section 2 = NONE for AI APIs/Models)</w:t>
            </w:r>
          </w:p>
        </w:tc>
      </w:tr>
      <w:tr>
        <w:tc>
          <w:tcPr>
            <w:tcW w:type="dxa" w:w="9360"/>
            <w:gridSpan w:val="1"/>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If no third-party AI model or API is used, this section is the formal declaration. It must be substantiated — auditors will check S2-01 §2 (ML components) and S2-02 §2 (external AI API) for consistency. 'We don't use AI APIs' without corroborating evidence is not sufficient.</w:t>
            </w:r>
          </w:p>
        </w:tc>
      </w:tr>
      <w:tr>
        <w:tc>
          <w:tcPr>
            <w:tcW w:type="dxa" w:w="9360"/>
            <w:tcBorders>
              <w:top w:val="single" w:color="1F4E79" w:sz="4"/>
              <w:left w:val="single" w:color="1F4E79" w:sz="4"/>
              <w:bottom w:val="single" w:color="1F4E79" w:sz="4"/>
              <w:right w:val="single" w:color="1F4E79" w:sz="4"/>
            </w:tcBorders>
            <w:shd w:fill="E8F5E9" w:val="clear"/>
            <w:tcMar>
              <w:top w:type="dxa" w:w="140"/>
              <w:left w:type="dxa" w:w="200"/>
              <w:bottom w:type="dxa" w:w="140"/>
              <w:right w:type="dxa" w:w="200"/>
            </w:tcMar>
          </w:tcPr>
          <w:p>
            <w:pPr>
              <w:spacing w:after="80" w:before="0"/>
            </w:pPr>
            <w:r>
              <w:rPr>
                <w:rFonts w:ascii="Arial" w:cs="Arial" w:eastAsia="Arial" w:hAnsi="Arial"/>
                <w:b/>
                <w:bCs/>
                <w:color w:val="1F7A3A"/>
                <w:sz w:val="18"/>
                <w:szCs w:val="18"/>
              </w:rPr>
              <w:t xml:space="preserve">NCAOS-Urielle EGS v1.0-rc — No Third-Party AI Declaration</w:t>
            </w:r>
          </w:p>
          <w:p>
            <w:pPr>
              <w:spacing w:after="80" w:before="0"/>
            </w:pPr>
            <w:r>
              <w:rPr>
                <w:rFonts w:ascii="Arial" w:cs="Arial" w:eastAsia="Arial" w:hAnsi="Arial"/>
                <w:b w:val="false"/>
                <w:bCs w:val="false"/>
                <w:color w:val="000000"/>
                <w:sz w:val="18"/>
                <w:szCs w:val="18"/>
              </w:rPr>
              <w:t xml:space="preserve">I, William Hartono (Founder, Urielle AI), confirm that NCAOS-Urielle EGS v1.0-rc does not use any third-party AI model, AI inference API, or AI platform service. This declaration is substantiated as follows:</w:t>
            </w:r>
          </w:p>
          <w:p>
            <w:pPr>
              <w:spacing w:after="4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Technical substantiation:</w:t>
            </w:r>
          </w:p>
          <w:p>
            <w:pPr>
              <w:pStyle w:val="ListParagraph"/>
              <w:numPr>
                <w:ilvl w:val="0"/>
                <w:numId w:val="2"/>
              </w:numPr>
              <w:spacing w:after="30" w:before="30"/>
            </w:pPr>
            <w:r>
              <w:rPr>
                <w:rFonts w:ascii="Arial" w:cs="Arial" w:eastAsia="Arial" w:hAnsi="Arial"/>
                <w:color w:val="000000"/>
                <w:sz w:val="18"/>
                <w:szCs w:val="18"/>
              </w:rPr>
              <w:t xml:space="preserve">S2-01 §2 (Model Card — ML Components): 'Rule-based policy engine (no trained ML model at v1.0-rc). No third-party AI model or API dependency.'</w:t>
            </w:r>
          </w:p>
          <w:p>
            <w:pPr>
              <w:pStyle w:val="ListParagraph"/>
              <w:numPr>
                <w:ilvl w:val="0"/>
                <w:numId w:val="2"/>
              </w:numPr>
              <w:spacing w:after="30" w:before="30"/>
            </w:pPr>
            <w:r>
              <w:rPr>
                <w:rFonts w:ascii="Arial" w:cs="Arial" w:eastAsia="Arial" w:hAnsi="Arial"/>
                <w:color w:val="000000"/>
                <w:sz w:val="18"/>
                <w:szCs w:val="18"/>
              </w:rPr>
              <w:t xml:space="preserve">S2-01 §2 (Underlying Models / APIs): 'None — no third-party AI model or API dependency at v1.0-rc. All logic is deterministic TypeScript.'</w:t>
            </w:r>
          </w:p>
          <w:p>
            <w:pPr>
              <w:pStyle w:val="ListParagraph"/>
              <w:numPr>
                <w:ilvl w:val="0"/>
                <w:numId w:val="2"/>
              </w:numPr>
              <w:spacing w:after="30" w:before="30"/>
            </w:pPr>
            <w:r>
              <w:rPr>
                <w:rFonts w:ascii="Arial" w:cs="Arial" w:eastAsia="Arial" w:hAnsi="Arial"/>
                <w:color w:val="000000"/>
                <w:sz w:val="18"/>
                <w:szCs w:val="18"/>
              </w:rPr>
              <w:t xml:space="preserve">S2-02 §2 (Data Lineage — Uses External AI API): 'NO — No third-party AI API dependency.'</w:t>
            </w:r>
          </w:p>
          <w:p>
            <w:pPr>
              <w:pStyle w:val="ListParagraph"/>
              <w:numPr>
                <w:ilvl w:val="0"/>
                <w:numId w:val="2"/>
              </w:numPr>
              <w:spacing w:after="30" w:before="30"/>
            </w:pPr>
            <w:r>
              <w:rPr>
                <w:rFonts w:ascii="Arial" w:cs="Arial" w:eastAsia="Arial" w:hAnsi="Arial"/>
                <w:color w:val="000000"/>
                <w:sz w:val="18"/>
                <w:szCs w:val="18"/>
              </w:rPr>
              <w:t xml:space="preserve">S1-04 §2 (Intended Use): 'AI / ML Components: Rule-based policy engine (no trained ML model at v1.0-rc).'</w:t>
            </w:r>
          </w:p>
          <w:p>
            <w:pPr>
              <w:pStyle w:val="ListParagraph"/>
              <w:numPr>
                <w:ilvl w:val="0"/>
                <w:numId w:val="2"/>
              </w:numPr>
              <w:spacing w:after="30" w:before="30"/>
            </w:pPr>
            <w:r>
              <w:rPr>
                <w:rFonts w:ascii="Arial" w:cs="Arial" w:eastAsia="Arial" w:hAnsi="Arial"/>
                <w:color w:val="000000"/>
                <w:sz w:val="18"/>
                <w:szCs w:val="18"/>
              </w:rPr>
              <w:t xml:space="preserve">GitHub repository audit (github.com/wholidi/NCAOS-Urielle): package.json dependencies include Zod (schema validation), Vitest (testing), React (UI), Node.js (runtime) — no AI API SDKs present.</w:t>
            </w:r>
          </w:p>
          <w:p>
            <w:pPr>
              <w:spacing w:after="4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Trigger conditions for re-assessment:</w:t>
            </w:r>
          </w:p>
          <w:p>
            <w:pPr>
              <w:pStyle w:val="ListParagraph"/>
              <w:numPr>
                <w:ilvl w:val="0"/>
                <w:numId w:val="2"/>
              </w:numPr>
              <w:spacing w:after="30" w:before="30"/>
            </w:pPr>
            <w:r>
              <w:rPr>
                <w:rFonts w:ascii="Arial" w:cs="Arial" w:eastAsia="Arial" w:hAnsi="Arial"/>
                <w:color w:val="000000"/>
                <w:sz w:val="18"/>
                <w:szCs w:val="18"/>
              </w:rPr>
              <w:t xml:space="preserve">Introduction of any AI inference API call (OpenAI, Anthropic, Google, AWS, etc.) in any future version.</w:t>
            </w:r>
          </w:p>
          <w:p>
            <w:pPr>
              <w:pStyle w:val="ListParagraph"/>
              <w:numPr>
                <w:ilvl w:val="0"/>
                <w:numId w:val="2"/>
              </w:numPr>
              <w:spacing w:after="30" w:before="30"/>
            </w:pPr>
            <w:r>
              <w:rPr>
                <w:rFonts w:ascii="Arial" w:cs="Arial" w:eastAsia="Arial" w:hAnsi="Arial"/>
                <w:color w:val="000000"/>
                <w:sz w:val="18"/>
                <w:szCs w:val="18"/>
              </w:rPr>
              <w:t xml:space="preserve">Introduction of any open-source AI model loaded at runtime.</w:t>
            </w:r>
          </w:p>
          <w:p>
            <w:pPr>
              <w:pStyle w:val="ListParagraph"/>
              <w:numPr>
                <w:ilvl w:val="0"/>
                <w:numId w:val="2"/>
              </w:numPr>
              <w:spacing w:after="30" w:before="30"/>
            </w:pPr>
            <w:r>
              <w:rPr>
                <w:rFonts w:ascii="Arial" w:cs="Arial" w:eastAsia="Arial" w:hAnsi="Arial"/>
                <w:color w:val="000000"/>
                <w:sz w:val="18"/>
                <w:szCs w:val="18"/>
              </w:rPr>
              <w:t xml:space="preserve">Embedding of the system in a cloud platform that includes AI services in its infrastructure layer.</w:t>
            </w:r>
          </w:p>
          <w:p>
            <w:pPr>
              <w:spacing w:after="0" w:before="60"/>
            </w:pPr>
            <w:r>
              <w:rPr>
                <w:rFonts w:ascii="Arial" w:cs="Arial" w:eastAsia="Arial" w:hAnsi="Arial"/>
                <w:b w:val="false"/>
                <w:bCs w:val="false"/>
                <w:color w:val="C00000"/>
                <w:sz w:val="18"/>
                <w:szCs w:val="18"/>
              </w:rPr>
              <w:t xml:space="preserve">If any of the above occurs: this document is superseded and a full provider-specific assessment (Section 5) is required before deployment.</w:t>
            </w:r>
          </w:p>
        </w:tc>
      </w:tr>
      <w:tr>
        <w:tc>
          <w:tcPr>
            <w:tcW w:type="dxa" w:w="936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pPr>
              <w:spacing w:after="30" w:before="80"/>
            </w:pPr>
            <w:r>
              <w:rPr>
                <w:rFonts w:ascii="Arial" w:cs="Arial" w:eastAsia="Arial" w:hAnsi="Arial"/>
                <w:b/>
                <w:bCs/>
                <w:color w:val="7D5A00"/>
                <w:sz w:val="17"/>
                <w:szCs w:val="17"/>
              </w:rPr>
              <w:t xml:space="preserve">[ Your Engagement — No Third-Party AI Declaration ]</w:t>
            </w:r>
          </w:p>
          <w:p>
            <w:pPr>
              <w:spacing w:after="80" w:before="0"/>
            </w:pPr>
            <w:r>
              <w:rPr>
                <w:rFonts w:ascii="Arial" w:cs="Arial" w:eastAsia="Arial" w:hAnsi="Arial"/>
                <w:b w:val="false"/>
                <w:bCs w:val="false"/>
                <w:color w:val="7D5A00"/>
                <w:sz w:val="18"/>
                <w:szCs w:val="18"/>
              </w:rPr>
              <w:t xml:space="preserve">[ If your system uses no third-party AI: state this explicitly with technical substantiation. Cite S2-01 §2 and S2-02 §2 as corroborating evidence. List the trigger conditions that would change this conclusion. ]</w:t>
            </w:r>
          </w:p>
          <w:p>
            <w:pPr>
              <w:spacing w:after="80" w:before="0"/>
            </w:pPr>
            <w:r>
              <w:rPr>
                <w:rFonts w:ascii="Arial" w:cs="Arial" w:eastAsia="Arial" w:hAnsi="Arial"/>
                <w:b w:val="false"/>
                <w:bCs w:val="false"/>
                <w:color w:val="7D5A00"/>
                <w:sz w:val="18"/>
                <w:szCs w:val="18"/>
              </w:rPr>
              <w:t xml:space="preserve">[ If your system DOES use third-party AI: skip this section and proceed to Section 5 (Provider-Specific Assessment). ]</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680"/>
        <w:gridCol w:w="1080"/>
        <w:gridCol w:w="2040"/>
        <w:gridCol w:w="720"/>
        <w:gridCol w:w="2880"/>
      </w:tblGrid>
      <w:tr>
        <w:tc>
          <w:tcPr>
            <w:tcW w:type="dxa" w:w="9360"/>
            <w:gridSpan w:val="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4 — BILATERAL / SUPPLY CHAIN PARTNER ASSESSMENT</w:t>
            </w:r>
          </w:p>
        </w:tc>
      </w:tr>
      <w:tr>
        <w:tc>
          <w:tcPr>
            <w:tcW w:type="dxa" w:w="9360"/>
            <w:gridSpan w:val="6"/>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Even when no third-party AI API is used, supply chain and bilateral partner risks must be assessed. This includes: co-developers who own shared architectural components, open-source maintainers of critical dependencies, and platform providers. For NCAOS-Urielle: Toru (NCAOS Japan) is assessed as the primary bilateral partner.</w:t>
            </w:r>
          </w:p>
        </w:tc>
      </w:tr>
      <w:tr>
        <w:tc>
          <w:tcPr>
            <w:tcW w:type="dxa" w:w="96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Area</w:t>
            </w:r>
          </w:p>
        </w:tc>
        <w:tc>
          <w:tcPr>
            <w:tcW w:type="dxa" w:w="168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Assessment Question</w:t>
            </w:r>
          </w:p>
        </w:tc>
        <w:tc>
          <w:tcPr>
            <w:tcW w:type="dxa" w:w="108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Answer</w:t>
            </w:r>
          </w:p>
        </w:tc>
        <w:tc>
          <w:tcPr>
            <w:tcW w:type="dxa" w:w="20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Detail</w:t>
            </w:r>
          </w:p>
        </w:tc>
        <w:tc>
          <w:tcPr>
            <w:tcW w:type="dxa" w:w="72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Risk</w:t>
            </w:r>
          </w:p>
        </w:tc>
        <w:tc>
          <w:tcPr>
            <w:tcW w:type="dxa" w:w="288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Engagement ]</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Partner Identity</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Who is the bilateral / supply-chain partner? What is their role?</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Toru (NCAOS Japan)</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Research validation partner. Owns Boundary Governance Layer (BGL) design and AuditSignal semantics (ADR-006). Phase 07 independent reviewer. Not an operational dependency — no runtime dependency on NCAOS Japan infrastructure.</w:t>
            </w:r>
          </w:p>
        </w:tc>
        <w:tc>
          <w:tcPr>
            <w:tcW w:type="dxa" w:w="7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5"/>
                <w:szCs w:val="15"/>
              </w:rPr>
              <w:t xml:space="preserve">LOW</w:t>
            </w:r>
          </w:p>
        </w:tc>
        <w:tc>
          <w:tcPr>
            <w:tcW w:type="dxa" w:w="288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[Partner name / organisation / role / country of operation]</w:t>
            </w:r>
          </w:p>
        </w:tc>
      </w:tr>
      <w:tr>
        <w:tc>
          <w:tcPr>
            <w:tcW w:type="dxa" w:w="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Contractual Basis</w:t>
            </w:r>
          </w:p>
        </w:tc>
        <w:tc>
          <w:tcPr>
            <w:tcW w:type="dxa" w:w="1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Is there a formal agreement governing the relationship?</w:t>
            </w:r>
          </w:p>
        </w:tc>
        <w:tc>
          <w:tcPr>
            <w:tcW w:type="dxa" w:w="1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YES — Bilateral NDA</w:t>
            </w:r>
          </w:p>
        </w:tc>
        <w:tc>
          <w:tcPr>
            <w:tcW w:type="dxa" w:w="20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Bilateral NDA between Urielle AI (William Hartono) and NCAOS Japan (Toru). Covers: IP separation, derivative works ownership, right of first negotiation for SEA market, independent development freedom.</w:t>
            </w:r>
          </w:p>
        </w:tc>
        <w:tc>
          <w:tcPr>
            <w:tcW w:type="dxa" w:w="7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5"/>
                <w:szCs w:val="15"/>
              </w:rPr>
              <w:t xml:space="preserve">LOW</w:t>
            </w:r>
          </w:p>
        </w:tc>
        <w:tc>
          <w:tcPr>
            <w:tcW w:type="dxa" w:w="288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 describe agreement type (NDA / DPA / API terms / SLA) / NO — flag as risk requiring remediation]</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IP Ownership</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Are shared architectural components or AI outputs clearly owned?</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YES — documented</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ADR-001 to ADR-008 document architectural decisions. IP separation in bilateral NDA: Urielle AI owns @ncaos/* audit package; NCAOS Japan owns BGL and AuditSignal semantics. No ambiguity.</w:t>
            </w:r>
          </w:p>
        </w:tc>
        <w:tc>
          <w:tcPr>
            <w:tcW w:type="dxa" w:w="7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5"/>
                <w:szCs w:val="15"/>
              </w:rPr>
              <w:t xml:space="preserve">LOW</w:t>
            </w:r>
          </w:p>
        </w:tc>
        <w:tc>
          <w:tcPr>
            <w:tcW w:type="dxa" w:w="288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[Are IP ownership and derivative works rights clearly documented? Is there any shared training data that creates co-ownership?]</w:t>
            </w:r>
          </w:p>
        </w:tc>
      </w:tr>
      <w:tr>
        <w:tc>
          <w:tcPr>
            <w:tcW w:type="dxa" w:w="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Data Handling</w:t>
            </w:r>
          </w:p>
        </w:tc>
        <w:tc>
          <w:tcPr>
            <w:tcW w:type="dxa" w:w="1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What data is shared with the bilateral partner? Under what terms?</w:t>
            </w:r>
          </w:p>
        </w:tc>
        <w:tc>
          <w:tcPr>
            <w:tcW w:type="dxa" w:w="1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Design/architecture documents only</w:t>
            </w:r>
          </w:p>
        </w:tc>
        <w:tc>
          <w:tcPr>
            <w:tcW w:type="dxa" w:w="20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production tenant data is shared with Toru. Phase 07 demo used synthetic test data only. Bilateral NDA governs confidentiality of shared technical documents.</w:t>
            </w:r>
          </w:p>
        </w:tc>
        <w:tc>
          <w:tcPr>
            <w:tcW w:type="dxa" w:w="7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5"/>
                <w:szCs w:val="15"/>
              </w:rPr>
              <w:t xml:space="preserve">LOW</w:t>
            </w:r>
          </w:p>
        </w:tc>
        <w:tc>
          <w:tcPr>
            <w:tcW w:type="dxa" w:w="288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[What data is shared: training data / inference logs / user data / system outputs? Under what agreement? What is the partner's data retention policy?]</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Dependency Risk</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What happens to NCAOS-Urielle if the bilateral partner is unavailable?</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LOW dependency</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NCAOS-Urielle enforcement engine (@ncaos/shell) operates independently of Toru. All ADR decisions are documented in GitHub. No runtime call to NCAOS Japan infrastructure. Assessed in S5-02 R-BIL-01.</w:t>
            </w:r>
          </w:p>
        </w:tc>
        <w:tc>
          <w:tcPr>
            <w:tcW w:type="dxa" w:w="7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5"/>
                <w:szCs w:val="15"/>
              </w:rPr>
              <w:t xml:space="preserve">LOW</w:t>
            </w:r>
          </w:p>
        </w:tc>
        <w:tc>
          <w:tcPr>
            <w:tcW w:type="dxa" w:w="288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[What is the impact if the partner is unavailable? Is there a fallback? Is there a single point of failure?]</w:t>
            </w:r>
          </w:p>
        </w:tc>
      </w:tr>
      <w:tr>
        <w:tc>
          <w:tcPr>
            <w:tcW w:type="dxa" w:w="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Regulatory Compliance</w:t>
            </w:r>
          </w:p>
        </w:tc>
        <w:tc>
          <w:tcPr>
            <w:tcW w:type="dxa" w:w="1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Does the partner operate equivalent AI governance standards?</w:t>
            </w:r>
          </w:p>
        </w:tc>
        <w:tc>
          <w:tcPr>
            <w:tcW w:type="dxa" w:w="1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AFFIRMED</w:t>
            </w:r>
          </w:p>
        </w:tc>
        <w:tc>
          <w:tcPr>
            <w:tcW w:type="dxa" w:w="20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Toru (NCAOS Japan) operates in Japan. Japanese AI governance guidelines (AI Strategy Council) and industry AI governance frameworks applicable. Bilateral NDA includes commitment to equivalent governance standards.</w:t>
            </w:r>
          </w:p>
        </w:tc>
        <w:tc>
          <w:tcPr>
            <w:tcW w:type="dxa" w:w="7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5"/>
                <w:szCs w:val="15"/>
              </w:rPr>
              <w:t xml:space="preserve">LOW</w:t>
            </w:r>
          </w:p>
        </w:tc>
        <w:tc>
          <w:tcPr>
            <w:tcW w:type="dxa" w:w="288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[What regulatory framework does the partner operate under? Have they provided evidence of compliance? Is there a right to audit?]</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Open-Source Dependencies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Are critical open-source packages maintained by parties whose governance is unknown?</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Assessed</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Critical dependencies: Zod (schema validation — MIT licence, actively maintained), Vitest (testing — MIT), React (MIT, Meta-maintained), Node.js (OpenJS Foundation). All major, actively-maintained open-source projects with transparent governance.</w:t>
            </w:r>
          </w:p>
        </w:tc>
        <w:tc>
          <w:tcPr>
            <w:tcW w:type="dxa" w:w="7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5"/>
                <w:szCs w:val="15"/>
              </w:rPr>
              <w:t xml:space="preserve">LOW</w:t>
            </w:r>
          </w:p>
        </w:tc>
        <w:tc>
          <w:tcPr>
            <w:tcW w:type="dxa" w:w="288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[For each critical dependency: who maintains it? Is it actively maintained? What is the licence? Is the supply chain audited (SLSA / SBOM)?]</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5 — PROVIDER-SPECIFIC ASSESSMENT BLOCKS (Complete one block per third-party AI provider)</w:t>
            </w:r>
          </w:p>
        </w:tc>
      </w:tr>
      <w:tr>
        <w:tc>
          <w:tcPr>
            <w:tcW w:type="dxa" w:w="9360"/>
            <w:gridSpan w:val="1"/>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NCAOS-Urielle: NOT APPLICABLE — no third-party AI provider. The blocks below are TEMPLATES for systems that do use OpenAI, Anthropic, Google, AWS, or other AI providers. Copy the relevant block for each provider used. Delete inapplicable blocks. Do not leave blocks blank — either complete or delete them.</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2E75B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PROVIDER BLOCK A — OPENAI (GPT-4, GPT-4o, GPT-3.5, DALL-E, Whisper, etc.)</w:t>
            </w:r>
          </w:p>
        </w:tc>
      </w:tr>
      <w:tr>
        <w:tc>
          <w:tcPr>
            <w:tcW w:type="dxa" w:w="9360"/>
            <w:gridSpan w:val="3"/>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NOT APPLICABLE to NCAOS-Urielle. Template for systems using OpenAI APIs. Assess Terms of Use, data handling, model limitations, and API reliability before deployment. Review date: check OpenAI policy at the time of your assessment — policies change frequently.</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Assessment Area</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System — Complete for OpenAI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Model/API Used</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[GPT-4o / GPT-4-turbo / GPT-3.5-turbo / DALL-E 3 / Whisper / Embeddings — specific version and endpoint]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Terms of Use Reviewed</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 cite ToU version and date reviewed / NO — must be reviewed before deployment]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Data Training Opt-Out</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 opted out of training (API usage is not used for training by default since Mar 2023) / CONFIRMED — verify current policy at openai.com/policies]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Data Retention by OpenAI</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[OpenAI retains API inputs/outputs for up to 30 days for abuse monitoring by default. Zero-data retention available under Enterprise agreement. State which applies.]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Personal Data Sent to API</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(describe categories + legal basis) / NO / PSEUDONYMISED — describe approach. If YES: DPA with OpenAI required under GDPR.]</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Data Processing Agreement</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 DPA in place with OpenAI (Enterprise or via openai.com/policies/data-processing-addendum) / NO — required if personal data sent]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Known Model Limitations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[Hallucination rate / knowledge cutoff date / language bias / reasoning limitations / safety filter behaviour / rate limits. Source: OpenAI Model Card or System Card for the specific model.]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Bias Assessment of Model</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[OpenAI publishes bias evaluations for GPT models. State: model evaluated / evaluation date / key bias findings / how your system mitigates these biases. Cross-reference S2-04.]</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API Reliability and SLA</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[OpenAI SLA for API: 99.5% uptime target (Enterprise). State: SLA applicable / last known uptime / fallback if API unavailable.]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EU AI Act Compliance</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[OpenAI's compliance position under EU AI Act. GPT-4 is a GPAI model with systemic risk designation (&gt;10^25 FLOPs). OpenAI has filed model card with EU AI Office. State implications for your use case.]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Alternative Due Diligence / Questionnaire</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[Attach or reference: OpenAI security questionnaire responses, SOC 2 Type II report (available under NDA), EU AI Act model card, or Anthropic / Google equivalent. Date of documents.]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Risk Assessment (Inherent)</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[Rate: HIGH / MEDIUM / LOW. Basis: volume of data sent / sensitivity of prompts / reliance on model for high-stakes decisions / availability of fallback]</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Residual Risk (after mitigations)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[Rate after mitigations: output filtering / human review / DPA in place / zero-data retention / prompt sanitisation]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2E75B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PROVIDER BLOCK B — ANTHROPIC (Claude 3, Claude Sonnet, Claude Haiku, Claude Opus, etc.)</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Assessment Area</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System — Complete for Anthropic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Model/API Used</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[claude-3-5-sonnet / claude-3-opus / claude-3-haiku / claude-2 — specific version and API endpoint]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Terms of Use Reviewed</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 Anthropic Usage Policy reviewed (anthropic.com/legal) / date reviewed]</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Data Training Policy</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[Anthropic API: inputs/outputs not used to train models by default. Verify current policy. Enterprise agreements may include additional guarantees.]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Data Retention</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[Anthropic standard: may store API conversations up to 30 days for safety purposes. Zero retention available via Enterprise. State which applies.]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Personal Data and DPA</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[If personal data sent: DPA required. Anthropic offers DPA for Enterprise customers. State: personal data in prompts (YES/NO) and DPA status.]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Model Card / Known Limitations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[Anthropic publishes model cards and Constitutional AI methodology documentation. Review: knowledge cutoff / hallucination behaviour / refusal patterns / reasoning limitations. Source: anthropic.com/model-card or equivalent.]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EU AI Act / GPAI Status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[Claude 3 Opus likely meets GPAI systemic risk threshold. Anthropic is cooperating with EU AI Office. State implications for use case and whether your deployment creates High-Risk application.]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Risk Assessment</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[Inherent risk rating + residual risk rating after mitigations]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2E75B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PROVIDER BLOCK C — GOOGLE (Gemini, Vertex AI, PaLM, Imagen, etc.) / AWS (Bedrock, SageMaker, Rekognition) / AZURE (OpenAI Service, Cognitive Services)</w:t>
            </w:r>
          </w:p>
        </w:tc>
      </w:tr>
      <w:tr>
        <w:tc>
          <w:tcPr>
            <w:tcW w:type="dxa" w:w="9360"/>
            <w:gridSpan w:val="3"/>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Adapt the assessment fields from Provider Block A / B for each provider. Key differences: Google Cloud DPA covers GDPR compliance; AWS Bedrock does not train on customer data by default; Azure OpenAI Service includes DPA in Microsoft Online Services Terms. Always verify current policy at time of assessment — not at document creation.</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Assessment Area</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System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Provider / Model / API Used</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[Provider / specific model version / API endpoint]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ToU / Data Policy Reviewed</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[Policy document title and version / date reviewed / key terms relevant to your use case]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Data Training and Retention</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[Does this provider train on your data? What is the data retention period? How is data deleted?]</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DPA / Legal Framework</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[DPA in place? Jurisdiction of processing? SCCs for EU-US transfers?]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Known Limitations and Bias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[Model card reference / key known limitations / bias evaluations / safety system description]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Risk Rating</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[Inherent risk / mitigations / residual risk]</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440"/>
        <w:gridCol w:w="1440"/>
        <w:gridCol w:w="1440"/>
        <w:gridCol w:w="1440"/>
      </w:tblGrid>
      <w:tr>
        <w:tc>
          <w:tcPr>
            <w:tcW w:type="dxa" w:w="9360"/>
            <w:gridSpan w:val="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6 — CONSOLIDATED THIRD-PARTY RISK SUMMARY</w:t>
            </w:r>
          </w:p>
        </w:tc>
      </w:tr>
      <w:tr>
        <w:tc>
          <w:tcPr>
            <w:tcW w:type="dxa" w:w="9360"/>
            <w:gridSpan w:val="6"/>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Summarise the risk assessment outcome for all third-party dependencies identified in Sections 2–5. For NCAOS-Urielle: no AI API dependencies, bilateral partner assessed as LOW risk. For new engagements: one row per provider/dependency.</w:t>
            </w:r>
          </w:p>
        </w:tc>
      </w:tr>
      <w:tr>
        <w:tc>
          <w:tcPr>
            <w:tcW w:type="dxa" w:w="14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Dependency / Provider</w:t>
            </w:r>
          </w:p>
        </w:tc>
        <w:tc>
          <w:tcPr>
            <w:tcW w:type="dxa" w:w="216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Dependency Type</w:t>
            </w:r>
          </w:p>
        </w:tc>
        <w:tc>
          <w:tcPr>
            <w:tcW w:type="dxa" w:w="14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Inherent Risk</w:t>
            </w:r>
          </w:p>
        </w:tc>
        <w:tc>
          <w:tcPr>
            <w:tcW w:type="dxa" w:w="14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Controls Applied</w:t>
            </w:r>
          </w:p>
        </w:tc>
        <w:tc>
          <w:tcPr>
            <w:tcW w:type="dxa" w:w="14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Residual Risk</w:t>
            </w:r>
          </w:p>
        </w:tc>
        <w:tc>
          <w:tcPr>
            <w:tcW w:type="dxa" w:w="14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Owner / Review Date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No third-party AI API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AI Inference API</w:t>
            </w:r>
          </w:p>
        </w:tc>
        <w:tc>
          <w:tcPr>
            <w:tcW w:type="dxa" w:w="14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jc w:val="center"/>
            </w:pPr>
            <w:r>
              <w:rPr>
                <w:rFonts w:ascii="Arial" w:cs="Arial" w:eastAsia="Arial" w:hAnsi="Arial"/>
                <w:b/>
                <w:bCs/>
                <w:color w:val="2E75B6"/>
                <w:sz w:val="16"/>
                <w:szCs w:val="16"/>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Explicit design decision to exclude AI API dependencies. Verified via S2-01/S2-02 and package.json audit.</w:t>
            </w:r>
          </w:p>
        </w:tc>
        <w:tc>
          <w:tcPr>
            <w:tcW w:type="dxa" w:w="14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jc w:val="center"/>
            </w:pPr>
            <w:r>
              <w:rPr>
                <w:rFonts w:ascii="Arial" w:cs="Arial" w:eastAsia="Arial" w:hAnsi="Arial"/>
                <w:b/>
                <w:bCs/>
                <w:color w:val="2E75B6"/>
                <w:sz w:val="16"/>
                <w:szCs w:val="16"/>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W. Hartono — Jun 2026</w:t>
            </w:r>
          </w:p>
        </w:tc>
      </w:tr>
      <w:tr>
        <w:tc>
          <w:tcPr>
            <w:tcW w:type="dxa" w:w="14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Toru / NCAOS Japan (bilateral)</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Research partner / co-architect</w:t>
            </w:r>
          </w:p>
        </w:tc>
        <w:tc>
          <w:tcPr>
            <w:tcW w:type="dxa" w:w="144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LOW (3×1=3)</w:t>
            </w:r>
          </w:p>
        </w:tc>
        <w:tc>
          <w:tcPr>
            <w:tcW w:type="dxa" w:w="14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Bilateral NDA with IP separation. ADR-006 independently documented. No runtime dependency.</w:t>
            </w:r>
          </w:p>
        </w:tc>
        <w:tc>
          <w:tcPr>
            <w:tcW w:type="dxa" w:w="144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pPr>
              <w:jc w:val="center"/>
            </w:pPr>
            <w:r>
              <w:rPr>
                <w:rFonts w:ascii="Arial" w:cs="Arial" w:eastAsia="Arial" w:hAnsi="Arial"/>
                <w:b/>
                <w:bCs/>
                <w:color w:val="C00000"/>
                <w:sz w:val="16"/>
                <w:szCs w:val="16"/>
              </w:rPr>
              <w:t xml:space="preserve">LOW (1×1=1)</w:t>
            </w:r>
          </w:p>
        </w:tc>
        <w:tc>
          <w:tcPr>
            <w:tcW w:type="dxa" w:w="14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W. Hartono — Dec 2026</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Zod (npm)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Critical dependency — schema validation</w:t>
            </w:r>
          </w:p>
        </w:tc>
        <w:tc>
          <w:tcPr>
            <w:tcW w:type="dxa" w:w="14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MIT licence. Actively maintained. Weekly CVE scan (D-03). 2 CVEs patched in 90-day period.</w:t>
            </w:r>
          </w:p>
        </w:tc>
        <w:tc>
          <w:tcPr>
            <w:tcW w:type="dxa" w:w="14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W. Hartono — Dec 2026</w:t>
            </w:r>
          </w:p>
        </w:tc>
      </w:tr>
      <w:tr>
        <w:tc>
          <w:tcPr>
            <w:tcW w:type="dxa" w:w="14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Node.js runtime (npm)</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Runtime — OpenJS Foundation</w:t>
            </w:r>
          </w:p>
        </w:tc>
        <w:tc>
          <w:tcPr>
            <w:tcW w:type="dxa" w:w="14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LOW</w:t>
            </w:r>
          </w:p>
        </w:tc>
        <w:tc>
          <w:tcPr>
            <w:tcW w:type="dxa" w:w="14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LTS version used. OpenJS Foundation governance. Weekly security advisory monitoring.</w:t>
            </w:r>
          </w:p>
        </w:tc>
        <w:tc>
          <w:tcPr>
            <w:tcW w:type="dxa" w:w="14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LOW</w:t>
            </w:r>
          </w:p>
        </w:tc>
        <w:tc>
          <w:tcPr>
            <w:tcW w:type="dxa" w:w="14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W. Hartono — Dec 2026</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React (npm)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UI dependency — Meta-maintained</w:t>
            </w:r>
          </w:p>
        </w:tc>
        <w:tc>
          <w:tcPr>
            <w:tcW w:type="dxa" w:w="14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MIT licence. Dev dependency in production build only in UI component. 1 Medium CVE accepted (dev-only).</w:t>
            </w:r>
          </w:p>
        </w:tc>
        <w:tc>
          <w:tcPr>
            <w:tcW w:type="dxa" w:w="14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W. Hartono — Dec 2026</w:t>
            </w:r>
          </w:p>
        </w:tc>
      </w:tr>
      <w:tr>
        <w:tc>
          <w:tcPr>
            <w:tcW w:type="dxa" w:w="144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[Provider / dependency name]</w:t>
            </w:r>
          </w:p>
        </w:tc>
        <w:tc>
          <w:tcPr>
            <w:tcW w:type="dxa" w:w="216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[Type: AI API / Cloud AI / Open-source model / npm dep / bilateral partner]</w:t>
            </w:r>
          </w:p>
        </w:tc>
        <w:tc>
          <w:tcPr>
            <w:tcW w:type="dxa" w:w="144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[HIGH / MEDIUM / LOW]</w:t>
            </w:r>
          </w:p>
        </w:tc>
        <w:tc>
          <w:tcPr>
            <w:tcW w:type="dxa" w:w="144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[Controls applied — DPA / data minimisation / output filtering / rate limiting]</w:t>
            </w:r>
          </w:p>
        </w:tc>
        <w:tc>
          <w:tcPr>
            <w:tcW w:type="dxa" w:w="144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[HIGH / MEDIUM / LOW]</w:t>
            </w:r>
          </w:p>
        </w:tc>
        <w:tc>
          <w:tcPr>
            <w:tcW w:type="dxa" w:w="144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[Named owner + next review date]</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7 — ASSESSMENT LEAD ATTESTATION</w:t>
            </w:r>
          </w:p>
        </w:tc>
      </w:tr>
      <w:tr>
        <w:tc>
          <w:tcPr>
            <w:tcW w:type="dxa" w:w="9360"/>
            <w:tcBorders>
              <w:top w:val="single" w:color="1F4E79" w:sz="4"/>
              <w:left w:val="single" w:color="1F4E79" w:sz="4"/>
              <w:bottom w:val="single" w:color="1F4E79" w:sz="4"/>
              <w:right w:val="single" w:color="1F4E79" w:sz="4"/>
            </w:tcBorders>
            <w:shd w:fill="F0F7FF" w:val="clear"/>
            <w:tcMar>
              <w:top w:type="dxa" w:w="140"/>
              <w:left w:type="dxa" w:w="200"/>
              <w:bottom w:type="dxa" w:w="140"/>
              <w:right w:type="dxa" w:w="200"/>
            </w:tcMar>
          </w:tcPr>
          <w:p>
            <w:pPr>
              <w:spacing w:after="80" w:before="0"/>
            </w:pPr>
            <w:r>
              <w:rPr>
                <w:rFonts w:ascii="Arial" w:cs="Arial" w:eastAsia="Arial" w:hAnsi="Arial"/>
                <w:b w:val="false"/>
                <w:bCs w:val="false"/>
                <w:color w:val="000000"/>
                <w:sz w:val="18"/>
                <w:szCs w:val="18"/>
              </w:rPr>
              <w:t xml:space="preserve">I, the named assessment lead below, certify that:</w:t>
            </w:r>
          </w:p>
          <w:p>
            <w:pPr>
              <w:pStyle w:val="ListParagraph"/>
              <w:numPr>
                <w:ilvl w:val="0"/>
                <w:numId w:val="2"/>
              </w:numPr>
              <w:spacing w:after="20" w:before="20"/>
            </w:pPr>
            <w:r>
              <w:rPr>
                <w:rFonts w:ascii="Arial" w:cs="Arial" w:eastAsia="Arial" w:hAnsi="Arial"/>
                <w:sz w:val="18"/>
                <w:szCs w:val="18"/>
              </w:rPr>
              <w:t xml:space="preserve">The third-party AI dependency inventory in Section 2 is complete — all known AI model, API, and platform dependencies have been identified and listed.</w:t>
            </w:r>
          </w:p>
          <w:p>
            <w:pPr>
              <w:pStyle w:val="ListParagraph"/>
              <w:numPr>
                <w:ilvl w:val="0"/>
                <w:numId w:val="2"/>
              </w:numPr>
              <w:spacing w:after="20" w:before="20"/>
            </w:pPr>
            <w:r>
              <w:rPr>
                <w:rFonts w:ascii="Arial" w:cs="Arial" w:eastAsia="Arial" w:hAnsi="Arial"/>
                <w:sz w:val="18"/>
                <w:szCs w:val="18"/>
              </w:rPr>
              <w:t xml:space="preserve">For systems with no third-party AI: the No Third-Party AI Declaration in Section 3 is substantiated by the referenced technical documentation, not merely asserted.</w:t>
            </w:r>
          </w:p>
          <w:p>
            <w:pPr>
              <w:pStyle w:val="ListParagraph"/>
              <w:numPr>
                <w:ilvl w:val="0"/>
                <w:numId w:val="2"/>
              </w:numPr>
              <w:spacing w:after="20" w:before="20"/>
            </w:pPr>
            <w:r>
              <w:rPr>
                <w:rFonts w:ascii="Arial" w:cs="Arial" w:eastAsia="Arial" w:hAnsi="Arial"/>
                <w:sz w:val="18"/>
                <w:szCs w:val="18"/>
              </w:rPr>
              <w:t xml:space="preserve">For systems with third-party AI: the provider-specific assessments in Section 5 were conducted using actual provider documentation (terms of use, model cards, data processing agreements) in effect at the assessment date — not general knowledge.</w:t>
            </w:r>
          </w:p>
          <w:p>
            <w:pPr>
              <w:pStyle w:val="ListParagraph"/>
              <w:numPr>
                <w:ilvl w:val="0"/>
                <w:numId w:val="2"/>
              </w:numPr>
              <w:spacing w:after="20" w:before="20"/>
            </w:pPr>
            <w:r>
              <w:rPr>
                <w:rFonts w:ascii="Arial" w:cs="Arial" w:eastAsia="Arial" w:hAnsi="Arial"/>
                <w:sz w:val="18"/>
                <w:szCs w:val="18"/>
              </w:rPr>
              <w:t xml:space="preserve">The risk ratings in Section 6 reflect genuine assessment — not ratings adjusted to appear lower than actual risk.</w:t>
            </w:r>
          </w:p>
          <w:p>
            <w:pPr>
              <w:pStyle w:val="ListParagraph"/>
              <w:numPr>
                <w:ilvl w:val="0"/>
                <w:numId w:val="2"/>
              </w:numPr>
              <w:spacing w:after="20" w:before="20"/>
            </w:pPr>
            <w:r>
              <w:rPr>
                <w:rFonts w:ascii="Arial" w:cs="Arial" w:eastAsia="Arial" w:hAnsi="Arial"/>
                <w:sz w:val="18"/>
                <w:szCs w:val="18"/>
              </w:rPr>
              <w:t xml:space="preserve">This assessment will be repeated when: a new third-party AI provider is added, an existing provider materially changes its terms, or the system's use of a provider materially expands.</w:t>
            </w:r>
          </w:p>
          <w:p>
            <w:pPr>
              <w:pStyle w:val="ListParagraph"/>
              <w:numPr>
                <w:ilvl w:val="0"/>
                <w:numId w:val="2"/>
              </w:numPr>
              <w:spacing w:after="20" w:before="20"/>
            </w:pPr>
            <w:r>
              <w:rPr>
                <w:rFonts w:ascii="Arial" w:cs="Arial" w:eastAsia="Arial" w:hAnsi="Arial"/>
                <w:sz w:val="18"/>
                <w:szCs w:val="18"/>
              </w:rPr>
              <w:t xml:space="preserve">This document is submitted as Evidence Item S5-04 in response to the Urielle AI Evidence Request.</w:t>
            </w:r>
          </w:p>
          <w:p>
            <w:pPr>
              <w:spacing w:after="0" w:before="40"/>
            </w:pPr>
            <w:r>
              <w:rPr>
                <w:rFonts w:ascii="Arial" w:cs="Arial" w:eastAsia="Arial" w:hAnsi="Arial"/>
                <w:b w:val="false"/>
                <w:bCs w:val="false"/>
                <w:color w:val="000000"/>
                <w:sz w:val="18"/>
                <w:szCs w:val="18"/>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60" w:before="0"/>
                  </w:pPr>
                  <w:r>
                    <w:rPr>
                      <w:rFonts w:ascii="Arial" w:cs="Arial" w:eastAsia="Arial" w:hAnsi="Arial"/>
                      <w:b/>
                      <w:bCs/>
                      <w:color w:val="1F4E79"/>
                      <w:sz w:val="18"/>
                      <w:szCs w:val="18"/>
                    </w:rPr>
                    <w:t xml:space="preserve">NCAOS-Urielle Reference</w:t>
                  </w:r>
                </w:p>
                <w:p>
                  <w:pPr>
                    <w:spacing w:after="40" w:before="40"/>
                  </w:pPr>
                  <w:r>
                    <w:rPr>
                      <w:rFonts w:ascii="Arial" w:cs="Arial" w:eastAsia="Arial" w:hAnsi="Arial"/>
                      <w:b/>
                      <w:bCs/>
                      <w:color w:val="1F7A3A"/>
                      <w:sz w:val="18"/>
                      <w:szCs w:val="18"/>
                    </w:rPr>
                    <w:t xml:space="preserve">Third-party AI: NONE</w:t>
                  </w:r>
                </w:p>
                <w:p>
                  <w:pPr>
                    <w:spacing w:after="40" w:before="0"/>
                  </w:pPr>
                  <w:r>
                    <w:rPr>
                      <w:rFonts w:ascii="Arial" w:cs="Arial" w:eastAsia="Arial" w:hAnsi="Arial"/>
                      <w:b w:val="false"/>
                      <w:bCs w:val="false"/>
                      <w:color w:val="000000"/>
                      <w:sz w:val="18"/>
                      <w:szCs w:val="18"/>
                    </w:rPr>
                    <w:t xml:space="preserve">Name:    William Hartono</w:t>
                  </w:r>
                </w:p>
                <w:p>
                  <w:pPr>
                    <w:spacing w:after="40" w:before="0"/>
                  </w:pPr>
                  <w:r>
                    <w:rPr>
                      <w:rFonts w:ascii="Arial" w:cs="Arial" w:eastAsia="Arial" w:hAnsi="Arial"/>
                      <w:b w:val="false"/>
                      <w:bCs w:val="false"/>
                      <w:color w:val="000000"/>
                      <w:sz w:val="18"/>
                      <w:szCs w:val="18"/>
                    </w:rPr>
                    <w:t xml:space="preserve">Title:   Founder, Urielle AI / FHCA</w:t>
                  </w:r>
                </w:p>
                <w:p>
                  <w:pPr>
                    <w:spacing w:after="40" w:before="0"/>
                  </w:pPr>
                  <w:r>
                    <w:rPr>
                      <w:rFonts w:ascii="Arial" w:cs="Arial" w:eastAsia="Arial" w:hAnsi="Arial"/>
                      <w:b w:val="false"/>
                      <w:bCs w:val="false"/>
                      <w:color w:val="000000"/>
                      <w:sz w:val="18"/>
                      <w:szCs w:val="18"/>
                    </w:rPr>
                    <w:t xml:space="preserve">Signed:  ___________________________</w:t>
                  </w:r>
                </w:p>
                <w:p>
                  <w:pPr>
                    <w:spacing w:after="0" w:before="0"/>
                  </w:pPr>
                  <w:r>
                    <w:rPr>
                      <w:rFonts w:ascii="Arial" w:cs="Arial" w:eastAsia="Arial" w:hAnsi="Arial"/>
                      <w:b w:val="false"/>
                      <w:bCs w:val="false"/>
                      <w:color w:val="000000"/>
                      <w:sz w:val="18"/>
                      <w:szCs w:val="18"/>
                    </w:rPr>
                    <w:t xml:space="preserve">Date:    ___________________________</w:t>
                  </w:r>
                </w:p>
              </w:tc>
              <w:tc>
                <w:tcPr>
                  <w:tcW w:type="dxa" w:w="4480"/>
                  <w:tcBorders>
                    <w:top w:val="dashed" w:color="999999" w:sz="2"/>
                    <w:left w:val="dashed" w:color="999999" w:sz="2"/>
                    <w:bottom w:val="dashed" w:color="999999" w:sz="2"/>
                    <w:right w:val="dashed" w:color="999999" w:sz="2"/>
                  </w:tcBorders>
                  <w:shd w:fill="FFFDE7" w:val="clear"/>
                  <w:tcMar>
                    <w:top w:type="dxa" w:w="80"/>
                    <w:left w:type="dxa" w:w="100"/>
                    <w:bottom w:type="dxa" w:w="80"/>
                    <w:right w:type="dxa" w:w="100"/>
                  </w:tcMar>
                </w:tcPr>
                <w:p>
                  <w:pPr>
                    <w:spacing w:after="60" w:before="0"/>
                  </w:pPr>
                  <w:r>
                    <w:rPr>
                      <w:rFonts w:ascii="Arial" w:cs="Arial" w:eastAsia="Arial" w:hAnsi="Arial"/>
                      <w:b/>
                      <w:bCs/>
                      <w:color w:val="7D5A00"/>
                      <w:sz w:val="18"/>
                      <w:szCs w:val="18"/>
                    </w:rPr>
                    <w:t xml:space="preserve">[ Your Engagement — Replace ]</w:t>
                  </w:r>
                </w:p>
                <w:p>
                  <w:pPr>
                    <w:spacing w:after="40" w:before="40"/>
                  </w:pPr>
                  <w:r>
                    <w:rPr>
                      <w:rFonts w:ascii="Arial" w:cs="Arial" w:eastAsia="Arial" w:hAnsi="Arial"/>
                      <w:b w:val="false"/>
                      <w:bCs w:val="false"/>
                      <w:color w:val="7D5A00"/>
                      <w:sz w:val="18"/>
                      <w:szCs w:val="18"/>
                    </w:rPr>
                    <w:t xml:space="preserve">Third-party AI: [NONE / list providers]</w:t>
                  </w:r>
                </w:p>
                <w:p>
                  <w:pPr>
                    <w:spacing w:after="40" w:before="0"/>
                  </w:pPr>
                  <w:r>
                    <w:rPr>
                      <w:rFonts w:ascii="Arial" w:cs="Arial" w:eastAsia="Arial" w:hAnsi="Arial"/>
                      <w:b w:val="false"/>
                      <w:bCs w:val="false"/>
                      <w:color w:val="7D5A00"/>
                      <w:sz w:val="18"/>
                      <w:szCs w:val="18"/>
                    </w:rPr>
                    <w:t xml:space="preserve">Name:    [Full Name]</w:t>
                  </w:r>
                </w:p>
                <w:p>
                  <w:pPr>
                    <w:spacing w:after="40" w:before="0"/>
                  </w:pPr>
                  <w:r>
                    <w:rPr>
                      <w:rFonts w:ascii="Arial" w:cs="Arial" w:eastAsia="Arial" w:hAnsi="Arial"/>
                      <w:b w:val="false"/>
                      <w:bCs w:val="false"/>
                      <w:color w:val="7D5A00"/>
                      <w:sz w:val="18"/>
                      <w:szCs w:val="18"/>
                    </w:rPr>
                    <w:t xml:space="preserve">Title:   [Title, Organisation]</w:t>
                  </w:r>
                </w:p>
                <w:p>
                  <w:pPr>
                    <w:spacing w:after="40" w:before="0"/>
                  </w:pPr>
                  <w:r>
                    <w:rPr>
                      <w:rFonts w:ascii="Arial" w:cs="Arial" w:eastAsia="Arial" w:hAnsi="Arial"/>
                      <w:b w:val="false"/>
                      <w:bCs w:val="false"/>
                      <w:color w:val="7D5A00"/>
                      <w:sz w:val="18"/>
                      <w:szCs w:val="18"/>
                    </w:rPr>
                    <w:t xml:space="preserve">Signed:  ___________________________</w:t>
                  </w:r>
                </w:p>
                <w:p>
                  <w:pPr>
                    <w:spacing w:after="0" w:before="0"/>
                  </w:pPr>
                  <w:r>
                    <w:rPr>
                      <w:rFonts w:ascii="Arial" w:cs="Arial" w:eastAsia="Arial" w:hAnsi="Arial"/>
                      <w:b w:val="false"/>
                      <w:bCs w:val="false"/>
                      <w:color w:val="7D5A00"/>
                      <w:sz w:val="18"/>
                      <w:szCs w:val="18"/>
                    </w:rPr>
                    <w:t xml:space="preserve">Date:    ___________________________</w:t>
                  </w:r>
                </w:p>
              </w:tc>
            </w:tr>
          </w:tbl>
          <w:p/>
        </w:tc>
      </w:tr>
    </w:tbl>
    <w:p>
      <w:pPr>
        <w:spacing w:after="0" w:before="200"/>
        <w:jc w:val="center"/>
      </w:pPr>
      <w:r>
        <w:rPr>
          <w:rFonts w:ascii="Arial" w:cs="Arial" w:eastAsia="Arial" w:hAnsi="Arial"/>
          <w:color w:val="595959"/>
          <w:sz w:val="15"/>
          <w:szCs w:val="15"/>
        </w:rPr>
        <w:t xml:space="preserve">Third-Party Model Risk Assessment  |  S5-04 Template  |  Urielle AI  |  Confidential  |  Duplicate — do not overwrite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2026-06-08T13:32:46.538Z</dcterms:created>
  <dcterms:modified xsi:type="dcterms:W3CDTF">2026-06-08T13:32:46.557Z</dcterms:modified>
</cp:coreProperties>
</file>

<file path=docProps/custom.xml><?xml version="1.0" encoding="utf-8"?>
<Properties xmlns="http://schemas.openxmlformats.org/officeDocument/2006/custom-properties" xmlns:vt="http://schemas.openxmlformats.org/officeDocument/2006/docPropsVTypes"/>
</file>