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INTENDED USE STATEMENT</w:t>
      </w:r>
    </w:p>
    <w:p>
      <w:pPr>
        <w:spacing w:after="40" w:before="0"/>
        <w:jc w:val="center"/>
      </w:pPr>
      <w:r>
        <w:rPr>
          <w:rFonts w:ascii="Arial" w:cs="Arial" w:eastAsia="Arial" w:hAnsi="Arial"/>
          <w:b/>
          <w:bCs/>
          <w:color w:val="595959"/>
          <w:sz w:val="22"/>
          <w:szCs w:val="22"/>
        </w:rPr>
        <w:t xml:space="preserve">NCAOS-Urielle External Governance Shell (EGS)</w:t>
      </w:r>
    </w:p>
    <w:p>
      <w:pPr>
        <w:spacing w:after="40" w:before="0"/>
        <w:jc w:val="center"/>
      </w:pPr>
      <w:r>
        <w:rPr>
          <w:rFonts w:ascii="Arial" w:cs="Arial" w:eastAsia="Arial" w:hAnsi="Arial"/>
          <w:color w:val="2E75B6"/>
          <w:sz w:val="18"/>
          <w:szCs w:val="18"/>
        </w:rPr>
        <w:t xml:space="preserve">Evidence Item S1-04  </w:t>
      </w:r>
      <w:r>
        <w:rPr>
          <w:rFonts w:ascii="Arial" w:cs="Arial" w:eastAsia="Arial" w:hAnsi="Arial"/>
          <w:color w:val="595959"/>
          <w:sz w:val="18"/>
          <w:szCs w:val="18"/>
        </w:rPr>
        <w:t xml:space="preserve">|  EU AI Act Art.13 (Transparency)  </w:t>
      </w:r>
      <w:r>
        <w:rPr>
          <w:rFonts w:ascii="Arial" w:cs="Arial" w:eastAsia="Arial" w:hAnsi="Arial"/>
          <w:color w:val="595959"/>
          <w:sz w:val="18"/>
          <w:szCs w:val="18"/>
        </w:rPr>
        <w:t xml:space="preserve">|  AI Act Verify Principle 1  </w:t>
      </w:r>
      <w:r>
        <w:rPr>
          <w:rFonts w:ascii="Arial" w:cs="Arial" w:eastAsia="Arial" w:hAnsi="Arial"/>
          <w:color w:val="2E75B6"/>
          <w:sz w:val="18"/>
          <w:szCs w:val="18"/>
        </w:rPr>
        <w:t xml:space="preserve">|  ISO 42001 cl.4.1 / cl.6.1</w:t>
      </w:r>
    </w:p>
    <w:p>
      <w:pPr>
        <w:pBdr>
          <w:bottom w:val="single" w:color="1F4E79" w:sz="6" w:space="4"/>
        </w:pBdr>
        <w:spacing w:after="280" w:before="0"/>
        <w:jc w:val="center"/>
      </w:pPr>
      <w:r>
        <w:rPr>
          <w:rFonts w:ascii="Arial" w:cs="Arial" w:eastAsia="Arial" w:hAnsi="Arial"/>
          <w:color w:val="595959"/>
          <w:sz w:val="16"/>
          <w:szCs w:val="16"/>
        </w:rPr>
        <w:t xml:space="preserve">Version 1.0  |  June 2026  |  Classification: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DOCUMENT CONTROL</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Evidence Item</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S1-04 — Intended Use Statement</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AI System</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NCAOS-Urielle External Governance Shell (EGS) v1.0-rc</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Engagement Ref</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[ERT-2026-001]</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Auditor</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William Hartono / Urielle AI — wholidipro@urielle-ai.com</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Regulatory Basis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EU AI Act Art.13 (Transparency obligations); AI Act Verify Principle 1; ISO 42001:2023 cl.4.1, cl.6.1</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Document Status</w:t>
            </w:r>
          </w:p>
        </w:tc>
        <w:tc>
          <w:tcPr>
            <w:tcW w:type="dxa" w:w="70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Final — v1.0</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June 2026</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1. SYSTEM PURPOSE — PLAIN LANGUAGE STATEMENT</w:t>
            </w:r>
          </w:p>
        </w:tc>
      </w:tr>
      <w:tr>
        <w:tc>
          <w:tcPr>
            <w:tcW w:type="dxa" w:w="9360"/>
            <w:tcBorders>
              <w:top w:val="single" w:color="1F4E79" w:sz="4"/>
              <w:left w:val="single" w:color="1F4E79" w:sz="4"/>
              <w:bottom w:val="single" w:color="1F4E79" w:sz="4"/>
              <w:right w:val="single" w:color="1F4E79" w:sz="4"/>
            </w:tcBorders>
            <w:shd w:fill="F0F7FF" w:val="clear"/>
            <w:tcMar>
              <w:top w:type="dxa" w:w="160"/>
              <w:left w:type="dxa" w:w="200"/>
              <w:bottom w:type="dxa" w:w="160"/>
              <w:right w:type="dxa" w:w="200"/>
            </w:tcMar>
          </w:tcPr>
          <w:p>
            <w:pPr>
              <w:spacing w:after="100" w:before="0"/>
            </w:pPr>
            <w:r>
              <w:rPr>
                <w:rFonts w:ascii="Arial" w:cs="Arial" w:eastAsia="Arial" w:hAnsi="Arial"/>
                <w:b w:val="false"/>
                <w:bCs w:val="false"/>
                <w:color w:val="000000"/>
                <w:sz w:val="18"/>
                <w:szCs w:val="18"/>
              </w:rPr>
              <w:t xml:space="preserve">NCAOS-Urielle is an External Governance Shell (EGS) — a software layer designed to enforce AI/OS boundary policies, implement tenant isolation controls, and generate structured audit signals for AI systems operating in multi-tenant deployment environments.</w:t>
            </w:r>
          </w:p>
          <w:p>
            <w:pPr>
              <w:spacing w:after="100" w:before="0"/>
            </w:pPr>
            <w:r>
              <w:rPr>
                <w:rFonts w:ascii="Arial" w:cs="Arial" w:eastAsia="Arial" w:hAnsi="Arial"/>
                <w:b w:val="false"/>
                <w:bCs w:val="false"/>
                <w:color w:val="000000"/>
                <w:sz w:val="18"/>
                <w:szCs w:val="18"/>
              </w:rPr>
              <w:t xml:space="preserve">It operates as a governance enforcement intermediary: it does not make business decisions, assess individuals, or produce outputs that directly affect persons. Its function is to ensure that AI system behaviour remains within defined policy boundaries, and that all boundary events are captured in a tamper-evident audit log.</w:t>
            </w:r>
          </w:p>
          <w:p>
            <w:pPr>
              <w:spacing w:after="0" w:before="0"/>
            </w:pPr>
            <w:r>
              <w:rPr>
                <w:rFonts w:ascii="Arial" w:cs="Arial" w:eastAsia="Arial" w:hAnsi="Arial"/>
                <w:b w:val="false"/>
                <w:bCs w:val="false"/>
                <w:color w:val="000000"/>
                <w:sz w:val="18"/>
                <w:szCs w:val="18"/>
              </w:rPr>
              <w:t xml:space="preserve">The system was developed bilaterally between Urielle AI (Singapore) and NCAOS Japan (Toru), across a 7-phase TypeScript monorepo build, and validated with 229 automated tests and 11 penetration tests.</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3000"/>
        <w:gridCol w:w="2600"/>
      </w:tblGrid>
      <w:tr>
        <w:tc>
          <w:tcPr>
            <w:tcW w:type="dxa" w:w="9360"/>
            <w:gridSpan w:val="4"/>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2. INTENDED USE CASES</w:t>
            </w:r>
          </w:p>
        </w:tc>
      </w:tr>
      <w:tr>
        <w:tc>
          <w:tcPr>
            <w:tcW w:type="dxa" w:w="6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316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Use Case</w:t>
            </w:r>
          </w:p>
        </w:tc>
        <w:tc>
          <w:tcPr>
            <w:tcW w:type="dxa" w:w="30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26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EU AI Act / ISO 42001 Relevance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18"/>
                <w:szCs w:val="18"/>
              </w:rPr>
              <w:t xml:space="preserve">UC-01</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AI Boundary Policy Enforcement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Enforce allow/deny/alert decisions at the AI/OS interface for tenant API calls, preventing out-of-policy AI interactions in real time.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Art.13 — Transparency of automated decisions; ISO 42001 cl.8.4</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2E75B6"/>
                <w:sz w:val="18"/>
                <w:szCs w:val="18"/>
              </w:rPr>
              <w:t xml:space="preserve">UC-02</w:t>
            </w:r>
          </w:p>
        </w:tc>
        <w:tc>
          <w:tcPr>
            <w:tcW w:type="dxa" w:w="3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Multi-Tenant Isolation</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Maintain strict data and access separation between tenants sharing a common AI infrastructure, preventing cross-tenant data leakage.</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ISO 42001 cl.6.1 — Risk assessment; NIST AI RMF GOVERN 6</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18"/>
                <w:szCs w:val="18"/>
              </w:rPr>
              <w:t xml:space="preserve">UC-03</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Audit Signal Generation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Produce structured, tamper-evident audit events (AuditSignal schema v1.0, Zod-validated) for all boundary decisions, enabling retrospective compliance review.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Art.12 — Record-keeping; ISO 42001 cl.9.1</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2E75B6"/>
                <w:sz w:val="18"/>
                <w:szCs w:val="18"/>
              </w:rPr>
              <w:t xml:space="preserve">UC-04</w:t>
            </w:r>
          </w:p>
        </w:tc>
        <w:tc>
          <w:tcPr>
            <w:tcW w:type="dxa" w:w="3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Anomaly Detection and Alerting</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Detect and flag statistical anomalies in AI system behaviour patterns (e.g. unusual API call volumes, policy breach clusters) for human review.</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Art.14 — Human oversight; ISO 42001 cl.8.2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18"/>
                <w:szCs w:val="18"/>
              </w:rPr>
              <w:t xml:space="preserve">UC-05</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Governance Administration Terminal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Provide a role-based React Admin Terminal (4 roles: Admin, Auditor, Operator, Viewer) for authorised personnel to configure policies and review audit events.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Art.13 — Transparency; ISO 42001 cl.5.3</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2E75B6"/>
                <w:sz w:val="18"/>
                <w:szCs w:val="18"/>
              </w:rPr>
              <w:t xml:space="preserve">UC-06</w:t>
            </w:r>
          </w:p>
        </w:tc>
        <w:tc>
          <w:tcPr>
            <w:tcW w:type="dxa" w:w="3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AI Audit Evidence Collection</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Generate structured evidence artefacts (test reports, boundary event logs, policy rule sets) to support third-party AI audits under ISO 42001 and EU AI Act frameworks.</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ISO 42001 cl.9.2 — Internal audit; EU AI Act Art.49</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020"/>
        <w:gridCol w:w="300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3. INTENDED USERS</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User Role</w:t>
            </w:r>
          </w:p>
        </w:tc>
        <w:tc>
          <w:tcPr>
            <w:tcW w:type="dxa" w:w="402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30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Access Level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AI Governance Practitioners</w:t>
            </w:r>
          </w:p>
        </w:tc>
        <w:tc>
          <w:tcPr>
            <w:tcW w:type="dxa" w:w="4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Professionals responsible for designing and operating AI governance frameworks in enterprise or multi-tenant AI environments.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Full system — policy configuration, audit review</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Compliance Officers</w:t>
            </w:r>
          </w:p>
        </w:tc>
        <w:tc>
          <w:tcPr>
            <w:tcW w:type="dxa" w:w="40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Personnel accountable for regulatory conformance with EU AI Act, ISO 42001, or equivalent frameworks.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Audit Terminal (Auditor role) — read/review access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Enterprise AI Risk Teams</w:t>
            </w:r>
          </w:p>
        </w:tc>
        <w:tc>
          <w:tcPr>
            <w:tcW w:type="dxa" w:w="4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Technical and risk teams assessing AI system behaviour, boundary events, and anomaly signals.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Audit Terminal + API event stream</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AI Audit Principals</w:t>
            </w:r>
          </w:p>
        </w:tc>
        <w:tc>
          <w:tcPr>
            <w:tcW w:type="dxa" w:w="40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Third-party auditors conducting formal AI conformance assessments requiring structured audit evidence.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Audit evidence export — structured reports only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Platform Operators</w:t>
            </w:r>
          </w:p>
        </w:tc>
        <w:tc>
          <w:tcPr>
            <w:tcW w:type="dxa" w:w="4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Technical operators responsible for deploying and maintaining the NCAOS-Urielle EGS in production.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Operator role — deployment, config, monitoring</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Viewers / Read-Only Stakeholders</w:t>
            </w:r>
          </w:p>
        </w:tc>
        <w:tc>
          <w:tcPr>
            <w:tcW w:type="dxa" w:w="40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Executive or oversight stakeholders requiring visibility into governance status without configuration access.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Viewer role — dashboard, summary reports only</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4. GEOGRAPHIC SCOPE</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Scope Level</w:t>
            </w:r>
          </w:p>
        </w:tc>
        <w:tc>
          <w:tcPr>
            <w:tcW w:type="dxa" w:w="468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Detail</w:t>
            </w:r>
          </w:p>
        </w:tc>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Regulatory Implication</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Primary — Singapore</w:t>
            </w:r>
          </w:p>
        </w:tc>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System developed and operated by Urielle AI (Singapore). Initial pilot deployment targets Singapore-based enterprise AI governance engagements.</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MAS AI governance guidelines apply. PDPA compliance required for any personal data processed.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Secondary — Southeast Asia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Regional expansion scope per bilateral agreement with NCAOS Japan (Toru). SEA markets include MY, ID, TH, PH, VN — subject to right of first negotiation clause in bilateral NDA.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Jurisdiction-specific AI regulations apply per country. No single harmonised SEA AI law at time of writing.</w:t>
            </w:r>
          </w:p>
        </w:tc>
      </w:tr>
      <w:tr>
        <w:tc>
          <w:tcPr>
            <w:tcW w:type="dxa" w:w="23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Tertiary — Global API Consumers</w:t>
            </w:r>
          </w:p>
        </w:tc>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REST API layer (@ncaos/api, 14 routes) is technically accessible globally. No geographic restrictions on API consumption at v1.0-rc.</w:t>
            </w:r>
          </w:p>
        </w:tc>
        <w:tc>
          <w:tcPr>
            <w:tcW w:type="dxa" w:w="234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extra-territorial provisions may apply if system is deployed by EU-established operators or affects EU persons (Art.2).</w:t>
            </w:r>
          </w:p>
        </w:tc>
      </w:tr>
      <w:tr>
        <w:tc>
          <w:tcPr>
            <w:tcW w:type="dxa" w:w="234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bCs/>
                <w:color w:val="8B0000"/>
                <w:sz w:val="18"/>
                <w:szCs w:val="18"/>
              </w:rPr>
              <w:t xml:space="preserve">Excluded — High-Risk Jurisdictions</w:t>
            </w:r>
          </w:p>
        </w:tc>
        <w:tc>
          <w:tcPr>
            <w:tcW w:type="dxa" w:w="468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000000"/>
                <w:sz w:val="18"/>
                <w:szCs w:val="18"/>
              </w:rPr>
              <w:t xml:space="preserve">System is not designed or tested for compliance with US NIST AI RMF mandatory frameworks (federal agency use) or PRC AI regulations at v1.0-rc.</w:t>
            </w:r>
          </w:p>
        </w:tc>
        <w:tc>
          <w:tcPr>
            <w:tcW w:type="dxa" w:w="234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595959"/>
                <w:sz w:val="18"/>
                <w:szCs w:val="18"/>
              </w:rPr>
              <w:t xml:space="preserve">Deployment in these jurisdictions requires separate regulatory review before go-live.</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5. EXPLICITLY EXCLUDED USE CASES</w:t>
            </w:r>
          </w:p>
        </w:tc>
      </w:tr>
      <w:tr>
        <w:tc>
          <w:tcPr>
            <w:tcW w:type="dxa" w:w="18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Exclusion Ref</w:t>
            </w:r>
          </w:p>
        </w:tc>
        <w:tc>
          <w:tcPr>
            <w:tcW w:type="dxa" w:w="456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Excluded Use Case</w:t>
            </w:r>
          </w:p>
        </w:tc>
        <w:tc>
          <w:tcPr>
            <w:tcW w:type="dxa" w:w="30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Basis for Exclusion</w:t>
            </w:r>
          </w:p>
        </w:tc>
      </w:tr>
      <w:tr>
        <w:tc>
          <w:tcPr>
            <w:tcW w:type="dxa" w:w="1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bCs/>
                <w:color w:val="8B0000"/>
                <w:sz w:val="18"/>
                <w:szCs w:val="18"/>
              </w:rPr>
              <w:t xml:space="preserve">EX-01</w:t>
            </w:r>
          </w:p>
        </w:tc>
        <w:tc>
          <w:tcPr>
            <w:tcW w:type="dxa" w:w="45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val="false"/>
                <w:bCs w:val="false"/>
                <w:color w:val="000000"/>
                <w:sz w:val="18"/>
                <w:szCs w:val="18"/>
              </w:rPr>
              <w:t xml:space="preserve">Autonomous business decision-making affecting individuals (credit, hiring, insurance, healthcare triage)</w:t>
            </w:r>
          </w:p>
        </w:tc>
        <w:tc>
          <w:tcPr>
            <w:tcW w:type="dxa" w:w="30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Art.5 (Prohibited) / Annex III (High-Risk). System is a governance layer only — no individual impact decisions.</w:t>
            </w:r>
          </w:p>
        </w:tc>
      </w:tr>
      <w:tr>
        <w:tc>
          <w:tcPr>
            <w:tcW w:type="dxa" w:w="180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bCs/>
                <w:color w:val="8B0000"/>
                <w:sz w:val="18"/>
                <w:szCs w:val="18"/>
              </w:rPr>
              <w:t xml:space="preserve">EX-02</w:t>
            </w:r>
          </w:p>
        </w:tc>
        <w:tc>
          <w:tcPr>
            <w:tcW w:type="dxa" w:w="456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000000"/>
                <w:sz w:val="18"/>
                <w:szCs w:val="18"/>
              </w:rPr>
              <w:t xml:space="preserve">Biometric identification or categorisation of natural persons</w:t>
            </w:r>
          </w:p>
        </w:tc>
        <w:tc>
          <w:tcPr>
            <w:tcW w:type="dxa" w:w="300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Art.5(1)(a)-(d) — Prohibited practices. System does not process biometric data.</w:t>
            </w:r>
          </w:p>
        </w:tc>
      </w:tr>
      <w:tr>
        <w:tc>
          <w:tcPr>
            <w:tcW w:type="dxa" w:w="1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bCs/>
                <w:color w:val="8B0000"/>
                <w:sz w:val="18"/>
                <w:szCs w:val="18"/>
              </w:rPr>
              <w:t xml:space="preserve">EX-03</w:t>
            </w:r>
          </w:p>
        </w:tc>
        <w:tc>
          <w:tcPr>
            <w:tcW w:type="dxa" w:w="45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val="false"/>
                <w:bCs w:val="false"/>
                <w:color w:val="000000"/>
                <w:sz w:val="18"/>
                <w:szCs w:val="18"/>
              </w:rPr>
              <w:t xml:space="preserve">Social scoring or behavioural profiling of natural persons by public authorities</w:t>
            </w:r>
          </w:p>
        </w:tc>
        <w:tc>
          <w:tcPr>
            <w:tcW w:type="dxa" w:w="30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Art.5(1)(c) — Prohibited. System is not designed for public authority deployment.</w:t>
            </w:r>
          </w:p>
        </w:tc>
      </w:tr>
      <w:tr>
        <w:tc>
          <w:tcPr>
            <w:tcW w:type="dxa" w:w="180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bCs/>
                <w:color w:val="8B0000"/>
                <w:sz w:val="18"/>
                <w:szCs w:val="18"/>
              </w:rPr>
              <w:t xml:space="preserve">EX-04</w:t>
            </w:r>
          </w:p>
        </w:tc>
        <w:tc>
          <w:tcPr>
            <w:tcW w:type="dxa" w:w="456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Real-time remote biometric surveillance in publicly accessible spaces</w:t>
            </w:r>
          </w:p>
        </w:tc>
        <w:tc>
          <w:tcPr>
            <w:tcW w:type="dxa" w:w="300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Art.5(1)(h) — Prohibited. Explicitly out of scope.</w:t>
            </w:r>
          </w:p>
        </w:tc>
      </w:tr>
      <w:tr>
        <w:tc>
          <w:tcPr>
            <w:tcW w:type="dxa" w:w="1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bCs/>
                <w:color w:val="8B0000"/>
                <w:sz w:val="18"/>
                <w:szCs w:val="18"/>
              </w:rPr>
              <w:t xml:space="preserve">EX-05</w:t>
            </w:r>
          </w:p>
        </w:tc>
        <w:tc>
          <w:tcPr>
            <w:tcW w:type="dxa" w:w="45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val="false"/>
                <w:bCs w:val="false"/>
                <w:color w:val="000000"/>
                <w:sz w:val="18"/>
                <w:szCs w:val="18"/>
              </w:rPr>
              <w:t xml:space="preserve">Processing of special category personal data (health, race, religion, political opinion)</w:t>
            </w:r>
          </w:p>
        </w:tc>
        <w:tc>
          <w:tcPr>
            <w:tcW w:type="dxa" w:w="30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val="false"/>
                <w:bCs w:val="false"/>
                <w:color w:val="595959"/>
                <w:sz w:val="18"/>
                <w:szCs w:val="18"/>
              </w:rPr>
              <w:t xml:space="preserve">GDPR Art.9; ISO 42001 cl.6.1.2 — High-risk data not within system scope.</w:t>
            </w:r>
          </w:p>
        </w:tc>
      </w:tr>
      <w:tr>
        <w:tc>
          <w:tcPr>
            <w:tcW w:type="dxa" w:w="180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bCs/>
                <w:color w:val="8B0000"/>
                <w:sz w:val="18"/>
                <w:szCs w:val="18"/>
              </w:rPr>
              <w:t xml:space="preserve">EX-06</w:t>
            </w:r>
          </w:p>
        </w:tc>
        <w:tc>
          <w:tcPr>
            <w:tcW w:type="dxa" w:w="456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000000"/>
                <w:sz w:val="18"/>
                <w:szCs w:val="18"/>
              </w:rPr>
              <w:t xml:space="preserve">Critical infrastructure protection systems (power, water, transport)</w:t>
            </w:r>
          </w:p>
        </w:tc>
        <w:tc>
          <w:tcPr>
            <w:tcW w:type="dxa" w:w="300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Annex III cl.2 — High-Risk. System not designed or validated for critical infrastructure.</w:t>
            </w:r>
          </w:p>
        </w:tc>
      </w:tr>
      <w:tr>
        <w:tc>
          <w:tcPr>
            <w:tcW w:type="dxa" w:w="18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bCs/>
                <w:color w:val="8B0000"/>
                <w:sz w:val="18"/>
                <w:szCs w:val="18"/>
              </w:rPr>
              <w:t xml:space="preserve">EX-07</w:t>
            </w:r>
          </w:p>
        </w:tc>
        <w:tc>
          <w:tcPr>
            <w:tcW w:type="dxa" w:w="456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val="false"/>
                <w:bCs w:val="false"/>
                <w:color w:val="000000"/>
                <w:sz w:val="18"/>
                <w:szCs w:val="18"/>
              </w:rPr>
              <w:t xml:space="preserve">Law enforcement, border control, or administration of justice</w:t>
            </w:r>
          </w:p>
        </w:tc>
        <w:tc>
          <w:tcPr>
            <w:tcW w:type="dxa" w:w="300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r>
              <w:rPr>
                <w:rFonts w:ascii="Arial" w:cs="Arial" w:eastAsia="Arial" w:hAnsi="Arial"/>
                <w:b w:val="false"/>
                <w:bCs w:val="false"/>
                <w:color w:val="595959"/>
                <w:sz w:val="18"/>
                <w:szCs w:val="18"/>
              </w:rPr>
              <w:t xml:space="preserve">EU AI Act Annex III cl.6 / cl.8 — High-Risk. Explicitly not a use case.</w:t>
            </w:r>
          </w:p>
        </w:tc>
      </w:tr>
      <w:tr>
        <w:tc>
          <w:tcPr>
            <w:tcW w:type="dxa" w:w="180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bCs/>
                <w:color w:val="8B0000"/>
                <w:sz w:val="18"/>
                <w:szCs w:val="18"/>
              </w:rPr>
              <w:t xml:space="preserve">EX-08</w:t>
            </w:r>
          </w:p>
        </w:tc>
        <w:tc>
          <w:tcPr>
            <w:tcW w:type="dxa" w:w="456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000000"/>
                <w:sz w:val="18"/>
                <w:szCs w:val="18"/>
              </w:rPr>
              <w:t xml:space="preserve">Deployment as a standalone consumer-facing AI product without governance oversight</w:t>
            </w:r>
          </w:p>
        </w:tc>
        <w:tc>
          <w:tcPr>
            <w:tcW w:type="dxa" w:w="3000"/>
            <w:tcBorders>
              <w:top w:val="single" w:color="CCCCCC" w:sz="1"/>
              <w:left w:val="single" w:color="CCCCCC" w:sz="1"/>
              <w:bottom w:val="single" w:color="CCCCCC" w:sz="1"/>
              <w:right w:val="single" w:color="CCCCCC" w:sz="1"/>
            </w:tcBorders>
            <w:shd w:fill="FFE8E8" w:val="clear"/>
            <w:tcMar>
              <w:top w:type="dxa" w:w="100"/>
              <w:left w:type="dxa" w:w="140"/>
              <w:bottom w:type="dxa" w:w="100"/>
              <w:right w:type="dxa" w:w="140"/>
            </w:tcMar>
          </w:tcPr>
          <w:p>
            <w:r>
              <w:rPr>
                <w:rFonts w:ascii="Arial" w:cs="Arial" w:eastAsia="Arial" w:hAnsi="Arial"/>
                <w:b w:val="false"/>
                <w:bCs w:val="false"/>
                <w:color w:val="595959"/>
                <w:sz w:val="18"/>
                <w:szCs w:val="18"/>
              </w:rPr>
              <w:t xml:space="preserve">ISO 42001 cl.4.1 — System requires an operating governance framework and qualified operators.</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020"/>
        <w:gridCol w:w="300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6. REASONABLY FORESEEABLE MISUSE (Art.13 Disclosure)</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Misuse Scenario</w:t>
            </w:r>
          </w:p>
        </w:tc>
        <w:tc>
          <w:tcPr>
            <w:tcW w:type="dxa" w:w="402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Risk Description</w:t>
            </w:r>
          </w:p>
        </w:tc>
        <w:tc>
          <w:tcPr>
            <w:tcW w:type="dxa" w:w="30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Mitigation Built In</w:t>
            </w:r>
          </w:p>
        </w:tc>
      </w:tr>
      <w:tr>
        <w:tc>
          <w:tcPr>
            <w:tcW w:type="dxa" w:w="2340"/>
            <w:tcBorders>
              <w:top w:val="single" w:color="CCCCCC" w:sz="1"/>
              <w:left w:val="single" w:color="CCCCCC" w:sz="1"/>
              <w:bottom w:val="single" w:color="CCCCCC" w:sz="1"/>
              <w:right w:val="single" w:color="CCCCCC" w:sz="1"/>
            </w:tcBorders>
            <w:shd w:fill="FFFDE8" w:val="clear"/>
            <w:tcMar>
              <w:top w:type="dxa" w:w="100"/>
              <w:left w:type="dxa" w:w="140"/>
              <w:bottom w:type="dxa" w:w="100"/>
              <w:right w:type="dxa" w:w="140"/>
            </w:tcMar>
          </w:tcPr>
          <w:p>
            <w:r>
              <w:rPr>
                <w:rFonts w:ascii="Arial" w:cs="Arial" w:eastAsia="Arial" w:hAnsi="Arial"/>
                <w:b/>
                <w:bCs/>
                <w:color w:val="7D4E00"/>
                <w:sz w:val="18"/>
                <w:szCs w:val="18"/>
              </w:rPr>
              <w:t xml:space="preserve">Policy configuration errors</w:t>
            </w:r>
          </w:p>
        </w:tc>
        <w:tc>
          <w:tcPr>
            <w:tcW w:type="dxa" w:w="4020"/>
            <w:tcBorders>
              <w:top w:val="single" w:color="CCCCCC" w:sz="1"/>
              <w:left w:val="single" w:color="CCCCCC" w:sz="1"/>
              <w:bottom w:val="single" w:color="CCCCCC" w:sz="1"/>
              <w:right w:val="single" w:color="CCCCCC" w:sz="1"/>
            </w:tcBorders>
            <w:shd w:fill="FFFDE8" w:val="clear"/>
            <w:tcMar>
              <w:top w:type="dxa" w:w="100"/>
              <w:left w:type="dxa" w:w="140"/>
              <w:bottom w:type="dxa" w:w="100"/>
              <w:right w:type="dxa" w:w="140"/>
            </w:tcMar>
          </w:tcPr>
          <w:p>
            <w:r>
              <w:rPr>
                <w:rFonts w:ascii="Arial" w:cs="Arial" w:eastAsia="Arial" w:hAnsi="Arial"/>
                <w:b w:val="false"/>
                <w:bCs w:val="false"/>
                <w:color w:val="000000"/>
                <w:sz w:val="18"/>
                <w:szCs w:val="18"/>
              </w:rPr>
              <w:t xml:space="preserve">Misconfigured allow/deny rules may inadvertently permit out-of-policy AI behaviour or block legitimate use.</w:t>
            </w:r>
          </w:p>
        </w:tc>
        <w:tc>
          <w:tcPr>
            <w:tcW w:type="dxa" w:w="3000"/>
            <w:tcBorders>
              <w:top w:val="single" w:color="CCCCCC" w:sz="1"/>
              <w:left w:val="single" w:color="CCCCCC" w:sz="1"/>
              <w:bottom w:val="single" w:color="CCCCCC" w:sz="1"/>
              <w:right w:val="single" w:color="CCCCCC" w:sz="1"/>
            </w:tcBorders>
            <w:shd w:fill="FFFDE8" w:val="clear"/>
            <w:tcMar>
              <w:top w:type="dxa" w:w="100"/>
              <w:left w:type="dxa" w:w="140"/>
              <w:bottom w:type="dxa" w:w="100"/>
              <w:right w:type="dxa" w:w="140"/>
            </w:tcMar>
          </w:tcPr>
          <w:p>
            <w:r>
              <w:rPr>
                <w:rFonts w:ascii="Arial" w:cs="Arial" w:eastAsia="Arial" w:hAnsi="Arial"/>
                <w:b w:val="false"/>
                <w:bCs w:val="false"/>
                <w:color w:val="1F7A3A"/>
                <w:sz w:val="18"/>
                <w:szCs w:val="18"/>
              </w:rPr>
              <w:t xml:space="preserve">4-role RBAC; policy validation in @ncaos/core; Operator role separation from Admin.</w:t>
            </w:r>
          </w:p>
        </w:tc>
      </w:tr>
      <w:tr>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D4E00"/>
                <w:sz w:val="18"/>
                <w:szCs w:val="18"/>
              </w:rPr>
              <w:t xml:space="preserve">Audit log tampering</w:t>
            </w:r>
          </w:p>
        </w:tc>
        <w:tc>
          <w:tcPr>
            <w:tcW w:type="dxa" w:w="40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000000"/>
                <w:sz w:val="18"/>
                <w:szCs w:val="18"/>
              </w:rPr>
              <w:t xml:space="preserve">Authorised users with Admin access could attempt to modify or delete audit event records.</w:t>
            </w:r>
          </w:p>
        </w:tc>
        <w:tc>
          <w:tcPr>
            <w:tcW w:type="dxa" w:w="3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1F7A3A"/>
                <w:sz w:val="18"/>
                <w:szCs w:val="18"/>
              </w:rPr>
              <w:t xml:space="preserve">EventStore append-only design; AuditSignal Zod schema validation; Phase 06 hardening controls.</w:t>
            </w:r>
          </w:p>
        </w:tc>
      </w:tr>
      <w:tr>
        <w:tc>
          <w:tcPr>
            <w:tcW w:type="dxa" w:w="2340"/>
            <w:tcBorders>
              <w:top w:val="single" w:color="CCCCCC" w:sz="1"/>
              <w:left w:val="single" w:color="CCCCCC" w:sz="1"/>
              <w:bottom w:val="single" w:color="CCCCCC" w:sz="1"/>
              <w:right w:val="single" w:color="CCCCCC" w:sz="1"/>
            </w:tcBorders>
            <w:shd w:fill="FFFDE8" w:val="clear"/>
            <w:tcMar>
              <w:top w:type="dxa" w:w="100"/>
              <w:left w:type="dxa" w:w="140"/>
              <w:bottom w:type="dxa" w:w="100"/>
              <w:right w:type="dxa" w:w="140"/>
            </w:tcMar>
          </w:tcPr>
          <w:p>
            <w:r>
              <w:rPr>
                <w:rFonts w:ascii="Arial" w:cs="Arial" w:eastAsia="Arial" w:hAnsi="Arial"/>
                <w:b/>
                <w:bCs/>
                <w:color w:val="7D4E00"/>
                <w:sz w:val="18"/>
                <w:szCs w:val="18"/>
              </w:rPr>
              <w:t xml:space="preserve">Tenant isolation bypass</w:t>
            </w:r>
          </w:p>
        </w:tc>
        <w:tc>
          <w:tcPr>
            <w:tcW w:type="dxa" w:w="4020"/>
            <w:tcBorders>
              <w:top w:val="single" w:color="CCCCCC" w:sz="1"/>
              <w:left w:val="single" w:color="CCCCCC" w:sz="1"/>
              <w:bottom w:val="single" w:color="CCCCCC" w:sz="1"/>
              <w:right w:val="single" w:color="CCCCCC" w:sz="1"/>
            </w:tcBorders>
            <w:shd w:fill="FFFDE8" w:val="clear"/>
            <w:tcMar>
              <w:top w:type="dxa" w:w="100"/>
              <w:left w:type="dxa" w:w="140"/>
              <w:bottom w:type="dxa" w:w="100"/>
              <w:right w:type="dxa" w:w="140"/>
            </w:tcMar>
          </w:tcPr>
          <w:p>
            <w:r>
              <w:rPr>
                <w:rFonts w:ascii="Arial" w:cs="Arial" w:eastAsia="Arial" w:hAnsi="Arial"/>
                <w:b w:val="false"/>
                <w:bCs w:val="false"/>
                <w:color w:val="000000"/>
                <w:sz w:val="18"/>
                <w:szCs w:val="18"/>
              </w:rPr>
              <w:t xml:space="preserve">A misconfigured tenant boundary could allow cross-tenant data access in shared infrastructure.</w:t>
            </w:r>
          </w:p>
        </w:tc>
        <w:tc>
          <w:tcPr>
            <w:tcW w:type="dxa" w:w="3000"/>
            <w:tcBorders>
              <w:top w:val="single" w:color="CCCCCC" w:sz="1"/>
              <w:left w:val="single" w:color="CCCCCC" w:sz="1"/>
              <w:bottom w:val="single" w:color="CCCCCC" w:sz="1"/>
              <w:right w:val="single" w:color="CCCCCC" w:sz="1"/>
            </w:tcBorders>
            <w:shd w:fill="FFFDE8" w:val="clear"/>
            <w:tcMar>
              <w:top w:type="dxa" w:w="100"/>
              <w:left w:type="dxa" w:w="140"/>
              <w:bottom w:type="dxa" w:w="100"/>
              <w:right w:type="dxa" w:w="140"/>
            </w:tcMar>
          </w:tcPr>
          <w:p>
            <w:r>
              <w:rPr>
                <w:rFonts w:ascii="Arial" w:cs="Arial" w:eastAsia="Arial" w:hAnsi="Arial"/>
                <w:b w:val="false"/>
                <w:bCs w:val="false"/>
                <w:color w:val="1F7A3A"/>
                <w:sz w:val="18"/>
                <w:szCs w:val="18"/>
              </w:rPr>
              <w:t xml:space="preserve">Tenant isolation enforced at @ncaos/shell layer; penetration tested in Phase 06 (11 pen tests).</w:t>
            </w:r>
          </w:p>
        </w:tc>
      </w:tr>
      <w:tr>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D4E00"/>
                <w:sz w:val="18"/>
                <w:szCs w:val="18"/>
              </w:rPr>
              <w:t xml:space="preserve">Use in unsupported jurisdictions</w:t>
            </w:r>
          </w:p>
        </w:tc>
        <w:tc>
          <w:tcPr>
            <w:tcW w:type="dxa" w:w="402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000000"/>
                <w:sz w:val="18"/>
                <w:szCs w:val="18"/>
              </w:rPr>
              <w:t xml:space="preserve">Deployment in jurisdictions with mandatory frameworks (US federal, PRC) without additional compliance review.</w:t>
            </w:r>
          </w:p>
        </w:tc>
        <w:tc>
          <w:tcPr>
            <w:tcW w:type="dxa" w:w="3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1F7A3A"/>
                <w:sz w:val="18"/>
                <w:szCs w:val="18"/>
              </w:rPr>
              <w:t xml:space="preserve">Geographic scope defined in this document; EX-01 to EX-08 exclusions published.</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7. OWNER ATTESTATION</w:t>
            </w:r>
          </w:p>
        </w:tc>
      </w:tr>
      <w:tr>
        <w:tc>
          <w:tcPr>
            <w:tcW w:type="dxa" w:w="9360"/>
            <w:tcBorders>
              <w:top w:val="single" w:color="1F4E79" w:sz="4"/>
              <w:left w:val="single" w:color="1F4E79" w:sz="4"/>
              <w:bottom w:val="single" w:color="1F4E79" w:sz="4"/>
              <w:right w:val="single" w:color="1F4E79" w:sz="4"/>
            </w:tcBorders>
            <w:shd w:fill="F0F7FF" w:val="clear"/>
            <w:tcMar>
              <w:top w:type="dxa" w:w="160"/>
              <w:left w:type="dxa" w:w="200"/>
              <w:bottom w:type="dxa" w:w="160"/>
              <w:right w:type="dxa" w:w="200"/>
            </w:tcMar>
          </w:tcPr>
          <w:p>
            <w:pPr>
              <w:spacing w:after="100" w:before="0"/>
            </w:pPr>
            <w:r>
              <w:rPr>
                <w:rFonts w:ascii="Arial" w:cs="Arial" w:eastAsia="Arial" w:hAnsi="Arial"/>
                <w:b w:val="false"/>
                <w:bCs w:val="false"/>
                <w:color w:val="000000"/>
                <w:sz w:val="18"/>
                <w:szCs w:val="18"/>
              </w:rPr>
              <w:t xml:space="preserve">I, the undersigned, being the owner and responsible person for the NCAOS-Urielle External Governance Shell (EGS), hereby attest that this Intended Use Statement accurately and completely describes the intended use cases, intended users, geographic scope, and explicitly excluded use cases of this AI system as of the date of signature.</w:t>
            </w:r>
          </w:p>
          <w:p>
            <w:pPr>
              <w:spacing w:after="120" w:before="0"/>
            </w:pPr>
            <w:r>
              <w:rPr>
                <w:rFonts w:ascii="Arial" w:cs="Arial" w:eastAsia="Arial" w:hAnsi="Arial"/>
                <w:b w:val="false"/>
                <w:bCs w:val="false"/>
                <w:color w:val="000000"/>
                <w:sz w:val="18"/>
                <w:szCs w:val="18"/>
              </w:rPr>
              <w:t xml:space="preserve">This document is submitted as Evidence Item S1-04 in response to the Urielle AI Evidence Request, satisfying EU AI Act Article 13 transparency obligations and AI Act Verify Principle 1.</w:t>
            </w:r>
          </w:p>
          <w:p>
            <w:pPr>
              <w:spacing w:after="60" w:before="60"/>
            </w:pPr>
            <w:r>
              <w:rPr>
                <w:rFonts w:ascii="Arial" w:cs="Arial" w:eastAsia="Arial" w:hAnsi="Arial"/>
                <w:b/>
                <w:bCs/>
                <w:color w:val="000000"/>
                <w:sz w:val="18"/>
                <w:szCs w:val="18"/>
              </w:rPr>
              <w:t xml:space="preserve">Signed:  ___________________________</w:t>
            </w:r>
          </w:p>
          <w:p>
            <w:pPr>
              <w:spacing w:after="40" w:before="0"/>
            </w:pPr>
            <w:r>
              <w:rPr>
                <w:rFonts w:ascii="Arial" w:cs="Arial" w:eastAsia="Arial" w:hAnsi="Arial"/>
                <w:b w:val="false"/>
                <w:bCs w:val="false"/>
                <w:color w:val="000000"/>
                <w:sz w:val="18"/>
                <w:szCs w:val="18"/>
              </w:rPr>
              <w:t xml:space="preserve">Name:    William Hartono</w:t>
            </w:r>
          </w:p>
          <w:p>
            <w:pPr>
              <w:spacing w:after="40" w:before="0"/>
            </w:pPr>
            <w:r>
              <w:rPr>
                <w:rFonts w:ascii="Arial" w:cs="Arial" w:eastAsia="Arial" w:hAnsi="Arial"/>
                <w:b w:val="false"/>
                <w:bCs w:val="false"/>
                <w:color w:val="000000"/>
                <w:sz w:val="18"/>
                <w:szCs w:val="18"/>
              </w:rPr>
              <w:t xml:space="preserve">Title:   Founder, Urielle AI / AI System Owner / FHCA</w:t>
            </w:r>
          </w:p>
          <w:p>
            <w:pPr>
              <w:spacing w:after="0" w:before="0"/>
            </w:pPr>
            <w:r>
              <w:rPr>
                <w:rFonts w:ascii="Arial" w:cs="Arial" w:eastAsia="Arial" w:hAnsi="Arial"/>
                <w:b w:val="false"/>
                <w:bCs w:val="false"/>
                <w:color w:val="000000"/>
                <w:sz w:val="18"/>
                <w:szCs w:val="18"/>
              </w:rPr>
              <w:t xml:space="preserve">Date:    ___________________________</w:t>
            </w:r>
          </w:p>
        </w:tc>
      </w:tr>
    </w:tbl>
    <w:p>
      <w:pPr>
        <w:spacing w:after="0" w:before="200"/>
        <w:jc w:val="center"/>
      </w:pPr>
      <w:r>
        <w:rPr>
          <w:rFonts w:ascii="Arial" w:cs="Arial" w:eastAsia="Arial" w:hAnsi="Arial"/>
          <w:color w:val="595959"/>
          <w:sz w:val="16"/>
          <w:szCs w:val="16"/>
        </w:rPr>
        <w:t xml:space="preserve">NCAOS-Urielle Intended Use Statement  |  S1-04  |  Urielle AI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2026-06-07T07:18:40.237Z</dcterms:created>
  <dcterms:modified xsi:type="dcterms:W3CDTF">2026-06-07T07:18:40.252Z</dcterms:modified>
</cp:coreProperties>
</file>

<file path=docProps/custom.xml><?xml version="1.0" encoding="utf-8"?>
<Properties xmlns="http://schemas.openxmlformats.org/officeDocument/2006/custom-properties" xmlns:vt="http://schemas.openxmlformats.org/officeDocument/2006/docPropsVTypes"/>
</file>