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4"/>
          <w:szCs w:val="44"/>
        </w:rPr>
        <w:t xml:space="preserve">SYSTEM DESCRIPTION DOCUMENT</w:t>
      </w:r>
    </w:p>
    <w:p>
      <w:pPr>
        <w:spacing w:after="40" w:before="0"/>
        <w:jc w:val="center"/>
      </w:pPr>
      <w:r>
        <w:rPr>
          <w:rFonts w:ascii="Arial" w:cs="Arial" w:eastAsia="Arial" w:hAnsi="Arial"/>
          <w:b/>
          <w:bCs/>
          <w:color w:val="595959"/>
          <w:sz w:val="22"/>
          <w:szCs w:val="22"/>
        </w:rPr>
        <w:t xml:space="preserve">Evidence Item S1-01  |  Urielle AI Audit Template</w:t>
      </w:r>
    </w:p>
    <w:p>
      <w:pPr>
        <w:spacing w:after="40" w:before="0"/>
        <w:jc w:val="center"/>
      </w:pPr>
      <w:r>
        <w:rPr>
          <w:rFonts w:ascii="Arial" w:cs="Arial" w:eastAsia="Arial" w:hAnsi="Arial"/>
          <w:color w:val="2E75B6"/>
          <w:sz w:val="18"/>
          <w:szCs w:val="18"/>
        </w:rPr>
        <w:t xml:space="preserve">ISO 42001 cl.4.1  </w:t>
      </w:r>
      <w:r>
        <w:rPr>
          <w:rFonts w:ascii="Arial" w:cs="Arial" w:eastAsia="Arial" w:hAnsi="Arial"/>
          <w:color w:val="595959"/>
          <w:sz w:val="18"/>
          <w:szCs w:val="18"/>
        </w:rPr>
        <w:t xml:space="preserve">|  AI Verify Principle 1  </w:t>
      </w:r>
      <w:r>
        <w:rPr>
          <w:rFonts w:ascii="Arial" w:cs="Arial" w:eastAsia="Arial" w:hAnsi="Arial"/>
          <w:color w:val="595959"/>
          <w:sz w:val="18"/>
          <w:szCs w:val="18"/>
        </w:rPr>
        <w:t xml:space="preserve">|  EU AI Act Art.13  </w:t>
      </w:r>
      <w:r>
        <w:rPr>
          <w:rFonts w:ascii="Arial" w:cs="Arial" w:eastAsia="Arial" w:hAnsi="Arial"/>
          <w:color w:val="2E75B6"/>
          <w:sz w:val="18"/>
          <w:szCs w:val="18"/>
        </w:rPr>
        <w:t xml:space="preserve">|  NIST AI RMF GOVERN 1</w:t>
      </w:r>
    </w:p>
    <w:p>
      <w:pPr>
        <w:pBdr>
          <w:bottom w:val="single" w:color="1F4E79" w:sz="6" w:space="4"/>
        </w:pBdr>
        <w:spacing w:after="280" w:before="0"/>
        <w:jc w:val="center"/>
      </w:pPr>
      <w:r>
        <w:rPr>
          <w:rFonts w:ascii="Arial" w:cs="Arial" w:eastAsia="Arial" w:hAnsi="Arial"/>
          <w:b/>
          <w:bCs/>
          <w:color w:val="1F7A3A"/>
          <w:sz w:val="16"/>
          <w:szCs w:val="16"/>
        </w:rPr>
        <w:t xml:space="preserve">  FILLED = NCAOS-Urielle reference     </w:t>
      </w:r>
      <w:r>
        <w:rPr>
          <w:rFonts w:ascii="Arial" w:cs="Arial" w:eastAsia="Arial" w:hAnsi="Arial"/>
          <w:b/>
          <w:bCs/>
          <w:color w:val="7D5A00"/>
          <w:sz w:val="16"/>
          <w:szCs w:val="16"/>
        </w:rPr>
        <w:t xml:space="preserve">  [ CREAM CELLS ] = Replace per engagement  </w:t>
      </w:r>
      <w:r>
        <w:rPr>
          <w:rFonts w:ascii="Arial" w:cs="Arial" w:eastAsia="Arial" w:hAnsi="Arial"/>
          <w:color w:val="595959"/>
          <w:sz w:val="16"/>
          <w:szCs w:val="16"/>
        </w:rPr>
        <w:t xml:space="preserve">  v1.0  |  June 2026  |  1–3 pages substantive content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FF8E1" w:val="clear"/>
            <w:tcMar>
              <w:top w:type="dxa" w:w="140"/>
              <w:left w:type="dxa" w:w="200"/>
              <w:bottom w:type="dxa" w:w="140"/>
              <w:right w:type="dxa" w:w="200"/>
            </w:tcMar>
          </w:tcPr>
          <w:p>
            <w:pPr>
              <w:spacing w:after="80" w:before="0"/>
            </w:pPr>
            <w:r>
              <w:rPr>
                <w:rFonts w:ascii="Arial" w:cs="Arial" w:eastAsia="Arial" w:hAnsi="Arial"/>
                <w:b/>
                <w:bCs/>
                <w:color w:val="7D4E00"/>
                <w:sz w:val="18"/>
                <w:szCs w:val="18"/>
              </w:rPr>
              <w:t xml:space="preserve">HOW TO USE THIS TEMPLATE</w:t>
            </w:r>
          </w:p>
          <w:p>
            <w:pPr>
              <w:spacing w:after="80" w:before="0"/>
            </w:pPr>
            <w:r>
              <w:rPr>
                <w:rFonts w:ascii="Arial" w:cs="Arial" w:eastAsia="Arial" w:hAnsi="Arial"/>
                <w:b w:val="false"/>
                <w:bCs w:val="false"/>
                <w:color w:val="000000"/>
                <w:sz w:val="18"/>
                <w:szCs w:val="18"/>
              </w:rPr>
              <w:t xml:space="preserve">This is a reusable Urielle AI template for Evidence Item S1-01 — System Description Document. It satisfies ISO 42001 cl.4.1 (understanding the organisation and its context), AI Verify Principle 1 (transparency about what the AI system is and does), and EU AI Act Art.13 transparency requirements. NCAOS-Urielle is pre-filled as the reference engagement.</w:t>
            </w:r>
          </w:p>
          <w:p>
            <w:pPr>
              <w:spacing w:after="40" w:before="0"/>
            </w:pPr>
            <w:r>
              <w:rPr>
                <w:rFonts w:ascii="Arial" w:cs="Arial" w:eastAsia="Arial" w:hAnsi="Arial"/>
                <w:b w:val="false"/>
                <w:bCs w:val="false"/>
                <w:color w:val="000000"/>
                <w:sz w:val="18"/>
                <w:szCs w:val="18"/>
              </w:rPr>
              <w:t xml:space="preserve">Requirements from the Evidence Request:</w:t>
            </w:r>
          </w:p>
          <w:p>
            <w:pPr>
              <w:pStyle w:val="ListParagraph"/>
              <w:numPr>
                <w:ilvl w:val="0"/>
                <w:numId w:val="2"/>
              </w:numPr>
              <w:spacing w:after="30" w:before="30"/>
            </w:pPr>
            <w:r>
              <w:rPr>
                <w:rFonts w:ascii="Arial" w:cs="Arial" w:eastAsia="Arial" w:hAnsi="Arial"/>
                <w:color w:val="7D4E00"/>
                <w:sz w:val="18"/>
                <w:szCs w:val="18"/>
              </w:rPr>
              <w:t xml:space="preserve">Plain language — the description must be intelligible to a non-technical auditor. Avoid acronyms without definition.</w:t>
            </w:r>
          </w:p>
          <w:p>
            <w:pPr>
              <w:pStyle w:val="ListParagraph"/>
              <w:numPr>
                <w:ilvl w:val="0"/>
                <w:numId w:val="2"/>
              </w:numPr>
              <w:spacing w:after="30" w:before="30"/>
            </w:pPr>
            <w:r>
              <w:rPr>
                <w:rFonts w:ascii="Arial" w:cs="Arial" w:eastAsia="Arial" w:hAnsi="Arial"/>
                <w:color w:val="7D4E00"/>
                <w:sz w:val="18"/>
                <w:szCs w:val="18"/>
              </w:rPr>
              <w:t xml:space="preserve">Who it serves — the intended users must be explicitly named (cross-reference S1-04).</w:t>
            </w:r>
          </w:p>
          <w:p>
            <w:pPr>
              <w:pStyle w:val="ListParagraph"/>
              <w:numPr>
                <w:ilvl w:val="0"/>
                <w:numId w:val="2"/>
              </w:numPr>
              <w:spacing w:after="30" w:before="30"/>
            </w:pPr>
            <w:r>
              <w:rPr>
                <w:rFonts w:ascii="Arial" w:cs="Arial" w:eastAsia="Arial" w:hAnsi="Arial"/>
                <w:color w:val="7D4E00"/>
                <w:sz w:val="18"/>
                <w:szCs w:val="18"/>
              </w:rPr>
              <w:t xml:space="preserve">What decisions it makes or supports — be precise: does the system decide, recommend, assist, or flag? This determines risk classification.</w:t>
            </w:r>
          </w:p>
          <w:p>
            <w:pPr>
              <w:pStyle w:val="ListParagraph"/>
              <w:numPr>
                <w:ilvl w:val="0"/>
                <w:numId w:val="2"/>
              </w:numPr>
              <w:spacing w:after="30" w:before="30"/>
            </w:pPr>
            <w:r>
              <w:rPr>
                <w:rFonts w:ascii="Arial" w:cs="Arial" w:eastAsia="Arial" w:hAnsi="Arial"/>
                <w:color w:val="7D4E00"/>
                <w:sz w:val="18"/>
                <w:szCs w:val="18"/>
              </w:rPr>
              <w:t xml:space="preserve">What data it processes — list data types. Flag any personal or special category data.</w:t>
            </w:r>
          </w:p>
          <w:p>
            <w:pPr>
              <w:pStyle w:val="ListParagraph"/>
              <w:numPr>
                <w:ilvl w:val="0"/>
                <w:numId w:val="2"/>
              </w:numPr>
              <w:spacing w:after="30" w:before="30"/>
            </w:pPr>
            <w:r>
              <w:rPr>
                <w:rFonts w:ascii="Arial" w:cs="Arial" w:eastAsia="Arial" w:hAnsi="Arial"/>
                <w:color w:val="7D4E00"/>
                <w:sz w:val="18"/>
                <w:szCs w:val="18"/>
              </w:rPr>
              <w:t xml:space="preserve">Minimum 1–3 pages of substantive content — not just a table of fields. This document should read as a coherent description.</w:t>
            </w:r>
          </w:p>
          <w:p>
            <w:pPr>
              <w:pStyle w:val="ListParagraph"/>
              <w:numPr>
                <w:ilvl w:val="0"/>
                <w:numId w:val="2"/>
              </w:numPr>
              <w:spacing w:after="30" w:before="30"/>
            </w:pPr>
            <w:r>
              <w:rPr>
                <w:rFonts w:ascii="Arial" w:cs="Arial" w:eastAsia="Arial" w:hAnsi="Arial"/>
                <w:color w:val="7D4E00"/>
                <w:sz w:val="18"/>
                <w:szCs w:val="18"/>
              </w:rPr>
              <w:t xml:space="preserve">Duplicate this file for each engagement. NCAOS-Urielle narrative is the permanent reference — do not overwrite it.</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 — DOCUMENT CONTROL</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Evidence Item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S1-01 — System Description Document</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[S1-01 — same]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External Governance Shell (EGS)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[System name and version]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Engagement Ref</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[ERT-2026-001]</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[ERT-YYYY-NNN]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Auditor</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Urielle AI — wholidipro@urielle-ai.com</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[Auditor name / firm]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Document Author</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(Founder, Urielle AI)</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[Named author — person, not team]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[DD Month YYYY]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Version</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1.0 — Final</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[Draft / Final / vX.X]</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Related Items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S1-02 (Architecture), S1-03 (Inventory), S1-04 (Intended Use), S1-05 (Owner)</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[Cross-reference other S1-xx items]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Format</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Word / PDF — 3 pages substantive content</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[Word / PDF — minimum 1 page substantive content]</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2 — QUICK-REFERENCE FACT SHEET</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Complete this section first — it gives auditors an at-a-glance summary before reading the full narrative. All fields must be answered. 'See narrative' is not acceptable as a response here.</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System Full Name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NCAOS-Urielle External Governance Shell (EGS)</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[Official system name]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Version / Build</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v1.0 Release Candidate (v1.0-rc) — 7 phases complete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[Version tag / build identifier]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One-Line Description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An AI governance enforcement layer that polices API boundaries between AI systems and their operating environment in multi-tenant deployments.</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[One sentence: what the system does, in plain English]</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System Category</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Governance Tooling / Rule-based Enforcement Engine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[e.g. Classification model / Generative AI / Recommendation engine / Decision-support / Governance tooling / Other]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Uses Trained ML Model</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Deterministic rule-based logic only at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(name model) / NO]</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Uses External AI API</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No third-party AI API dependency.</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(name provider and model) / NO]</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Processes Personal Data</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Operational metadata only (tenant IDs, API call logs). No personal data by design at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(describe categories) / NO]</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Classification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Limited Risk — ISO 42001 cl.6.1 / EU AI Act (not Annex III High-Risk)</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[Minimal / Limited / High / Unacceptable]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Primary Jurisdiction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Singapore (primary); SEA regional (secondary)</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[Country / region]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Deployment Status</w:t>
            </w:r>
          </w:p>
        </w:tc>
        <w:tc>
          <w:tcPr>
            <w:tcW w:type="dxa" w:w="351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color w:val="7D4E00"/>
                <w:sz w:val="18"/>
                <w:szCs w:val="18"/>
              </w:rPr>
              <w:t xml:space="preserve">Pre-production pilot — test environment only at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[Pre-pilot / Pilot / Production / Retired]</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Accountable Owner</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Founder, Urielle AI (see S1-05)</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[Named individual — cross-reference S1-05]</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3 — FULL NARRATIVE DESCRIPTION (1–3 Pages)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EF4FB" w:val="clear"/>
            <w:tcMar>
              <w:top w:type="dxa" w:w="140"/>
              <w:left w:type="dxa" w:w="200"/>
              <w:bottom w:type="dxa" w:w="140"/>
              <w:right w:type="dxa" w:w="200"/>
            </w:tcMar>
          </w:tcPr>
          <w:p>
            <w:pPr>
              <w:pBdr>
                <w:bottom w:val="single" w:color="2E75B6" w:sz="4" w:space="2"/>
              </w:pBdr>
              <w:spacing w:after="80" w:before="180"/>
            </w:pPr>
            <w:r>
              <w:rPr>
                <w:rFonts w:ascii="Arial" w:cs="Arial" w:eastAsia="Arial" w:hAnsi="Arial"/>
                <w:b/>
                <w:bCs/>
                <w:color w:val="1F4E79"/>
                <w:sz w:val="22"/>
                <w:szCs w:val="22"/>
              </w:rPr>
              <w:t xml:space="preserve">3.1  What Is This System?</w:t>
            </w:r>
          </w:p>
          <w:p>
            <w:pPr>
              <w:spacing w:after="80" w:before="0"/>
            </w:pPr>
            <w:r>
              <w:rPr>
                <w:rFonts w:ascii="Arial" w:cs="Arial" w:eastAsia="Arial" w:hAnsi="Arial"/>
                <w:b w:val="false"/>
                <w:bCs w:val="false"/>
                <w:color w:val="000000"/>
                <w:sz w:val="18"/>
                <w:szCs w:val="18"/>
              </w:rPr>
              <w:t xml:space="preserve">NCAOS-Urielle is an External Governance Shell (EGS) — a software enforcement layer purpose-built to govern the boundary between AI systems and the operating environment in which they run. It does not perform AI inference, make predictions, or generate content. Instead, it acts as a policy guardian: observing AI system interactions, judging them against pre-defined governance rules, and enforcing allow, deny, or alert decisions at the API boundary.</w:t>
            </w:r>
          </w:p>
          <w:p>
            <w:pPr>
              <w:spacing w:after="80" w:before="0"/>
            </w:pPr>
            <w:r>
              <w:rPr>
                <w:rFonts w:ascii="Arial" w:cs="Arial" w:eastAsia="Arial" w:hAnsi="Arial"/>
                <w:b w:val="false"/>
                <w:bCs w:val="false"/>
                <w:color w:val="000000"/>
                <w:sz w:val="18"/>
                <w:szCs w:val="18"/>
              </w:rPr>
              <w:t xml:space="preserve">The system was developed as a TypeScript monorepo across a 7-phase bilateral build between Urielle AI (Singapore) and NCAOS Japan (Toru). It reached v1.0 Release Candidate status upon completion of Phase 07 — a stakeholder demonstration and validation exercise with the bilateral partner.</w:t>
            </w:r>
          </w:p>
          <w:p>
            <w:pPr>
              <w:spacing w:after="80" w:before="0"/>
            </w:pPr>
            <w:r>
              <w:rPr>
                <w:rFonts w:ascii="Arial" w:cs="Arial" w:eastAsia="Arial" w:hAnsi="Arial"/>
                <w:b w:val="false"/>
                <w:bCs w:val="false"/>
                <w:color w:val="000000"/>
                <w:sz w:val="18"/>
                <w:szCs w:val="18"/>
              </w:rPr>
              <w:t xml:space="preserve">In operational terms, NCAOS-Urielle implements what is sometimes called an Observe → Judge → Enforce loop:</w:t>
            </w:r>
          </w:p>
          <w:p>
            <w:pPr>
              <w:pStyle w:val="ListParagraph"/>
              <w:numPr>
                <w:ilvl w:val="0"/>
                <w:numId w:val="2"/>
              </w:numPr>
              <w:spacing w:after="30" w:before="30"/>
            </w:pPr>
            <w:r>
              <w:rPr>
                <w:rFonts w:ascii="Arial" w:cs="Arial" w:eastAsia="Arial" w:hAnsi="Arial"/>
                <w:color w:val="000000"/>
                <w:sz w:val="18"/>
                <w:szCs w:val="18"/>
              </w:rPr>
              <w:t xml:space="preserve">OBSERVE: The system intercepts API calls between tenant applications and AI services, capturing call metadata, payload characteristics, and tenant context.</w:t>
            </w:r>
          </w:p>
          <w:p>
            <w:pPr>
              <w:pStyle w:val="ListParagraph"/>
              <w:numPr>
                <w:ilvl w:val="0"/>
                <w:numId w:val="2"/>
              </w:numPr>
              <w:spacing w:after="30" w:before="30"/>
            </w:pPr>
            <w:r>
              <w:rPr>
                <w:rFonts w:ascii="Arial" w:cs="Arial" w:eastAsia="Arial" w:hAnsi="Arial"/>
                <w:color w:val="000000"/>
                <w:sz w:val="18"/>
                <w:szCs w:val="18"/>
              </w:rPr>
              <w:t xml:space="preserve">JUDGE: Captured events are evaluated against the policy rule set defined for that tenant. Rules specify which API interactions are permitted, which are denied, and which trigger an alert for human review.</w:t>
            </w:r>
          </w:p>
          <w:p>
            <w:pPr>
              <w:pStyle w:val="ListParagraph"/>
              <w:numPr>
                <w:ilvl w:val="0"/>
                <w:numId w:val="2"/>
              </w:numPr>
              <w:spacing w:after="30" w:before="30"/>
            </w:pPr>
            <w:r>
              <w:rPr>
                <w:rFonts w:ascii="Arial" w:cs="Arial" w:eastAsia="Arial" w:hAnsi="Arial"/>
                <w:color w:val="000000"/>
                <w:sz w:val="18"/>
                <w:szCs w:val="18"/>
              </w:rPr>
              <w:t xml:space="preserve">ENFORCE: The system acts on the judgement — passing permitted calls, blocking denied calls, and generating structured audit signals for all decisions regardless of outcome.</w:t>
            </w:r>
          </w:p>
          <w:p>
            <w:pPr>
              <w:pBdr>
                <w:bottom w:val="single" w:color="2E75B6" w:sz="4" w:space="2"/>
              </w:pBdr>
              <w:spacing w:after="80" w:before="180"/>
            </w:pPr>
            <w:r>
              <w:rPr>
                <w:rFonts w:ascii="Arial" w:cs="Arial" w:eastAsia="Arial" w:hAnsi="Arial"/>
                <w:b/>
                <w:bCs/>
                <w:color w:val="1F4E79"/>
                <w:sz w:val="22"/>
                <w:szCs w:val="22"/>
              </w:rPr>
              <w:t xml:space="preserve">3.2  Who Does It Serve?</w:t>
            </w:r>
          </w:p>
          <w:p>
            <w:pPr>
              <w:spacing w:after="80" w:before="0"/>
            </w:pPr>
            <w:r>
              <w:rPr>
                <w:rFonts w:ascii="Arial" w:cs="Arial" w:eastAsia="Arial" w:hAnsi="Arial"/>
                <w:b w:val="false"/>
                <w:bCs w:val="false"/>
                <w:color w:val="000000"/>
                <w:sz w:val="18"/>
                <w:szCs w:val="18"/>
              </w:rPr>
              <w:t xml:space="preserve">NCAOS-Urielle is designed for organisations that operate AI systems in multi-tenant environments and require assurance that AI behaviour remains within defined policy boundaries. Its primary users are governance practitioners and technical operators — not end consumers.</w:t>
            </w:r>
          </w:p>
          <w:p>
            <w:pPr>
              <w:spacing w:after="30" w:before="80"/>
            </w:pPr>
            <w:r>
              <w:rPr>
                <w:rFonts w:ascii="Arial" w:cs="Arial" w:eastAsia="Arial" w:hAnsi="Arial"/>
                <w:b/>
                <w:bCs/>
                <w:color w:val="1F4E79"/>
                <w:sz w:val="17"/>
                <w:szCs w:val="17"/>
              </w:rPr>
              <w:t xml:space="preserve">Primary User Groups:</w:t>
            </w:r>
          </w:p>
          <w:p>
            <w:pPr>
              <w:pStyle w:val="ListParagraph"/>
              <w:numPr>
                <w:ilvl w:val="0"/>
                <w:numId w:val="2"/>
              </w:numPr>
              <w:spacing w:after="30" w:before="30"/>
            </w:pPr>
            <w:r>
              <w:rPr>
                <w:rFonts w:ascii="Arial" w:cs="Arial" w:eastAsia="Arial" w:hAnsi="Arial"/>
                <w:color w:val="000000"/>
                <w:sz w:val="18"/>
                <w:szCs w:val="18"/>
              </w:rPr>
              <w:t xml:space="preserve">AI Governance Practitioners — professionals responsible for designing and enforcing AI governance frameworks in enterprise environments.</w:t>
            </w:r>
          </w:p>
          <w:p>
            <w:pPr>
              <w:pStyle w:val="ListParagraph"/>
              <w:numPr>
                <w:ilvl w:val="0"/>
                <w:numId w:val="2"/>
              </w:numPr>
              <w:spacing w:after="30" w:before="30"/>
            </w:pPr>
            <w:r>
              <w:rPr>
                <w:rFonts w:ascii="Arial" w:cs="Arial" w:eastAsia="Arial" w:hAnsi="Arial"/>
                <w:color w:val="000000"/>
                <w:sz w:val="18"/>
                <w:szCs w:val="18"/>
              </w:rPr>
              <w:t xml:space="preserve">Compliance Officers — personnel accountable for regulatory conformance with the EU AI Act, ISO 42001, or equivalent national frameworks.</w:t>
            </w:r>
          </w:p>
          <w:p>
            <w:pPr>
              <w:pStyle w:val="ListParagraph"/>
              <w:numPr>
                <w:ilvl w:val="0"/>
                <w:numId w:val="2"/>
              </w:numPr>
              <w:spacing w:after="30" w:before="30"/>
            </w:pPr>
            <w:r>
              <w:rPr>
                <w:rFonts w:ascii="Arial" w:cs="Arial" w:eastAsia="Arial" w:hAnsi="Arial"/>
                <w:color w:val="000000"/>
                <w:sz w:val="18"/>
                <w:szCs w:val="18"/>
              </w:rPr>
              <w:t xml:space="preserve">Enterprise AI Risk Teams — technical and risk functions assessing AI system behaviour, anomaly patterns, and boundary events.</w:t>
            </w:r>
          </w:p>
          <w:p>
            <w:pPr>
              <w:pStyle w:val="ListParagraph"/>
              <w:numPr>
                <w:ilvl w:val="0"/>
                <w:numId w:val="2"/>
              </w:numPr>
              <w:spacing w:after="30" w:before="30"/>
            </w:pPr>
            <w:r>
              <w:rPr>
                <w:rFonts w:ascii="Arial" w:cs="Arial" w:eastAsia="Arial" w:hAnsi="Arial"/>
                <w:color w:val="000000"/>
                <w:sz w:val="18"/>
                <w:szCs w:val="18"/>
              </w:rPr>
              <w:t xml:space="preserve">AI Audit Principals — third-party auditors requiring structured, tamper-evident evidence of AI system governance for formal conformance assessments.</w:t>
            </w:r>
          </w:p>
          <w:p>
            <w:pPr>
              <w:pStyle w:val="ListParagraph"/>
              <w:numPr>
                <w:ilvl w:val="0"/>
                <w:numId w:val="2"/>
              </w:numPr>
              <w:spacing w:after="30" w:before="30"/>
            </w:pPr>
            <w:r>
              <w:rPr>
                <w:rFonts w:ascii="Arial" w:cs="Arial" w:eastAsia="Arial" w:hAnsi="Arial"/>
                <w:color w:val="000000"/>
                <w:sz w:val="18"/>
                <w:szCs w:val="18"/>
              </w:rPr>
              <w:t xml:space="preserve">Platform Operators — technical personnel responsible for deploying and maintaining the EGS in production infrastructure.</w:t>
            </w:r>
          </w:p>
          <w:p>
            <w:pPr>
              <w:spacing w:after="80" w:before="0"/>
            </w:pPr>
            <w:r>
              <w:rPr>
                <w:rFonts w:ascii="Arial" w:cs="Arial" w:eastAsia="Arial" w:hAnsi="Arial"/>
                <w:b w:val="false"/>
                <w:bCs w:val="false"/>
                <w:color w:val="595959"/>
                <w:sz w:val="18"/>
                <w:szCs w:val="18"/>
              </w:rPr>
              <w:t xml:space="preserve">The system is explicitly not designed for consumer use. It requires a qualified operator with governance or technical competence to configure, operate, and interpret its outputs. Deployment without a qualified operator is an excluded use case (see S1-04).</w:t>
            </w:r>
          </w:p>
          <w:p>
            <w:pPr>
              <w:pBdr>
                <w:bottom w:val="single" w:color="2E75B6" w:sz="4" w:space="2"/>
              </w:pBdr>
              <w:spacing w:after="80" w:before="180"/>
            </w:pPr>
            <w:r>
              <w:rPr>
                <w:rFonts w:ascii="Arial" w:cs="Arial" w:eastAsia="Arial" w:hAnsi="Arial"/>
                <w:b/>
                <w:bCs/>
                <w:color w:val="1F4E79"/>
                <w:sz w:val="22"/>
                <w:szCs w:val="22"/>
              </w:rPr>
              <w:t xml:space="preserve">3.3  What Decisions Does It Make or Support?</w:t>
            </w:r>
          </w:p>
          <w:p>
            <w:pPr>
              <w:spacing w:after="80" w:before="0"/>
            </w:pPr>
            <w:r>
              <w:rPr>
                <w:rFonts w:ascii="Arial" w:cs="Arial" w:eastAsia="Arial" w:hAnsi="Arial"/>
                <w:b w:val="false"/>
                <w:bCs w:val="false"/>
                <w:color w:val="000000"/>
                <w:sz w:val="18"/>
                <w:szCs w:val="18"/>
              </w:rPr>
              <w:t xml:space="preserve">NCAOS-Urielle makes three categories of enforcement decision:</w:t>
            </w:r>
          </w:p>
          <w:p>
            <w:pPr>
              <w:spacing w:after="40" w:before="40"/>
            </w:pPr>
            <w:r>
              <w:rPr>
                <w:rFonts w:ascii="Arial" w:cs="Arial" w:eastAsia="Arial" w:hAnsi="Arial"/>
                <w:b/>
                <w:bCs/>
                <w:color w:val="1F4E79"/>
                <w:sz w:val="18"/>
                <w:szCs w:val="18"/>
              </w:rPr>
              <w:t xml:space="preserve">ALLOW — </w:t>
            </w:r>
            <w:r>
              <w:rPr>
                <w:rFonts w:ascii="Arial" w:cs="Arial" w:eastAsia="Arial" w:hAnsi="Arial"/>
                <w:sz w:val="18"/>
                <w:szCs w:val="18"/>
              </w:rPr>
              <w:t xml:space="preserve">The API call or AI interaction is within the defined policy boundary for the tenant. The call proceeds without intervention.</w:t>
            </w:r>
          </w:p>
          <w:p>
            <w:pPr>
              <w:spacing w:after="40" w:before="40"/>
            </w:pPr>
            <w:r>
              <w:rPr>
                <w:rFonts w:ascii="Arial" w:cs="Arial" w:eastAsia="Arial" w:hAnsi="Arial"/>
                <w:b/>
                <w:bCs/>
                <w:color w:val="1F4E79"/>
                <w:sz w:val="18"/>
                <w:szCs w:val="18"/>
              </w:rPr>
              <w:t xml:space="preserve">DENY — </w:t>
            </w:r>
            <w:r>
              <w:rPr>
                <w:rFonts w:ascii="Arial" w:cs="Arial" w:eastAsia="Arial" w:hAnsi="Arial"/>
                <w:sz w:val="18"/>
                <w:szCs w:val="18"/>
              </w:rPr>
              <w:t xml:space="preserve">The API call violates a defined policy rule. The call is blocked and a denial record is written to the EventStore.</w:t>
            </w:r>
          </w:p>
          <w:p>
            <w:pPr>
              <w:spacing w:after="40" w:before="40"/>
            </w:pPr>
            <w:r>
              <w:rPr>
                <w:rFonts w:ascii="Arial" w:cs="Arial" w:eastAsia="Arial" w:hAnsi="Arial"/>
                <w:b/>
                <w:bCs/>
                <w:color w:val="1F4E79"/>
                <w:sz w:val="18"/>
                <w:szCs w:val="18"/>
              </w:rPr>
              <w:t xml:space="preserve">ALERT — </w:t>
            </w:r>
            <w:r>
              <w:rPr>
                <w:rFonts w:ascii="Arial" w:cs="Arial" w:eastAsia="Arial" w:hAnsi="Arial"/>
                <w:sz w:val="18"/>
                <w:szCs w:val="18"/>
              </w:rPr>
              <w:t xml:space="preserve">The API call is within policy but meets conditions that warrant human review — for example, an unusual call volume, a novel payload pattern, or a boundary condition defined in the tenant's policy rule set.</w:t>
            </w:r>
          </w:p>
          <w:p>
            <w:pPr>
              <w:spacing w:after="80" w:before="60"/>
            </w:pPr>
            <w:r>
              <w:rPr>
                <w:rFonts w:ascii="Arial" w:cs="Arial" w:eastAsia="Arial" w:hAnsi="Arial"/>
                <w:b w:val="false"/>
                <w:bCs w:val="false"/>
                <w:color w:val="000000"/>
                <w:sz w:val="18"/>
                <w:szCs w:val="18"/>
              </w:rPr>
              <w:t xml:space="preserve">These decisions are made deterministically by the policy enforcement engine (@ncaos/shell). They are not probabilistic — there is no confidence score or ML inference. A given API call will always produce the same enforcement decision for a given policy rule set. The system does not make decisions about natural persons. Its decisions are about system-level API interactions.</w:t>
            </w:r>
          </w:p>
          <w:p>
            <w:pPr>
              <w:spacing w:after="80" w:before="0"/>
            </w:pPr>
            <w:r>
              <w:rPr>
                <w:rFonts w:ascii="Arial" w:cs="Arial" w:eastAsia="Arial" w:hAnsi="Arial"/>
                <w:b w:val="false"/>
                <w:bCs w:val="false"/>
                <w:color w:val="000000"/>
                <w:sz w:val="18"/>
                <w:szCs w:val="18"/>
              </w:rPr>
              <w:t xml:space="preserve">The Admin Terminal (@ncaos/ui) provides a role-based human interface through which authorised personnel can review boundary decisions, examine audit event logs, and configure policy rule sets. Human oversight is structurally embedded — the system does not operate autonomously beyond its enforcement role.</w:t>
            </w:r>
          </w:p>
          <w:p>
            <w:pPr>
              <w:pBdr>
                <w:bottom w:val="single" w:color="2E75B6" w:sz="4" w:space="2"/>
              </w:pBdr>
              <w:spacing w:after="80" w:before="180"/>
            </w:pPr>
            <w:r>
              <w:rPr>
                <w:rFonts w:ascii="Arial" w:cs="Arial" w:eastAsia="Arial" w:hAnsi="Arial"/>
                <w:b/>
                <w:bCs/>
                <w:color w:val="1F4E79"/>
                <w:sz w:val="22"/>
                <w:szCs w:val="22"/>
              </w:rPr>
              <w:t xml:space="preserve">3.4  What Data Does It Process?</w:t>
            </w:r>
          </w:p>
          <w:p>
            <w:pPr>
              <w:spacing w:after="80" w:before="0"/>
            </w:pPr>
            <w:r>
              <w:rPr>
                <w:rFonts w:ascii="Arial" w:cs="Arial" w:eastAsia="Arial" w:hAnsi="Arial"/>
                <w:b w:val="false"/>
                <w:bCs w:val="false"/>
                <w:color w:val="000000"/>
                <w:sz w:val="18"/>
                <w:szCs w:val="18"/>
              </w:rPr>
              <w:t xml:space="preserve">NCAOS-Urielle processes the following categories of data at runtime:</w:t>
            </w:r>
          </w:p>
          <w:p>
            <w:pPr>
              <w:spacing w:after="30" w:before="80"/>
            </w:pPr>
            <w:r>
              <w:rPr>
                <w:rFonts w:ascii="Arial" w:cs="Arial" w:eastAsia="Arial" w:hAnsi="Arial"/>
                <w:b/>
                <w:bCs/>
                <w:color w:val="1F4E79"/>
                <w:sz w:val="17"/>
                <w:szCs w:val="17"/>
              </w:rPr>
              <w:t xml:space="preserve">Operational Data (processed):</w:t>
            </w:r>
          </w:p>
          <w:p>
            <w:pPr>
              <w:pStyle w:val="ListParagraph"/>
              <w:numPr>
                <w:ilvl w:val="0"/>
                <w:numId w:val="2"/>
              </w:numPr>
              <w:spacing w:after="30" w:before="30"/>
            </w:pPr>
            <w:r>
              <w:rPr>
                <w:rFonts w:ascii="Arial" w:cs="Arial" w:eastAsia="Arial" w:hAnsi="Arial"/>
                <w:color w:val="000000"/>
                <w:sz w:val="18"/>
                <w:szCs w:val="18"/>
              </w:rPr>
              <w:t xml:space="preserve">Tenant identifiers — pseudonymous identifiers that associate API calls with a specific tenant context. Not linked to natural persons.</w:t>
            </w:r>
          </w:p>
          <w:p>
            <w:pPr>
              <w:pStyle w:val="ListParagraph"/>
              <w:numPr>
                <w:ilvl w:val="0"/>
                <w:numId w:val="2"/>
              </w:numPr>
              <w:spacing w:after="30" w:before="30"/>
            </w:pPr>
            <w:r>
              <w:rPr>
                <w:rFonts w:ascii="Arial" w:cs="Arial" w:eastAsia="Arial" w:hAnsi="Arial"/>
                <w:color w:val="000000"/>
                <w:sz w:val="18"/>
                <w:szCs w:val="18"/>
              </w:rPr>
              <w:t xml:space="preserve">API call metadata — endpoint path, HTTP method, timestamp, response code, payload size. No payload content is retained by default.</w:t>
            </w:r>
          </w:p>
          <w:p>
            <w:pPr>
              <w:pStyle w:val="ListParagraph"/>
              <w:numPr>
                <w:ilvl w:val="0"/>
                <w:numId w:val="2"/>
              </w:numPr>
              <w:spacing w:after="30" w:before="30"/>
            </w:pPr>
            <w:r>
              <w:rPr>
                <w:rFonts w:ascii="Arial" w:cs="Arial" w:eastAsia="Arial" w:hAnsi="Arial"/>
                <w:color w:val="000000"/>
                <w:sz w:val="18"/>
                <w:szCs w:val="18"/>
              </w:rPr>
              <w:t xml:space="preserve">Policy rule sets — TypeScript-defined governance rules authored per tenant. These are configuration artefacts, not personal data.</w:t>
            </w:r>
          </w:p>
          <w:p>
            <w:pPr>
              <w:pStyle w:val="ListParagraph"/>
              <w:numPr>
                <w:ilvl w:val="0"/>
                <w:numId w:val="2"/>
              </w:numPr>
              <w:spacing w:after="30" w:before="30"/>
            </w:pPr>
            <w:r>
              <w:rPr>
                <w:rFonts w:ascii="Arial" w:cs="Arial" w:eastAsia="Arial" w:hAnsi="Arial"/>
                <w:color w:val="000000"/>
                <w:sz w:val="18"/>
                <w:szCs w:val="18"/>
              </w:rPr>
              <w:t xml:space="preserve">Boundary event records — structured AuditSignal objects (Zod-validated) written to the EventStore for every allow/deny/alert decision.</w:t>
            </w:r>
          </w:p>
          <w:p>
            <w:pPr>
              <w:pStyle w:val="ListParagraph"/>
              <w:numPr>
                <w:ilvl w:val="0"/>
                <w:numId w:val="2"/>
              </w:numPr>
              <w:spacing w:after="30" w:before="30"/>
            </w:pPr>
            <w:r>
              <w:rPr>
                <w:rFonts w:ascii="Arial" w:cs="Arial" w:eastAsia="Arial" w:hAnsi="Arial"/>
                <w:color w:val="000000"/>
                <w:sz w:val="18"/>
                <w:szCs w:val="18"/>
              </w:rPr>
              <w:t xml:space="preserve">Anomaly detection signals — statistical flags generated by @ncaos/detection when call patterns deviate from baseline thresholds.</w:t>
            </w:r>
          </w:p>
          <w:p>
            <w:pPr>
              <w:spacing w:after="30" w:before="80"/>
            </w:pPr>
            <w:r>
              <w:rPr>
                <w:rFonts w:ascii="Arial" w:cs="Arial" w:eastAsia="Arial" w:hAnsi="Arial"/>
                <w:b/>
                <w:bCs/>
                <w:color w:val="1F4E79"/>
                <w:sz w:val="17"/>
                <w:szCs w:val="17"/>
              </w:rPr>
              <w:t xml:space="preserve">Data Not Processed (by design):</w:t>
            </w:r>
          </w:p>
          <w:p>
            <w:pPr>
              <w:pStyle w:val="ListParagraph"/>
              <w:numPr>
                <w:ilvl w:val="0"/>
                <w:numId w:val="2"/>
              </w:numPr>
              <w:spacing w:after="30" w:before="30"/>
            </w:pPr>
            <w:r>
              <w:rPr>
                <w:rFonts w:ascii="Arial" w:cs="Arial" w:eastAsia="Arial" w:hAnsi="Arial"/>
                <w:color w:val="000000"/>
                <w:sz w:val="18"/>
                <w:szCs w:val="18"/>
              </w:rPr>
              <w:t xml:space="preserve">Personal data — no names, email addresses, national IDs, or other personal identifiers are processed at v1.0-rc.</w:t>
            </w:r>
          </w:p>
          <w:p>
            <w:pPr>
              <w:pStyle w:val="ListParagraph"/>
              <w:numPr>
                <w:ilvl w:val="0"/>
                <w:numId w:val="2"/>
              </w:numPr>
              <w:spacing w:after="30" w:before="30"/>
            </w:pPr>
            <w:r>
              <w:rPr>
                <w:rFonts w:ascii="Arial" w:cs="Arial" w:eastAsia="Arial" w:hAnsi="Arial"/>
                <w:color w:val="000000"/>
                <w:sz w:val="18"/>
                <w:szCs w:val="18"/>
              </w:rPr>
              <w:t xml:space="preserve">Special category data — no health, biometric, financial, political, religious, or racial data is processed.</w:t>
            </w:r>
          </w:p>
          <w:p>
            <w:pPr>
              <w:pStyle w:val="ListParagraph"/>
              <w:numPr>
                <w:ilvl w:val="0"/>
                <w:numId w:val="2"/>
              </w:numPr>
              <w:spacing w:after="30" w:before="30"/>
            </w:pPr>
            <w:r>
              <w:rPr>
                <w:rFonts w:ascii="Arial" w:cs="Arial" w:eastAsia="Arial" w:hAnsi="Arial"/>
                <w:color w:val="000000"/>
                <w:sz w:val="18"/>
                <w:szCs w:val="18"/>
              </w:rPr>
              <w:t xml:space="preserve">AI model outputs — the system observes AI system interactions at the API boundary but does not inspect or retain the content of AI-generated responses.</w:t>
            </w:r>
          </w:p>
          <w:p>
            <w:pPr>
              <w:spacing w:after="80" w:before="60"/>
            </w:pPr>
            <w:r>
              <w:rPr>
                <w:rFonts w:ascii="Arial" w:cs="Arial" w:eastAsia="Arial" w:hAnsi="Arial"/>
                <w:b w:val="false"/>
                <w:bCs w:val="false"/>
                <w:color w:val="595959"/>
                <w:sz w:val="18"/>
                <w:szCs w:val="18"/>
              </w:rPr>
              <w:t xml:space="preserve">Data governance: All policy rule sets are version-controlled in GitHub (github.com/wholidi/NCAOS-Urielle). Runtime audit logs are stored in a local EventStore at v1.0-rc pilot stage. A production data retention policy has not yet been finalised and is a condition of full production approval (see S2-05 COND-03).</w:t>
            </w:r>
          </w:p>
          <w:p>
            <w:pPr>
              <w:pBdr>
                <w:bottom w:val="single" w:color="2E75B6" w:sz="4" w:space="2"/>
              </w:pBdr>
              <w:spacing w:after="80" w:before="180"/>
            </w:pPr>
            <w:r>
              <w:rPr>
                <w:rFonts w:ascii="Arial" w:cs="Arial" w:eastAsia="Arial" w:hAnsi="Arial"/>
                <w:b/>
                <w:bCs/>
                <w:color w:val="1F4E79"/>
                <w:sz w:val="22"/>
                <w:szCs w:val="22"/>
              </w:rPr>
              <w:t xml:space="preserve">3.5  How Was It Built?</w:t>
            </w:r>
          </w:p>
          <w:p>
            <w:pPr>
              <w:spacing w:after="80" w:before="0"/>
            </w:pPr>
            <w:r>
              <w:rPr>
                <w:rFonts w:ascii="Arial" w:cs="Arial" w:eastAsia="Arial" w:hAnsi="Arial"/>
                <w:b w:val="false"/>
                <w:bCs w:val="false"/>
                <w:color w:val="000000"/>
                <w:sz w:val="18"/>
                <w:szCs w:val="18"/>
              </w:rPr>
              <w:t xml:space="preserve">The system was developed across 7 structured phases over the period January–June 2026, as a bilateral build between Urielle AI (Singapore) and NCAOS Japan (Toru):</w:t>
            </w:r>
          </w:p>
          <w:p>
            <w:pPr>
              <w:pStyle w:val="ListParagraph"/>
              <w:numPr>
                <w:ilvl w:val="0"/>
                <w:numId w:val="3"/>
              </w:numPr>
              <w:spacing w:after="30" w:before="30"/>
            </w:pPr>
            <w:r>
              <w:rPr>
                <w:rFonts w:ascii="Arial" w:cs="Arial" w:eastAsia="Arial" w:hAnsi="Arial"/>
                <w:sz w:val="18"/>
                <w:szCs w:val="18"/>
              </w:rPr>
              <w:t xml:space="preserve">Phase 01 — @ncaos/core: Domain primitives, tenant models, and policy contract interfaces.</w:t>
            </w:r>
          </w:p>
          <w:p>
            <w:pPr>
              <w:pStyle w:val="ListParagraph"/>
              <w:numPr>
                <w:ilvl w:val="0"/>
                <w:numId w:val="3"/>
              </w:numPr>
              <w:spacing w:after="30" w:before="30"/>
            </w:pPr>
            <w:r>
              <w:rPr>
                <w:rFonts w:ascii="Arial" w:cs="Arial" w:eastAsia="Arial" w:hAnsi="Arial"/>
                <w:sz w:val="18"/>
                <w:szCs w:val="18"/>
              </w:rPr>
              <w:t xml:space="preserve">Phase 02 — @ncaos/shell: Policy enforcement engine implementing the Observe→Judge→Enforce loop.</w:t>
            </w:r>
          </w:p>
          <w:p>
            <w:pPr>
              <w:pStyle w:val="ListParagraph"/>
              <w:numPr>
                <w:ilvl w:val="0"/>
                <w:numId w:val="3"/>
              </w:numPr>
              <w:spacing w:after="30" w:before="30"/>
            </w:pPr>
            <w:r>
              <w:rPr>
                <w:rFonts w:ascii="Arial" w:cs="Arial" w:eastAsia="Arial" w:hAnsi="Arial"/>
                <w:sz w:val="18"/>
                <w:szCs w:val="18"/>
              </w:rPr>
              <w:t xml:space="preserve">Phase 03 — @ncaos/detection: Anomaly detection module using threshold-based statistical signal processing.</w:t>
            </w:r>
          </w:p>
          <w:p>
            <w:pPr>
              <w:pStyle w:val="ListParagraph"/>
              <w:numPr>
                <w:ilvl w:val="0"/>
                <w:numId w:val="3"/>
              </w:numPr>
              <w:spacing w:after="30" w:before="30"/>
            </w:pPr>
            <w:r>
              <w:rPr>
                <w:rFonts w:ascii="Arial" w:cs="Arial" w:eastAsia="Arial" w:hAnsi="Arial"/>
                <w:sz w:val="18"/>
                <w:szCs w:val="18"/>
              </w:rPr>
              <w:t xml:space="preserve">Phase 04 — @ncaos/api: REST API layer (14 routes) with EventStore for tamper-evident audit log persistence.</w:t>
            </w:r>
          </w:p>
          <w:p>
            <w:pPr>
              <w:pStyle w:val="ListParagraph"/>
              <w:numPr>
                <w:ilvl w:val="0"/>
                <w:numId w:val="3"/>
              </w:numPr>
              <w:spacing w:after="30" w:before="30"/>
            </w:pPr>
            <w:r>
              <w:rPr>
                <w:rFonts w:ascii="Arial" w:cs="Arial" w:eastAsia="Arial" w:hAnsi="Arial"/>
                <w:sz w:val="18"/>
                <w:szCs w:val="18"/>
              </w:rPr>
              <w:t xml:space="preserve">Phase 05 — @ncaos/ui + @ncaos/audit-signal: React Admin Terminal (4 RBAC roles) and Zod-validated AuditSignal schema (ADR-006).</w:t>
            </w:r>
          </w:p>
          <w:p>
            <w:pPr>
              <w:pStyle w:val="ListParagraph"/>
              <w:numPr>
                <w:ilvl w:val="0"/>
                <w:numId w:val="3"/>
              </w:numPr>
              <w:spacing w:after="30" w:before="30"/>
            </w:pPr>
            <w:r>
              <w:rPr>
                <w:rFonts w:ascii="Arial" w:cs="Arial" w:eastAsia="Arial" w:hAnsi="Arial"/>
                <w:sz w:val="18"/>
                <w:szCs w:val="18"/>
              </w:rPr>
              <w:t xml:space="preserve">Phase 06 — @ncaos/hardening: Security hardening informed by STRIDE/AI-ML threat model; 11 penetration tests; ISO 42001 control mapping.</w:t>
            </w:r>
          </w:p>
          <w:p>
            <w:pPr>
              <w:pStyle w:val="ListParagraph"/>
              <w:numPr>
                <w:ilvl w:val="0"/>
                <w:numId w:val="3"/>
              </w:numPr>
              <w:spacing w:after="30" w:before="30"/>
            </w:pPr>
            <w:r>
              <w:rPr>
                <w:rFonts w:ascii="Arial" w:cs="Arial" w:eastAsia="Arial" w:hAnsi="Arial"/>
                <w:sz w:val="18"/>
                <w:szCs w:val="18"/>
              </w:rPr>
              <w:t xml:space="preserve">Phase 07 — Stakeholder demonstration and v1.0-rc tagging. Bilateral validation with Toru (NCAOS Japan).</w:t>
            </w:r>
          </w:p>
          <w:p>
            <w:pPr>
              <w:spacing w:after="80" w:before="60"/>
            </w:pPr>
            <w:r>
              <w:rPr>
                <w:rFonts w:ascii="Arial" w:cs="Arial" w:eastAsia="Arial" w:hAnsi="Arial"/>
                <w:b w:val="false"/>
                <w:bCs w:val="false"/>
                <w:color w:val="000000"/>
                <w:sz w:val="18"/>
                <w:szCs w:val="18"/>
              </w:rPr>
              <w:t xml:space="preserve">Validation: 229 automated Vitest tests passed across all 7 phases. Zero unmitigated Critical or High-severity security findings at v1.0-rc release. Full evaluation results are documented in S2-03.</w:t>
            </w:r>
          </w:p>
          <w:p>
            <w:pPr>
              <w:pBdr>
                <w:bottom w:val="single" w:color="2E75B6" w:sz="4" w:space="2"/>
              </w:pBdr>
              <w:spacing w:after="80" w:before="180"/>
            </w:pPr>
            <w:r>
              <w:rPr>
                <w:rFonts w:ascii="Arial" w:cs="Arial" w:eastAsia="Arial" w:hAnsi="Arial"/>
                <w:b/>
                <w:bCs/>
                <w:color w:val="1F4E79"/>
                <w:sz w:val="22"/>
                <w:szCs w:val="22"/>
              </w:rPr>
              <w:t xml:space="preserve">3.6  What Are Its Known Limitations?</w:t>
            </w:r>
          </w:p>
          <w:p>
            <w:pPr>
              <w:spacing w:after="80" w:before="0"/>
            </w:pPr>
            <w:r>
              <w:rPr>
                <w:rFonts w:ascii="Arial" w:cs="Arial" w:eastAsia="Arial" w:hAnsi="Arial"/>
                <w:b w:val="false"/>
                <w:bCs w:val="false"/>
                <w:color w:val="000000"/>
                <w:sz w:val="18"/>
                <w:szCs w:val="18"/>
              </w:rPr>
              <w:t xml:space="preserve">The following material limitations apply to v1.0-rc and are disclosed in full in the Model Card (S2-01):</w:t>
            </w:r>
          </w:p>
          <w:p>
            <w:pPr>
              <w:pStyle w:val="ListParagraph"/>
              <w:numPr>
                <w:ilvl w:val="0"/>
                <w:numId w:val="2"/>
              </w:numPr>
              <w:spacing w:after="30" w:before="30"/>
            </w:pPr>
            <w:r>
              <w:rPr>
                <w:rFonts w:ascii="Arial" w:cs="Arial" w:eastAsia="Arial" w:hAnsi="Arial"/>
                <w:color w:val="000000"/>
                <w:sz w:val="18"/>
                <w:szCs w:val="18"/>
              </w:rPr>
              <w:t xml:space="preserve">Performance: API latency and throughput have not been formally benchmarked. Production-scale performance is unknown.</w:t>
            </w:r>
          </w:p>
          <w:p>
            <w:pPr>
              <w:pStyle w:val="ListParagraph"/>
              <w:numPr>
                <w:ilvl w:val="0"/>
                <w:numId w:val="2"/>
              </w:numPr>
              <w:spacing w:after="30" w:before="30"/>
            </w:pPr>
            <w:r>
              <w:rPr>
                <w:rFonts w:ascii="Arial" w:cs="Arial" w:eastAsia="Arial" w:hAnsi="Arial"/>
                <w:color w:val="000000"/>
                <w:sz w:val="18"/>
                <w:szCs w:val="18"/>
              </w:rPr>
              <w:t xml:space="preserve">Scope: Validated in a test environment only. Production-scale behaviour is not yet verified.</w:t>
            </w:r>
          </w:p>
          <w:p>
            <w:pPr>
              <w:pStyle w:val="ListParagraph"/>
              <w:numPr>
                <w:ilvl w:val="0"/>
                <w:numId w:val="2"/>
              </w:numPr>
              <w:spacing w:after="30" w:before="30"/>
            </w:pPr>
            <w:r>
              <w:rPr>
                <w:rFonts w:ascii="Arial" w:cs="Arial" w:eastAsia="Arial" w:hAnsi="Arial"/>
                <w:color w:val="000000"/>
                <w:sz w:val="18"/>
                <w:szCs w:val="18"/>
              </w:rPr>
              <w:t xml:space="preserve">Fairness: Formal demographic bias assessment is not applicable at v1.0-rc (no ML model, no personal data). Policy authorship bias is an identified residual risk.</w:t>
            </w:r>
          </w:p>
          <w:p>
            <w:pPr>
              <w:pStyle w:val="ListParagraph"/>
              <w:numPr>
                <w:ilvl w:val="0"/>
                <w:numId w:val="2"/>
              </w:numPr>
              <w:spacing w:after="30" w:before="30"/>
            </w:pPr>
            <w:r>
              <w:rPr>
                <w:rFonts w:ascii="Arial" w:cs="Arial" w:eastAsia="Arial" w:hAnsi="Arial"/>
                <w:color w:val="000000"/>
                <w:sz w:val="18"/>
                <w:szCs w:val="18"/>
              </w:rPr>
              <w:t xml:space="preserve">Jurisdiction: Compliance with US NIST AI RMF (mandatory federal) and PRC AI regulations has not been assessed.</w:t>
            </w:r>
          </w:p>
          <w:p>
            <w:pPr>
              <w:pStyle w:val="ListParagraph"/>
              <w:numPr>
                <w:ilvl w:val="0"/>
                <w:numId w:val="2"/>
              </w:numPr>
              <w:spacing w:after="30" w:before="30"/>
            </w:pPr>
            <w:r>
              <w:rPr>
                <w:rFonts w:ascii="Arial" w:cs="Arial" w:eastAsia="Arial" w:hAnsi="Arial"/>
                <w:color w:val="000000"/>
                <w:sz w:val="18"/>
                <w:szCs w:val="18"/>
              </w:rPr>
              <w:t xml:space="preserve">Decommission: No formal decommission plan exists at pilot stage.</w:t>
            </w:r>
          </w:p>
          <w:p>
            <w:pPr>
              <w:spacing w:after="0" w:before="60"/>
            </w:pPr>
            <w:r>
              <w:rPr>
                <w:rFonts w:ascii="Arial" w:cs="Arial" w:eastAsia="Arial" w:hAnsi="Arial"/>
                <w:b w:val="false"/>
                <w:bCs w:val="false"/>
                <w:color w:val="595959"/>
                <w:sz w:val="18"/>
                <w:szCs w:val="18"/>
              </w:rPr>
              <w:t xml:space="preserve">These limitations are not failures — they represent the honest boundaries of a system at v1.0-rc pilot stage. Each has a documented owner, remediation plan, or trigger condition for re-assessment.</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4 — NARRATIVE TEMPLATE [ Replace for Your Engagement ]</w:t>
            </w:r>
          </w:p>
        </w:tc>
      </w:tr>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Replace the content in this section with your own system's narrative. The six sub-sections below mirror Section 3. Minimum 1 page of substantive content is required. The prompt questions in each sub-section are guides — delete them from the final submission.</w:t>
            </w:r>
          </w:p>
        </w:tc>
      </w:tr>
      <w:tr>
        <w:tc>
          <w:tcPr>
            <w:tcW w:type="dxa" w:w="9360"/>
            <w:tcBorders>
              <w:top w:val="single" w:color="1F4E79" w:sz="4"/>
              <w:left w:val="single" w:color="1F4E79" w:sz="4"/>
              <w:bottom w:val="single" w:color="1F4E79" w:sz="4"/>
              <w:right w:val="single" w:color="1F4E79" w:sz="4"/>
            </w:tcBorders>
            <w:shd w:fill="FFFDE7" w:val="clear"/>
            <w:tcMar>
              <w:top w:type="dxa" w:w="140"/>
              <w:left w:type="dxa" w:w="200"/>
              <w:bottom w:type="dxa" w:w="140"/>
              <w:right w:type="dxa" w:w="200"/>
            </w:tcMar>
          </w:tcPr>
          <w:p>
            <w:pPr>
              <w:pBdr>
                <w:bottom w:val="single" w:color="2E75B6" w:sz="4" w:space="2"/>
              </w:pBdr>
              <w:spacing w:after="80" w:before="180"/>
            </w:pPr>
            <w:r>
              <w:rPr>
                <w:rFonts w:ascii="Arial" w:cs="Arial" w:eastAsia="Arial" w:hAnsi="Arial"/>
                <w:b/>
                <w:bCs/>
                <w:color w:val="1F4E79"/>
                <w:sz w:val="22"/>
                <w:szCs w:val="22"/>
              </w:rPr>
              <w:t xml:space="preserve">4.1  What Is This System?</w:t>
            </w:r>
          </w:p>
          <w:p>
            <w:pPr>
              <w:spacing w:after="80" w:before="0"/>
            </w:pPr>
            <w:r>
              <w:rPr>
                <w:rFonts w:ascii="Arial" w:cs="Arial" w:eastAsia="Arial" w:hAnsi="Arial"/>
                <w:b w:val="false"/>
                <w:bCs w:val="false"/>
                <w:color w:val="7D5A00"/>
                <w:sz w:val="18"/>
                <w:szCs w:val="18"/>
              </w:rPr>
              <w:t xml:space="preserve">[ Describe the system in plain language. What is it? What category of AI system is it? What problem does it solve? Who built it, when, and how? Avoid technical jargon without definition. Target reader: a non-technical auditor with general AI awareness. ]</w:t>
            </w:r>
          </w:p>
          <w:p>
            <w:pPr>
              <w:pBdr>
                <w:bottom w:val="single" w:color="D6E4F0" w:sz="2" w:space="2"/>
              </w:pBdr>
              <w:spacing w:after="120" w:before="120"/>
            </w:pPr>
          </w:p>
          <w:p>
            <w:pPr>
              <w:pBdr>
                <w:bottom w:val="single" w:color="2E75B6" w:sz="4" w:space="2"/>
              </w:pBdr>
              <w:spacing w:after="80" w:before="180"/>
            </w:pPr>
            <w:r>
              <w:rPr>
                <w:rFonts w:ascii="Arial" w:cs="Arial" w:eastAsia="Arial" w:hAnsi="Arial"/>
                <w:b/>
                <w:bCs/>
                <w:color w:val="1F4E79"/>
                <w:sz w:val="22"/>
                <w:szCs w:val="22"/>
              </w:rPr>
              <w:t xml:space="preserve">4.2  Who Does It Serve?</w:t>
            </w:r>
          </w:p>
          <w:p>
            <w:pPr>
              <w:spacing w:after="80" w:before="0"/>
            </w:pPr>
            <w:r>
              <w:rPr>
                <w:rFonts w:ascii="Arial" w:cs="Arial" w:eastAsia="Arial" w:hAnsi="Arial"/>
                <w:b w:val="false"/>
                <w:bCs w:val="false"/>
                <w:color w:val="7D5A00"/>
                <w:sz w:val="18"/>
                <w:szCs w:val="18"/>
              </w:rPr>
              <w:t xml:space="preserve">[ Name the intended users explicitly. Distinguish between the operator (who deploys the system) and the user (who interacts with it) and the affected person (who may be impacted by its outputs). Cross-reference S1-04 Intended Use Statement. ]</w:t>
            </w:r>
          </w:p>
          <w:p>
            <w:pPr>
              <w:pBdr>
                <w:bottom w:val="single" w:color="D6E4F0" w:sz="2" w:space="2"/>
              </w:pBdr>
              <w:spacing w:after="120" w:before="120"/>
            </w:pPr>
          </w:p>
          <w:p>
            <w:pPr>
              <w:pBdr>
                <w:bottom w:val="single" w:color="2E75B6" w:sz="4" w:space="2"/>
              </w:pBdr>
              <w:spacing w:after="80" w:before="180"/>
            </w:pPr>
            <w:r>
              <w:rPr>
                <w:rFonts w:ascii="Arial" w:cs="Arial" w:eastAsia="Arial" w:hAnsi="Arial"/>
                <w:b/>
                <w:bCs/>
                <w:color w:val="1F4E79"/>
                <w:sz w:val="22"/>
                <w:szCs w:val="22"/>
              </w:rPr>
              <w:t xml:space="preserve">4.3  What Decisions Does It Make or Support?</w:t>
            </w:r>
          </w:p>
          <w:p>
            <w:pPr>
              <w:spacing w:after="80" w:before="0"/>
            </w:pPr>
            <w:r>
              <w:rPr>
                <w:rFonts w:ascii="Arial" w:cs="Arial" w:eastAsia="Arial" w:hAnsi="Arial"/>
                <w:b w:val="false"/>
                <w:bCs w:val="false"/>
                <w:color w:val="7D5A00"/>
                <w:sz w:val="18"/>
                <w:szCs w:val="18"/>
              </w:rPr>
              <w:t xml:space="preserve">[ Be precise about the nature of the output. Does the system: (a) make an autonomous decision, (b) produce a recommendation that a human acts on, (c) flag items for human review, (d) generate content, or (e) enforce a rule? The answer determines risk classification and human oversight requirements. ]</w:t>
            </w:r>
          </w:p>
          <w:p>
            <w:pPr>
              <w:spacing w:after="80" w:before="0"/>
            </w:pPr>
            <w:r>
              <w:rPr>
                <w:rFonts w:ascii="Arial" w:cs="Arial" w:eastAsia="Arial" w:hAnsi="Arial"/>
                <w:b w:val="false"/>
                <w:bCs w:val="false"/>
                <w:color w:val="7D5A00"/>
                <w:sz w:val="18"/>
                <w:szCs w:val="18"/>
              </w:rPr>
              <w:t xml:space="preserve">[ If the system makes decisions about natural persons: describe the decision domain (credit, hiring, healthcare, access to services), the criteria used, and the human oversight mechanism. ]</w:t>
            </w:r>
          </w:p>
          <w:p>
            <w:pPr>
              <w:pBdr>
                <w:bottom w:val="single" w:color="D6E4F0" w:sz="2" w:space="2"/>
              </w:pBdr>
              <w:spacing w:after="120" w:before="120"/>
            </w:pPr>
          </w:p>
          <w:p>
            <w:pPr>
              <w:pBdr>
                <w:bottom w:val="single" w:color="2E75B6" w:sz="4" w:space="2"/>
              </w:pBdr>
              <w:spacing w:after="80" w:before="180"/>
            </w:pPr>
            <w:r>
              <w:rPr>
                <w:rFonts w:ascii="Arial" w:cs="Arial" w:eastAsia="Arial" w:hAnsi="Arial"/>
                <w:b/>
                <w:bCs/>
                <w:color w:val="1F4E79"/>
                <w:sz w:val="22"/>
                <w:szCs w:val="22"/>
              </w:rPr>
              <w:t xml:space="preserve">4.4  What Data Does It Process?</w:t>
            </w:r>
          </w:p>
          <w:p>
            <w:pPr>
              <w:spacing w:after="80" w:before="0"/>
            </w:pPr>
            <w:r>
              <w:rPr>
                <w:rFonts w:ascii="Arial" w:cs="Arial" w:eastAsia="Arial" w:hAnsi="Arial"/>
                <w:b w:val="false"/>
                <w:bCs w:val="false"/>
                <w:color w:val="7D5A00"/>
                <w:sz w:val="18"/>
                <w:szCs w:val="18"/>
              </w:rPr>
              <w:t xml:space="preserve">[ List all data categories ingested at runtime. For each category: ]</w:t>
            </w:r>
          </w:p>
          <w:p>
            <w:pPr>
              <w:pStyle w:val="ListParagraph"/>
              <w:numPr>
                <w:ilvl w:val="0"/>
                <w:numId w:val="2"/>
              </w:numPr>
              <w:spacing w:after="30" w:before="30"/>
            </w:pPr>
            <w:r>
              <w:rPr>
                <w:rFonts w:ascii="Arial" w:cs="Arial" w:eastAsia="Arial" w:hAnsi="Arial"/>
                <w:color w:val="7D5A00"/>
                <w:sz w:val="18"/>
                <w:szCs w:val="18"/>
              </w:rPr>
              <w:t xml:space="preserve">What type of data (API logs / text / images / voice / structured records)?</w:t>
            </w:r>
          </w:p>
          <w:p>
            <w:pPr>
              <w:pStyle w:val="ListParagraph"/>
              <w:numPr>
                <w:ilvl w:val="0"/>
                <w:numId w:val="2"/>
              </w:numPr>
              <w:spacing w:after="30" w:before="30"/>
            </w:pPr>
            <w:r>
              <w:rPr>
                <w:rFonts w:ascii="Arial" w:cs="Arial" w:eastAsia="Arial" w:hAnsi="Arial"/>
                <w:color w:val="7D5A00"/>
                <w:sz w:val="18"/>
                <w:szCs w:val="18"/>
              </w:rPr>
              <w:t xml:space="preserve">Is it personal data? (GDPR Art.4 definition)</w:t>
            </w:r>
          </w:p>
          <w:p>
            <w:pPr>
              <w:pStyle w:val="ListParagraph"/>
              <w:numPr>
                <w:ilvl w:val="0"/>
                <w:numId w:val="2"/>
              </w:numPr>
              <w:spacing w:after="30" w:before="30"/>
            </w:pPr>
            <w:r>
              <w:rPr>
                <w:rFonts w:ascii="Arial" w:cs="Arial" w:eastAsia="Arial" w:hAnsi="Arial"/>
                <w:color w:val="7D5A00"/>
                <w:sz w:val="18"/>
                <w:szCs w:val="18"/>
              </w:rPr>
              <w:t xml:space="preserve">Is it special category data? (GDPR Art.9)</w:t>
            </w:r>
          </w:p>
          <w:p>
            <w:pPr>
              <w:pStyle w:val="ListParagraph"/>
              <w:numPr>
                <w:ilvl w:val="0"/>
                <w:numId w:val="2"/>
              </w:numPr>
              <w:spacing w:after="30" w:before="30"/>
            </w:pPr>
            <w:r>
              <w:rPr>
                <w:rFonts w:ascii="Arial" w:cs="Arial" w:eastAsia="Arial" w:hAnsi="Arial"/>
                <w:color w:val="7D5A00"/>
                <w:sz w:val="18"/>
                <w:szCs w:val="18"/>
              </w:rPr>
              <w:t xml:space="preserve">Where does it come from and how is it stored?</w:t>
            </w:r>
          </w:p>
          <w:p>
            <w:pPr>
              <w:spacing w:after="80" w:before="0"/>
            </w:pPr>
            <w:r>
              <w:rPr>
                <w:rFonts w:ascii="Arial" w:cs="Arial" w:eastAsia="Arial" w:hAnsi="Arial"/>
                <w:b w:val="false"/>
                <w:bCs w:val="false"/>
                <w:color w:val="7D5A00"/>
                <w:sz w:val="18"/>
                <w:szCs w:val="18"/>
              </w:rPr>
              <w:t xml:space="preserve">[ Also describe data NOT processed — explicitly stating what the system does not touch is as important as what it does. ]</w:t>
            </w:r>
          </w:p>
          <w:p>
            <w:pPr>
              <w:pBdr>
                <w:bottom w:val="single" w:color="D6E4F0" w:sz="2" w:space="2"/>
              </w:pBdr>
              <w:spacing w:after="120" w:before="120"/>
            </w:pPr>
          </w:p>
          <w:p>
            <w:pPr>
              <w:pBdr>
                <w:bottom w:val="single" w:color="2E75B6" w:sz="4" w:space="2"/>
              </w:pBdr>
              <w:spacing w:after="80" w:before="180"/>
            </w:pPr>
            <w:r>
              <w:rPr>
                <w:rFonts w:ascii="Arial" w:cs="Arial" w:eastAsia="Arial" w:hAnsi="Arial"/>
                <w:b/>
                <w:bCs/>
                <w:color w:val="1F4E79"/>
                <w:sz w:val="22"/>
                <w:szCs w:val="22"/>
              </w:rPr>
              <w:t xml:space="preserve">4.5  How Was It Built?</w:t>
            </w:r>
          </w:p>
          <w:p>
            <w:pPr>
              <w:spacing w:after="80" w:before="0"/>
            </w:pPr>
            <w:r>
              <w:rPr>
                <w:rFonts w:ascii="Arial" w:cs="Arial" w:eastAsia="Arial" w:hAnsi="Arial"/>
                <w:b w:val="false"/>
                <w:bCs w:val="false"/>
                <w:color w:val="7D5A00"/>
                <w:sz w:val="18"/>
                <w:szCs w:val="18"/>
              </w:rPr>
              <w:t xml:space="preserve">[ Describe the development approach: methodology, team, timeline, key architectural decisions. For ML systems: describe the training approach, base model (if fine-tuned), and validation methodology. For rule-based systems: describe how the logic was authored, reviewed, and tested. Cross-reference S2-01 (Model Card) and S2-02 (Data Lineage) for detail. ]</w:t>
            </w:r>
          </w:p>
          <w:p>
            <w:pPr>
              <w:pBdr>
                <w:bottom w:val="single" w:color="D6E4F0" w:sz="2" w:space="2"/>
              </w:pBdr>
              <w:spacing w:after="120" w:before="120"/>
            </w:pPr>
          </w:p>
          <w:p>
            <w:pPr>
              <w:pBdr>
                <w:bottom w:val="single" w:color="2E75B6" w:sz="4" w:space="2"/>
              </w:pBdr>
              <w:spacing w:after="80" w:before="180"/>
            </w:pPr>
            <w:r>
              <w:rPr>
                <w:rFonts w:ascii="Arial" w:cs="Arial" w:eastAsia="Arial" w:hAnsi="Arial"/>
                <w:b/>
                <w:bCs/>
                <w:color w:val="1F4E79"/>
                <w:sz w:val="22"/>
                <w:szCs w:val="22"/>
              </w:rPr>
              <w:t xml:space="preserve">4.6  What Are Its Known Limitations?</w:t>
            </w:r>
          </w:p>
          <w:p>
            <w:pPr>
              <w:spacing w:after="80" w:before="0"/>
            </w:pPr>
            <w:r>
              <w:rPr>
                <w:rFonts w:ascii="Arial" w:cs="Arial" w:eastAsia="Arial" w:hAnsi="Arial"/>
                <w:b w:val="false"/>
                <w:bCs w:val="false"/>
                <w:color w:val="7D5A00"/>
                <w:sz w:val="18"/>
                <w:szCs w:val="18"/>
              </w:rPr>
              <w:t xml:space="preserve">[ Honest disclosure of limitations is required by EU AI Act Art.13 and AI Verify Principle 1. List all material limitations that an auditor, operator, or regulator should be aware of. Cross-reference S2-01 Section 7 (Known Limitations) and S2-04 Section 7 (Bias Findings) for detail. ]</w:t>
            </w:r>
          </w:p>
          <w:p>
            <w:pPr>
              <w:spacing w:after="80" w:before="0"/>
            </w:pPr>
            <w:r>
              <w:rPr>
                <w:rFonts w:ascii="Arial" w:cs="Arial" w:eastAsia="Arial" w:hAnsi="Arial"/>
                <w:b w:val="false"/>
                <w:bCs w:val="false"/>
                <w:color w:val="7D5A00"/>
                <w:sz w:val="18"/>
                <w:szCs w:val="18"/>
              </w:rPr>
              <w:t xml:space="preserve">[ Do not omit limitations because they are uncomfortable. Undisclosed limitations identified by auditors are treated as higher-severity findings than disclosed ones. ]</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700"/>
        <w:gridCol w:w="2700"/>
      </w:tblGrid>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5 — EVIDENCE CROSS-REFERENCE MAP</w:t>
            </w:r>
          </w:p>
        </w:tc>
      </w:tr>
      <w:tr>
        <w:tc>
          <w:tcPr>
            <w:tcW w:type="dxa" w:w="9360"/>
            <w:gridSpan w:val="4"/>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This table maps the key claims in Section 3 to supporting evidence items. Auditors use this to verify that the System Description Document is consistent with the rest of the evidence suite. Complete the right column for your engagement.</w:t>
            </w:r>
          </w:p>
        </w:tc>
      </w:tr>
      <w:tr>
        <w:tc>
          <w:tcPr>
            <w:tcW w:type="dxa" w:w="15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Claim in §3</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Assertion Made</w:t>
            </w:r>
          </w:p>
        </w:tc>
        <w:tc>
          <w:tcPr>
            <w:tcW w:type="dxa" w:w="27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Supporting Evidence</w:t>
            </w:r>
          </w:p>
        </w:tc>
        <w:tc>
          <w:tcPr>
            <w:tcW w:type="dxa" w:w="27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Evidence Reference ]</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§3.1 — What it 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System is a governance enforcement layer, not an AI inference engine.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S1-03 (Risk classification); S2-01 §2 (System overview); S2-02 §2 (No training data)</w:t>
            </w:r>
          </w:p>
        </w:tc>
        <w:tc>
          <w:tcPr>
            <w:tcW w:type="dxa" w:w="27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r>
        <w:tc>
          <w:tcPr>
            <w:tcW w:type="dxa" w:w="1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§3.2 — Who it serves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Intended users are governance practitioners and operators — not consumers.</w:t>
            </w:r>
          </w:p>
        </w:tc>
        <w:tc>
          <w:tcPr>
            <w:tcW w:type="dxa" w:w="2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S1-04 §3 (Intended users); S1-05 (Named owner)</w:t>
            </w:r>
          </w:p>
        </w:tc>
        <w:tc>
          <w:tcPr>
            <w:tcW w:type="dxa" w:w="27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§3.3 — Decisions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Decisions are deterministic allow/deny/alert — not probabilistic. No decisions about persons.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S2-01 §2 (ML components: None); S2-03 §2 (Scope); S2-04 §2 (Affects persons: NO)</w:t>
            </w:r>
          </w:p>
        </w:tc>
        <w:tc>
          <w:tcPr>
            <w:tcW w:type="dxa" w:w="27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r>
        <w:tc>
          <w:tcPr>
            <w:tcW w:type="dxa" w:w="1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§3.4 — Data processed</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personal data or special category data processed at v1.0-rc.</w:t>
            </w:r>
          </w:p>
        </w:tc>
        <w:tc>
          <w:tcPr>
            <w:tcW w:type="dxa" w:w="2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S2-02 §2 (Personal data: NO); S2-04 §4 (Sensitive attributes: NONE)</w:t>
            </w:r>
          </w:p>
        </w:tc>
        <w:tc>
          <w:tcPr>
            <w:tcW w:type="dxa" w:w="27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§3.5 — How built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7-phase build; 229 automated tests; 11 pen tests; bilateral validation.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S2-01 §4 (Development); S2-03 §5 (Results: all gates PASS)</w:t>
            </w:r>
          </w:p>
        </w:tc>
        <w:tc>
          <w:tcPr>
            <w:tcW w:type="dxa" w:w="27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r>
        <w:tc>
          <w:tcPr>
            <w:tcW w:type="dxa" w:w="1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§3.6 — Limitations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Benchmark, load, fairness deferred. Jurisdiction gaps documented. All disclosed.</w:t>
            </w:r>
          </w:p>
        </w:tc>
        <w:tc>
          <w:tcPr>
            <w:tcW w:type="dxa" w:w="2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S2-01 §7 (LIM-01 to LIM-07); S2-04 §7 (BF-01 to BF-04); S2-05 §5 (Conditions)</w:t>
            </w:r>
          </w:p>
        </w:tc>
        <w:tc>
          <w:tcPr>
            <w:tcW w:type="dxa" w:w="27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[Cite your S1-xx and S2-xx evidence items]</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6 — AUTHOR ATTESTATION</w:t>
            </w:r>
          </w:p>
        </w:tc>
      </w:tr>
      <w:tr>
        <w:tc>
          <w:tcPr>
            <w:tcW w:type="dxa" w:w="9360"/>
            <w:tcBorders>
              <w:top w:val="single" w:color="1F4E79" w:sz="4"/>
              <w:left w:val="single" w:color="1F4E79" w:sz="4"/>
              <w:bottom w:val="single" w:color="1F4E79" w:sz="4"/>
              <w:right w:val="single" w:color="1F4E79" w:sz="4"/>
            </w:tcBorders>
            <w:shd w:fill="F0F7FF" w:val="clear"/>
            <w:tcMar>
              <w:top w:type="dxa" w:w="140"/>
              <w:left w:type="dxa" w:w="200"/>
              <w:bottom w:type="dxa" w:w="140"/>
              <w:right w:type="dxa" w:w="200"/>
            </w:tcMar>
          </w:tcPr>
          <w:p>
            <w:pPr>
              <w:spacing w:after="80" w:before="0"/>
            </w:pPr>
            <w:r>
              <w:rPr>
                <w:rFonts w:ascii="Arial" w:cs="Arial" w:eastAsia="Arial" w:hAnsi="Arial"/>
                <w:b w:val="false"/>
                <w:bCs w:val="false"/>
                <w:color w:val="000000"/>
                <w:sz w:val="18"/>
                <w:szCs w:val="18"/>
              </w:rPr>
              <w:t xml:space="preserve">I, the named author below, certify that:</w:t>
            </w:r>
          </w:p>
          <w:p>
            <w:pPr>
              <w:pStyle w:val="ListParagraph"/>
              <w:numPr>
                <w:ilvl w:val="0"/>
                <w:numId w:val="2"/>
              </w:numPr>
              <w:spacing w:after="20" w:before="20"/>
            </w:pPr>
            <w:r>
              <w:rPr>
                <w:rFonts w:ascii="Arial" w:cs="Arial" w:eastAsia="Arial" w:hAnsi="Arial"/>
                <w:sz w:val="18"/>
                <w:szCs w:val="18"/>
              </w:rPr>
              <w:t xml:space="preserve">The narrative in Section 3 (or Section 4 for new engagements) accurately describes the AI system identified in Section 1.</w:t>
            </w:r>
          </w:p>
          <w:p>
            <w:pPr>
              <w:pStyle w:val="ListParagraph"/>
              <w:numPr>
                <w:ilvl w:val="0"/>
                <w:numId w:val="2"/>
              </w:numPr>
              <w:spacing w:after="20" w:before="20"/>
            </w:pPr>
            <w:r>
              <w:rPr>
                <w:rFonts w:ascii="Arial" w:cs="Arial" w:eastAsia="Arial" w:hAnsi="Arial"/>
                <w:sz w:val="18"/>
                <w:szCs w:val="18"/>
              </w:rPr>
              <w:t xml:space="preserve">The Quick-Reference Fact Sheet in Section 2 is consistent with the full narrative and with the other evidence items cross-referenced in Section 5.</w:t>
            </w:r>
          </w:p>
          <w:p>
            <w:pPr>
              <w:pStyle w:val="ListParagraph"/>
              <w:numPr>
                <w:ilvl w:val="0"/>
                <w:numId w:val="2"/>
              </w:numPr>
              <w:spacing w:after="20" w:before="20"/>
            </w:pPr>
            <w:r>
              <w:rPr>
                <w:rFonts w:ascii="Arial" w:cs="Arial" w:eastAsia="Arial" w:hAnsi="Arial"/>
                <w:sz w:val="18"/>
                <w:szCs w:val="18"/>
              </w:rPr>
              <w:t xml:space="preserve">Known limitations have been disclosed honestly in Section 3.6 (or 4.6) and are not understated.</w:t>
            </w:r>
          </w:p>
          <w:p>
            <w:pPr>
              <w:pStyle w:val="ListParagraph"/>
              <w:numPr>
                <w:ilvl w:val="0"/>
                <w:numId w:val="2"/>
              </w:numPr>
              <w:spacing w:after="20" w:before="20"/>
            </w:pPr>
            <w:r>
              <w:rPr>
                <w:rFonts w:ascii="Arial" w:cs="Arial" w:eastAsia="Arial" w:hAnsi="Arial"/>
                <w:sz w:val="18"/>
                <w:szCs w:val="18"/>
              </w:rPr>
              <w:t xml:space="preserve">This document meets the minimum 1–3 page substantive content requirement for Evidence Item S1-01.</w:t>
            </w:r>
          </w:p>
          <w:p>
            <w:pPr>
              <w:pStyle w:val="ListParagraph"/>
              <w:numPr>
                <w:ilvl w:val="0"/>
                <w:numId w:val="2"/>
              </w:numPr>
              <w:spacing w:after="20" w:before="20"/>
            </w:pPr>
            <w:r>
              <w:rPr>
                <w:rFonts w:ascii="Arial" w:cs="Arial" w:eastAsia="Arial" w:hAnsi="Arial"/>
                <w:sz w:val="18"/>
                <w:szCs w:val="18"/>
              </w:rPr>
              <w:t xml:space="preserve">This document is submitted as Evidence Item S1-01 in response to the Urielle AI Evidence Request.</w:t>
            </w:r>
          </w:p>
          <w:p>
            <w:pPr>
              <w:spacing w:after="0" w:before="40"/>
            </w:pPr>
            <w:r>
              <w:rPr>
                <w:rFonts w:ascii="Arial" w:cs="Arial" w:eastAsia="Arial" w:hAnsi="Arial"/>
                <w:b w:val="false"/>
                <w:bCs w:val="false"/>
                <w:color w:val="000000"/>
                <w:sz w:val="18"/>
                <w:szCs w:val="18"/>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60" w:before="0"/>
                  </w:pPr>
                  <w:r>
                    <w:rPr>
                      <w:rFonts w:ascii="Arial" w:cs="Arial" w:eastAsia="Arial" w:hAnsi="Arial"/>
                      <w:b/>
                      <w:bCs/>
                      <w:color w:val="1F4E79"/>
                      <w:sz w:val="18"/>
                      <w:szCs w:val="18"/>
                    </w:rPr>
                    <w:t xml:space="preserve">NCAOS-Urielle Reference</w:t>
                  </w:r>
                </w:p>
                <w:p>
                  <w:pPr>
                    <w:spacing w:after="40" w:before="40"/>
                  </w:pPr>
                  <w:r>
                    <w:rPr>
                      <w:rFonts w:ascii="Arial" w:cs="Arial" w:eastAsia="Arial" w:hAnsi="Arial"/>
                      <w:b w:val="false"/>
                      <w:bCs w:val="false"/>
                      <w:color w:val="000000"/>
                      <w:sz w:val="18"/>
                      <w:szCs w:val="18"/>
                    </w:rPr>
                    <w:t xml:space="preserve">Signed:  ___________________________</w:t>
                  </w:r>
                </w:p>
                <w:p>
                  <w:pPr>
                    <w:spacing w:after="40" w:before="0"/>
                  </w:pPr>
                  <w:r>
                    <w:rPr>
                      <w:rFonts w:ascii="Arial" w:cs="Arial" w:eastAsia="Arial" w:hAnsi="Arial"/>
                      <w:b w:val="false"/>
                      <w:bCs w:val="false"/>
                      <w:color w:val="000000"/>
                      <w:sz w:val="18"/>
                      <w:szCs w:val="18"/>
                    </w:rPr>
                    <w:t xml:space="preserve">Name:    William Hartono</w:t>
                  </w:r>
                </w:p>
                <w:p>
                  <w:pPr>
                    <w:spacing w:after="40" w:before="0"/>
                  </w:pPr>
                  <w:r>
                    <w:rPr>
                      <w:rFonts w:ascii="Arial" w:cs="Arial" w:eastAsia="Arial" w:hAnsi="Arial"/>
                      <w:b w:val="false"/>
                      <w:bCs w:val="false"/>
                      <w:color w:val="000000"/>
                      <w:sz w:val="18"/>
                      <w:szCs w:val="18"/>
                    </w:rPr>
                    <w:t xml:space="preserve">Title:   Founder, Urielle AI / FHCA</w:t>
                  </w:r>
                </w:p>
                <w:p>
                  <w:pPr>
                    <w:spacing w:after="0" w:before="0"/>
                  </w:pPr>
                  <w:r>
                    <w:rPr>
                      <w:rFonts w:ascii="Arial" w:cs="Arial" w:eastAsia="Arial" w:hAnsi="Arial"/>
                      <w:b w:val="false"/>
                      <w:bCs w:val="false"/>
                      <w:color w:val="000000"/>
                      <w:sz w:val="18"/>
                      <w:szCs w:val="18"/>
                    </w:rPr>
                    <w:t xml:space="preserve">Date:    ___________________________</w:t>
                  </w:r>
                </w:p>
              </w:tc>
              <w:tc>
                <w:tcPr>
                  <w:tcW w:type="dxa" w:w="4480"/>
                  <w:tcBorders>
                    <w:top w:val="dashed" w:color="999999" w:sz="2"/>
                    <w:left w:val="dashed" w:color="999999" w:sz="2"/>
                    <w:bottom w:val="dashed" w:color="999999" w:sz="2"/>
                    <w:right w:val="dashed" w:color="999999" w:sz="2"/>
                  </w:tcBorders>
                  <w:shd w:fill="FFFDE7" w:val="clear"/>
                  <w:tcMar>
                    <w:top w:type="dxa" w:w="80"/>
                    <w:left w:type="dxa" w:w="100"/>
                    <w:bottom w:type="dxa" w:w="80"/>
                    <w:right w:type="dxa" w:w="100"/>
                  </w:tcMar>
                </w:tcPr>
                <w:p>
                  <w:pPr>
                    <w:spacing w:after="60" w:before="0"/>
                  </w:pPr>
                  <w:r>
                    <w:rPr>
                      <w:rFonts w:ascii="Arial" w:cs="Arial" w:eastAsia="Arial" w:hAnsi="Arial"/>
                      <w:b/>
                      <w:bCs/>
                      <w:color w:val="7D5A00"/>
                      <w:sz w:val="18"/>
                      <w:szCs w:val="18"/>
                    </w:rPr>
                    <w:t xml:space="preserve">[ Your Engagement — Replace ]</w:t>
                  </w:r>
                </w:p>
                <w:p>
                  <w:pPr>
                    <w:spacing w:after="40" w:before="40"/>
                  </w:pPr>
                  <w:r>
                    <w:rPr>
                      <w:rFonts w:ascii="Arial" w:cs="Arial" w:eastAsia="Arial" w:hAnsi="Arial"/>
                      <w:b w:val="false"/>
                      <w:bCs w:val="false"/>
                      <w:color w:val="7D5A00"/>
                      <w:sz w:val="18"/>
                      <w:szCs w:val="18"/>
                    </w:rPr>
                    <w:t xml:space="preserve">Signed:  ___________________________</w:t>
                  </w:r>
                </w:p>
                <w:p>
                  <w:pPr>
                    <w:spacing w:after="40" w:before="0"/>
                  </w:pPr>
                  <w:r>
                    <w:rPr>
                      <w:rFonts w:ascii="Arial" w:cs="Arial" w:eastAsia="Arial" w:hAnsi="Arial"/>
                      <w:b w:val="false"/>
                      <w:bCs w:val="false"/>
                      <w:color w:val="7D5A00"/>
                      <w:sz w:val="18"/>
                      <w:szCs w:val="18"/>
                    </w:rPr>
                    <w:t xml:space="preserve">Name:    [Full Name]</w:t>
                  </w:r>
                </w:p>
                <w:p>
                  <w:pPr>
                    <w:spacing w:after="40" w:before="0"/>
                  </w:pPr>
                  <w:r>
                    <w:rPr>
                      <w:rFonts w:ascii="Arial" w:cs="Arial" w:eastAsia="Arial" w:hAnsi="Arial"/>
                      <w:b w:val="false"/>
                      <w:bCs w:val="false"/>
                      <w:color w:val="7D5A00"/>
                      <w:sz w:val="18"/>
                      <w:szCs w:val="18"/>
                    </w:rPr>
                    <w:t xml:space="preserve">Title:   [Title, Organisation]</w:t>
                  </w:r>
                </w:p>
                <w:p>
                  <w:pPr>
                    <w:spacing w:after="0" w:before="0"/>
                  </w:pPr>
                  <w:r>
                    <w:rPr>
                      <w:rFonts w:ascii="Arial" w:cs="Arial" w:eastAsia="Arial" w:hAnsi="Arial"/>
                      <w:b w:val="false"/>
                      <w:bCs w:val="false"/>
                      <w:color w:val="7D5A00"/>
                      <w:sz w:val="18"/>
                      <w:szCs w:val="18"/>
                    </w:rPr>
                    <w:t xml:space="preserve">Date:    ___________________________</w:t>
                  </w:r>
                </w:p>
              </w:tc>
            </w:tr>
          </w:tbl>
          <w:p/>
        </w:tc>
      </w:tr>
    </w:tbl>
    <w:p>
      <w:pPr>
        <w:spacing w:after="0" w:before="200"/>
        <w:jc w:val="center"/>
      </w:pPr>
      <w:r>
        <w:rPr>
          <w:rFonts w:ascii="Arial" w:cs="Arial" w:eastAsia="Arial" w:hAnsi="Arial"/>
          <w:color w:val="595959"/>
          <w:sz w:val="15"/>
          <w:szCs w:val="15"/>
        </w:rPr>
        <w:t xml:space="preserve">System Description Document  |  S1-01 Template  |  Urielle AI  |  Confidential  |  Duplicate — do not overwrite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2026-06-07T08:24:04.699Z</dcterms:created>
  <dcterms:modified xsi:type="dcterms:W3CDTF">2026-06-07T08:24:04.699Z</dcterms:modified>
</cp:coreProperties>
</file>

<file path=docProps/custom.xml><?xml version="1.0" encoding="utf-8"?>
<Properties xmlns="http://schemas.openxmlformats.org/officeDocument/2006/custom-properties" xmlns:vt="http://schemas.openxmlformats.org/officeDocument/2006/docPropsVTypes"/>
</file>