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9026"/>
            <w:gridSpan w:val="3"/>
            <w:tcBorders>
              <w:top w:val="single" w:color="CCCCCC" w:sz="1"/>
              <w:left w:val="single" w:color="CCCCCC" w:sz="1"/>
              <w:bottom w:val="single" w:color="CCCCCC" w:sz="1"/>
              <w:right w:val="single" w:color="CCCCCC" w:sz="1"/>
            </w:tcBorders>
            <w:shd w:fill="0D1B3E" w:val="clear"/>
            <w:tcMar>
              <w:top w:type="dxa" w:w="120"/>
              <w:left w:type="dxa" w:w="180"/>
              <w:bottom w:type="dxa" w:w="120"/>
              <w:right w:type="dxa" w:w="180"/>
            </w:tcMar>
          </w:tcPr>
          <w:p>
            <w:r>
              <w:rPr>
                <w:rFonts w:ascii="Arial" w:cs="Arial" w:eastAsia="Arial" w:hAnsi="Arial"/>
                <w:b/>
                <w:bCs/>
                <w:color w:val="FFFFFF"/>
                <w:sz w:val="28"/>
                <w:szCs w:val="28"/>
              </w:rPr>
              <w:t xml:space="preserve">URIELLE AI — AGNOSTIC AGENTIC AUDIT LAYER</w:t>
            </w:r>
            <w:r>
              <w:rPr>
                <w:rFonts w:ascii="Arial" w:cs="Arial" w:eastAsia="Arial" w:hAnsi="Arial"/>
                <w:color w:val="B0C4DE"/>
                <w:sz w:val="22"/>
                <w:szCs w:val="22"/>
              </w:rPr>
              <w:t xml:space="preserve">  |  Architecture Walkthrough &amp; Progress Tracker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18"/>
                <w:szCs w:val="18"/>
              </w:rPr>
              <w:t xml:space="preserve">Document Ref: </w:t>
            </w:r>
            <w:r>
              <w:rPr>
                <w:rFonts w:ascii="Arial" w:cs="Arial" w:eastAsia="Arial" w:hAnsi="Arial"/>
                <w:color w:val="333333"/>
                <w:sz w:val="18"/>
                <w:szCs w:val="18"/>
              </w:rPr>
              <w:t xml:space="preserve">AAAL-ARCH-001</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18"/>
                <w:szCs w:val="18"/>
              </w:rPr>
              <w:t xml:space="preserve">Version: </w:t>
            </w:r>
            <w:r>
              <w:rPr>
                <w:rFonts w:ascii="Arial" w:cs="Arial" w:eastAsia="Arial" w:hAnsi="Arial"/>
                <w:color w:val="333333"/>
                <w:sz w:val="18"/>
                <w:szCs w:val="18"/>
              </w:rPr>
              <w:t xml:space="preserve">0.1 — Draft</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18"/>
                <w:szCs w:val="18"/>
              </w:rPr>
              <w:t xml:space="preserve">Author: </w:t>
            </w:r>
            <w:r>
              <w:rPr>
                <w:rFonts w:ascii="Arial" w:cs="Arial" w:eastAsia="Arial" w:hAnsi="Arial"/>
                <w:color w:val="333333"/>
                <w:sz w:val="18"/>
                <w:szCs w:val="18"/>
              </w:rPr>
              <w:t xml:space="preserve">William Hartono / Urielle AI</w:t>
            </w:r>
          </w:p>
        </w:tc>
      </w:tr>
      <w:tr>
        <w:tc>
          <w:tcPr>
            <w:tcW w:type="dxa" w:w="9026"/>
            <w:gridSpan w:val="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8"/>
                <w:szCs w:val="18"/>
              </w:rPr>
              <w:t xml:space="preserve">PURPOSE  </w:t>
            </w:r>
            <w:r>
              <w:rPr>
                <w:rFonts w:ascii="Arial" w:cs="Arial" w:eastAsia="Arial" w:hAnsi="Arial"/>
                <w:color w:val="333333"/>
                <w:sz w:val="18"/>
                <w:szCs w:val="18"/>
              </w:rPr>
              <w:t xml:space="preserve">This document is the architecture walkthrough and self-assessment progress tracker for the Urielle Agnostic Agentic Audit Layer (AAAL). It follows the same evidence-document conventions as the NCAOS-Urielle testing guide: each layer of the architecture is described, its design rationale stated, its build tasks enumerated, and a progress gate defined. Use this as your primary build log — mark tasks complete, record blockers, and sign off each phase gate before moving forward.</w:t>
            </w:r>
          </w:p>
        </w:tc>
      </w:tr>
    </w:tbl>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1 — Purpose and Scope</w:t>
      </w:r>
    </w:p>
    <w:p>
      <w:pPr>
        <w:spacing w:after="80" w:before="80"/>
      </w:pPr>
      <w:r>
        <w:rPr>
          <w:rFonts w:ascii="Arial" w:cs="Arial" w:eastAsia="Arial" w:hAnsi="Arial"/>
          <w:color w:val="1A1A1A"/>
          <w:sz w:val="20"/>
          <w:szCs w:val="20"/>
        </w:rPr>
        <w:t xml:space="preserve">This document is the architecture walkthrough and self-assessment progress tracker for the Urielle Agnostic Agentic Audit Layer (AAAL). It serves the same function as the NCAOS-Urielle Phase testing guide: it describes each layer of the target architecture, states the design rationale, enumerates the build tasks, and defines a pass/fail gate for each phase. You build and test each layer yourself, in sequence. Marking a phase gate complete is a deliberate act — it signals that the layer is working as designed against the NCAOS-Urielle reference engagement, and that you are ready to proceed.</w:t>
      </w:r>
    </w:p>
    <w:p>
      <w:pPr>
        <w:spacing w:after="40" w:before="40"/>
      </w:pPr>
    </w:p>
    <w:p>
      <w:pPr>
        <w:spacing w:after="80" w:before="80"/>
      </w:pPr>
      <w:r>
        <w:rPr>
          <w:rFonts w:ascii="Arial" w:cs="Arial" w:eastAsia="Arial" w:hAnsi="Arial"/>
          <w:color w:val="1A1A1A"/>
          <w:sz w:val="20"/>
          <w:szCs w:val="20"/>
        </w:rPr>
        <w:t xml:space="preserve">The AAAL is a system-agnostic ISO 42001 audit layer. It conducts structured interviews with human subjects (IT staff, business) and AI agent subjects (API endpoints, pipelines, logs) using the same question bank and the same evidence schema. Outputs are certified-standard audit reports, certification readiness scorecards, and auditor-facing evidence trails — generated automatically, with a human sign-off gate before finalisation.</w:t>
      </w:r>
    </w:p>
    <w:p>
      <w:pPr>
        <w:spacing w:after="40" w:before="40"/>
      </w:pPr>
    </w:p>
    <w:p>
      <w:pPr>
        <w:pBdr>
          <w:left w:val="single" w:color="C8A000" w:sz="12" w:space="4"/>
        </w:pBdr>
        <w:shd w:fill="FFF8E7" w:val="clear"/>
        <w:spacing w:after="80" w:before="80"/>
      </w:pPr>
      <w:r>
        <w:rPr>
          <w:rFonts w:ascii="Arial" w:cs="Arial" w:eastAsia="Arial" w:hAnsi="Arial"/>
          <w:i/>
          <w:iCs/>
          <w:color w:val="555555"/>
          <w:sz w:val="18"/>
          <w:szCs w:val="18"/>
        </w:rPr>
        <w:t xml:space="preserve">NOTE  NCAOS-Urielle (ERT-2026-001) is the reference engagement used for building and testing. No NCAOS-specific logic enters the core layers. The NCAOS/BGL connector lives in Layer 8 only. Every other layer must work for any client engagement without modification.</w:t>
      </w:r>
    </w:p>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2 — Architecture Overview (L0–L8)</w:t>
      </w:r>
    </w:p>
    <w:p>
      <w:pPr>
        <w:spacing w:after="80" w:before="80"/>
      </w:pPr>
      <w:r>
        <w:rPr>
          <w:rFonts w:ascii="Arial" w:cs="Arial" w:eastAsia="Arial" w:hAnsi="Arial"/>
          <w:color w:val="1A1A1A"/>
          <w:sz w:val="20"/>
          <w:szCs w:val="20"/>
        </w:rPr>
        <w:t xml:space="preserve">The AAAL is structured as nine layers. Each layer has a single responsibility, a defined interface to the layer above and below it, and a testable output. Build from L1 upward. L0 is scope definition only — it defines what types of subjects the system must handle.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2226"/>
        <w:gridCol w:w="14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Layer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Name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What it does</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What you build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Phase gate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L0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Interviewee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Human staff (IT/Business) and AI agents (API/MCP endpoint) and AI pipelines (logs, traces, config). Any subject type. System-agnostic by design.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No build — defines the interface contract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None — scope definition only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L1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Subject adapter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Protocol bridge between the interview engine and the interviewee. Human adapter: async form / questionnaire delivery. Agent adapter: REST / MCP call + log retrieval. New subject types require only a new adapter.</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HumanAdapter class. AgentAdapter class. Adapter interface contract (TypeScript/Python).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6B3A"/>
                <w:sz w:val="19"/>
                <w:szCs w:val="19"/>
              </w:rPr>
              <w:t xml:space="preserve">Both adapters implement same interface → confirmed by unit 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Question bank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Clause-tagged, weighted question set derived from current Urielle interview templates. Supports adaptive follow-up. Maps every question to: ISO 42001 clause, control reference, expected evidence type, and weight.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Tag all existing interview questions with clause + control ref. Define question schema. Seed with Clause 4 + Clause 5 questions first.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Clause 4 and Clause 5 question sets tagged and schema-valid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L3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Interview engine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Orchestrates delivery of questions to subjects via the correct adapter. Routes human questions as async forms; routes agent questions as API probes. Handles retries, follow-ups, and non-response.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Interview session manager. Routing logic (human vs agent). Retry + follow-up handler. Session state 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6B3A"/>
                <w:sz w:val="19"/>
                <w:szCs w:val="19"/>
              </w:rPr>
              <w:t xml:space="preserve">End-to-end session: human path delivers questions, collects response. Agent path probes endpoint, collects attestation.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L4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Response validator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LLM-as-judge + deterministic rules. Scores each response against the audit criterion for its clause. Flags low-confidence answers for human review. Applies consistency checks across responses in same session.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Validator interface. LLM scoring prompt (per clause). Deterministic rule set for factual checks. Confidence threshold config.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Validator scores 10 sample responses correctly across Clause 4 criteria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L5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Evidence schema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Normalises all validated responses into a single evidence record schema regardless of subject type: clause_ref, control_ref, source_type (human_attestation | agent_self_report | log_trace), response_content, confidence_score, timestamp, auditor_note.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Evidence record schema (Zod / Pydantic). Serialisation to JSON. Schema validation on write.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6B3A"/>
                <w:sz w:val="19"/>
                <w:szCs w:val="19"/>
              </w:rPr>
              <w:t xml:space="preserve">All adapter outputs pass schema validation — no raw response reaches Layer 6 unvalidated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L6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Evidence fabric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Trace linker maps each evidence record to its clause and control. Gap detector identifies missing attestations and cross-clause deltas. Builds the evidence package for the report layer.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Trace linker. Gap detection logic. Evidence package builder. Per-clause completeness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Clause 4 evidence package produced with gap report — all gaps identified match manual audit findings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L7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Report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Generates audit report, certification readiness scorecard, and auditor-facing evidence trail from the evidence package. Template-driven — ISO 42001 today, ISO 27001 tomorrow. Human sign-off gate before finalisation.</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Report template (ISO 42001). Scorecard generator. Evidence trail formatter. HITL sign-off workflow.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6B3A"/>
                <w:sz w:val="19"/>
                <w:szCs w:val="19"/>
              </w:rPr>
              <w:t xml:space="preserve">Full report generated for NCAOS-Urielle reference engagement. Scorecard matches manually prepared clause registers.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L8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Plugin connector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Adapter layer allowing the AAAL to ingest evidence from, or push reports to, external GRC systems. NCAOS/BGL, Salesforce GRC, ServiceNow, custom ERP, or any MCP/REST endpoint.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Connector interface. NCAOS/BGL connector (first, as reference). Generic REST connector.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NCAOS/BGL connector ingests NCAOS-Urielle ERT Section 1 evidence without manual re-entry</w:t>
            </w:r>
          </w:p>
        </w:tc>
      </w:tr>
    </w:tbl>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3 — Human vs AI Agent Interview Parity</w:t>
      </w:r>
    </w:p>
    <w:p>
      <w:pPr>
        <w:spacing w:after="80" w:before="80"/>
      </w:pPr>
      <w:r>
        <w:rPr>
          <w:rFonts w:ascii="Arial" w:cs="Arial" w:eastAsia="Arial" w:hAnsi="Arial"/>
          <w:color w:val="1A1A1A"/>
          <w:sz w:val="20"/>
          <w:szCs w:val="20"/>
        </w:rPr>
        <w:t xml:space="preserve">The interview engine must treat human and AI agent subjects interchangeably from Layer 3 downward. The table below maps each interview dimension to its human and agent implementation. Where the implementations differ, the difference is contained entirely in the subject adapter (Layer 1) and the response validator (Layer 4). Layers 5–8 are identical regardless of subject type.</w:t>
      </w:r>
    </w:p>
    <w:p>
      <w:pPr>
        <w:spacing w:after="40" w:before="40"/>
      </w:pPr>
    </w:p>
    <w:p>
      <w:pPr>
        <w:pBdr>
          <w:left w:val="single" w:color="C8A000" w:sz="12" w:space="4"/>
        </w:pBdr>
        <w:shd w:fill="FFF8E7" w:val="clear"/>
        <w:spacing w:after="80" w:before="80"/>
      </w:pPr>
      <w:r>
        <w:rPr>
          <w:rFonts w:ascii="Arial" w:cs="Arial" w:eastAsia="Arial" w:hAnsi="Arial"/>
          <w:i/>
          <w:iCs/>
          <w:color w:val="555555"/>
          <w:sz w:val="18"/>
          <w:szCs w:val="18"/>
        </w:rPr>
        <w:t xml:space="preserve">NOTE  Key audit risk for AI agent subjects: an agent can confidently self-attest behaviour that its own logs contradict. Always cross-check agent_self_report evidence records against log_trace evidence records where both are available. Discrepancy is itself a finding.</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413"/>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val="false"/>
                <w:bCs w:val="false"/>
                <w:color w:val="FFFFFF"/>
                <w:sz w:val="19"/>
                <w:szCs w:val="19"/>
              </w:rPr>
              <w:t xml:space="preserve">Human respondent</w:t>
            </w:r>
          </w:p>
        </w:tc>
        <w:tc>
          <w:tcPr>
            <w:tcW w:type="dxa" w:w="3413"/>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val="false"/>
                <w:bCs w:val="false"/>
                <w:color w:val="FFFFFF"/>
                <w:sz w:val="19"/>
                <w:szCs w:val="19"/>
              </w:rPr>
              <w:t xml:space="preserve">AI agent respondent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Delivery mechanism</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form / structured questionnaire / in-person session</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 API probe / MCP tool call / log file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Question format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language question with guidance notes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Structured prompt or API parameter set; may include schema spec for expected response format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Response format</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text, structured form, or document upload</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payload, API response body, log file, or config dump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Validation approach</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LLM-as-judge scores against clause criterion; follow-up questions for ambiguity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Deterministic schema check first; LLM-as-judge for natural language fields; log cross-check for self-attestations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Non-response handling</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Reminder cadence → escalate to auditor if no response after N days</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Retry with backoff → flag as unavailable → auditor notes as gap in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Confidence scoring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confidence + auditor override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Deterministic check = 1.0 confidence; LLM-as-judge = scored 0–1; log-corroborated = 0.9+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Evidence source type</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human_attestation</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agent_self_report  |  log_trace  |  config_extract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New audit risk</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Standard: deliberate misrepresentation, misunderstanding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Additional: confident false attestation (agent says it does X; logs show it does not). Cross-check log_trace against agent_self_report.</w:t>
            </w:r>
          </w:p>
        </w:tc>
      </w:tr>
    </w:tbl>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4 — Design Decisions</w:t>
      </w:r>
    </w:p>
    <w:p>
      <w:pPr>
        <w:spacing w:after="80" w:before="80"/>
      </w:pPr>
      <w:r>
        <w:rPr>
          <w:rFonts w:ascii="Arial" w:cs="Arial" w:eastAsia="Arial" w:hAnsi="Arial"/>
          <w:color w:val="1A1A1A"/>
          <w:sz w:val="20"/>
          <w:szCs w:val="20"/>
        </w:rPr>
        <w:t xml:space="preserve">The following architectural decisions are binding for the duration of the AAAL build. They may be revisited at a phase gate if there is a documented reason, but should not be changed mid-phase. Each decision is recorded here so that future you — or Toru, or a new team member — can understand why the system is built the way it is.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26"/>
        <w:gridCol w:w="30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ID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Decision</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Rule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Rationale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DD-01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Evidence schema first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All output from any agent, adapter, or validator must normalise to the evidence record schema before proceeding downstream. No raw responses enter Layer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Guarantees system-agnosticism. A human response and an AI agent attestation are indistinguishable at Layer 6 — both are evidence records.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DD-02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Adapter interface contract</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HumanAdapter and AgentAdapter implement the same interface. New subject types (robotic process, IoT sensor, third-party AI API) require only a new adapter — nothing else changes.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Future-proofs the architecture. Adding a new subject type is additive, not structural.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DD-03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File-based evidence store with abstraction wrapper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Start with direct file-system reads (evidence repo). Wrap in a thin EvidenceStore interface from day one so the backing store can be swapped to a database or vector store without rewriting agents.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Fastest path to working Phase 1. NCAOS/BGL connector in Phase 3 swaps the backing store — agents are unaffected.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DD-04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LLM-as-judge with deterministic override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Response validation uses LLM scoring for natural language responses but deterministic rules take precedence for factual checks (e.g. 'Does a risk register exist?' is a file-system check, not an LLM judgement).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Prevents hallucinated audit findings. Confidence score distinguishes LLM judgements from deterministic facts in the evidence record.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DD-05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Human-in-the-loop at report gate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No finding enters the final audit report without auditor sign-off. The AAAL is an audit acceleration tool, not an autonomous auditor. Certification bodies require human accountable sign-off.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Non-negotiable for ISO 42001 certification engagements. ADR-006 AuditSignal semantics preserved for NCAOS/BGL compatibility.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DD-06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NCAOS-Urielle as reference, not dependency</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The AAAL is system-agnostic. NCAOS-Urielle is used as the reference engagement (ERT-2026-001) for building and testing — but no NCAOS-specific logic enters the core layers. The NCAOS/BGL connector is Layer 8 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Ensures the AAAL can be sold and deployed for any client engagement without carrying NCAOS dependencies.</w:t>
            </w:r>
          </w:p>
        </w:tc>
      </w:tr>
    </w:tbl>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5 — Phase Progress Tracker</w:t>
      </w:r>
    </w:p>
    <w:p>
      <w:pPr>
        <w:spacing w:after="80" w:before="80"/>
      </w:pPr>
      <w:r>
        <w:rPr>
          <w:rFonts w:ascii="Arial" w:cs="Arial" w:eastAsia="Arial" w:hAnsi="Arial"/>
          <w:color w:val="1A1A1A"/>
          <w:sz w:val="20"/>
          <w:szCs w:val="20"/>
        </w:rPr>
        <w:t xml:space="preserve">This is your primary build log. Update the Status and Blocker/Note columns as you work. Do not mark a phase gate complete until every task in that phase is done and the gate criterion is met. Phase gates are sequential — Phase 2 does not start until Phase 1 gate is signed off.</w:t>
      </w:r>
    </w:p>
    <w:p>
      <w:pPr>
        <w:spacing w:after="40" w:before="40"/>
      </w:pPr>
    </w:p>
    <w:p>
      <w:pPr>
        <w:pBdr>
          <w:left w:val="single" w:color="C8A000" w:sz="12" w:space="4"/>
        </w:pBdr>
        <w:shd w:fill="FFF8E7" w:val="clear"/>
        <w:spacing w:after="80" w:before="80"/>
      </w:pPr>
      <w:r>
        <w:rPr>
          <w:rFonts w:ascii="Arial" w:cs="Arial" w:eastAsia="Arial" w:hAnsi="Arial"/>
          <w:i/>
          <w:iCs/>
          <w:color w:val="555555"/>
          <w:sz w:val="18"/>
          <w:szCs w:val="18"/>
        </w:rPr>
        <w:t xml:space="preserve">NOTE  Status values: Not started  |  In progress  |  Blocked  |  Done  |  ⬜ OPEN (gate not yet passed)  |  ✅ PASSED (gate signed off, date recorded in Blocker/Note)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1400"/>
        <w:gridCol w:w="26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Task ID</w:t>
            </w:r>
          </w:p>
        </w:tc>
        <w:tc>
          <w:tcPr>
            <w:tcW w:type="dxa" w:w="3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Task</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Status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Blocker / Note</w:t>
            </w:r>
          </w:p>
        </w:tc>
      </w:tr>
      <w:tr>
        <w:tc>
          <w:tcPr>
            <w:tcW w:type="dxa" w:w="9026"/>
            <w:gridSpan w:val="4"/>
            <w:tcBorders>
              <w:top w:val="single" w:color="CCCCCC" w:sz="1"/>
              <w:left w:val="single" w:color="CCCCCC" w:sz="1"/>
              <w:bottom w:val="single" w:color="CCCCCC" w:sz="1"/>
              <w:right w:val="single" w:color="CCCCCC" w:sz="1"/>
            </w:tcBorders>
            <w:shd w:fill="E0F2F1" w:val="clear"/>
            <w:tcMar>
              <w:top w:type="dxa" w:w="100"/>
              <w:left w:type="dxa" w:w="120"/>
              <w:bottom w:type="dxa" w:w="100"/>
              <w:right w:type="dxa" w:w="120"/>
            </w:tcMar>
          </w:tcPr>
          <w:p>
            <w:r>
              <w:rPr>
                <w:rFonts w:ascii="Arial" w:cs="Arial" w:eastAsia="Arial" w:hAnsi="Arial"/>
                <w:b/>
                <w:bCs/>
                <w:color w:val="0D1B3E"/>
                <w:sz w:val="22"/>
                <w:szCs w:val="22"/>
              </w:rPr>
              <w:t xml:space="preserve">PHASE 1 — Clause-native evidence agent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Define evidence record schema (Zod/Pydantic). Fields: clause_ref, control_ref, source_type, response_content, confidence_score, timestamp, auditor_note.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Tag all Clause 4 interview questions with clause + control ref + expected evidence type. Seed question bank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Tag all Clause 5 interview questions (use existing S5-06 through S5-14 templates as 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HumanAdapter: async form delivery, response collection, reminder cadence.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AgentAdapter: REST/MCP probe, log retrieval, retry logic.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Clause 4 agent: parse evidence repo → check against clause requirements → score → emit gap 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P1-T07</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Clause 5 agent: same pattern, seeded from S5-06–S5-14 evidence.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P1-T08</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response validator: LLM-as-judge prompt + deterministic rules for Clause 4. Score 10 sample responses.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1A3A6B"/>
                <w:sz w:val="19"/>
                <w:szCs w:val="19"/>
              </w:rPr>
              <w:t xml:space="preserve">P1-GATE</w:t>
            </w:r>
          </w:p>
        </w:tc>
        <w:tc>
          <w:tcPr>
            <w:tcW w:type="dxa" w:w="38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0D1B3E"/>
                <w:sz w:val="19"/>
                <w:szCs w:val="19"/>
              </w:rPr>
              <w:t xml:space="preserve">PHASE 1 GATE: C4 + C5 agents produce gap JSON from NCAOS-Urielle ERT evidence. Validator scores correctly. Evidence records pass schema. Sign off before Phase 2.</w:t>
            </w:r>
          </w:p>
        </w:tc>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AA6600"/>
                <w:sz w:val="19"/>
                <w:szCs w:val="19"/>
              </w:rPr>
              <w:t xml:space="preserve">⬜ OPEN</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9026"/>
            <w:gridSpan w:val="4"/>
            <w:tcBorders>
              <w:top w:val="single" w:color="CCCCCC" w:sz="1"/>
              <w:left w:val="single" w:color="CCCCCC" w:sz="1"/>
              <w:bottom w:val="single" w:color="CCCCCC" w:sz="1"/>
              <w:right w:val="single" w:color="CCCCCC" w:sz="1"/>
            </w:tcBorders>
            <w:shd w:fill="EDE7F6" w:val="clear"/>
            <w:tcMar>
              <w:top w:type="dxa" w:w="100"/>
              <w:left w:type="dxa" w:w="120"/>
              <w:bottom w:type="dxa" w:w="100"/>
              <w:right w:type="dxa" w:w="120"/>
            </w:tcMar>
          </w:tcPr>
          <w:p>
            <w:r>
              <w:rPr>
                <w:rFonts w:ascii="Arial" w:cs="Arial" w:eastAsia="Arial" w:hAnsi="Arial"/>
                <w:b/>
                <w:bCs/>
                <w:color w:val="0D1B3E"/>
                <w:sz w:val="22"/>
                <w:szCs w:val="22"/>
              </w:rPr>
              <w:t xml:space="preserve">PHASE 2 — Orchestrated multi-clause agent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Extend question bank to Clause 6, 7, 8. Tag and weight questions.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Clause 6, 7, 8 agents following Phase 1 pattern.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interview engine: session manager, adapter router, retry + follow-up handler, session state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audit orchestrator: clause router, shared context bus, cross-clause consistency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trace linker (Layer 6): map each evidence record to clause +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gap detector: missing attestations + cross-clause deltas + per-clause completeness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P2-T07</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End-to-end session test: human path + agent path through all Clause 4–8 agents on NCAOS-Urielle 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A3A6B"/>
                <w:sz w:val="19"/>
                <w:szCs w:val="19"/>
              </w:rPr>
              <w:t xml:space="preserve">P2-GATE</w:t>
            </w:r>
          </w:p>
        </w:tc>
        <w:tc>
          <w:tcPr>
            <w:tcW w:type="dxa" w:w="3826"/>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0D1B3E"/>
                <w:sz w:val="19"/>
                <w:szCs w:val="19"/>
              </w:rPr>
              <w:t xml:space="preserve">PHASE 2 GATE: Full Clause 4–8 audit session runs end-to-end. Cross-clause gaps detected. Evidence package built. Scorecard matches manual registers. Sign off before Phase 3.</w:t>
            </w:r>
          </w:p>
        </w:tc>
        <w:tc>
          <w:tcPr>
            <w:tcW w:type="dxa" w:w="1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val="false"/>
                <w:bCs w:val="false"/>
                <w:color w:val="AA6600"/>
                <w:sz w:val="19"/>
                <w:szCs w:val="19"/>
              </w:rPr>
              <w:t xml:space="preserve">⬜ OPEN</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9026"/>
            <w:gridSpan w:val="4"/>
            <w:tcBorders>
              <w:top w:val="single" w:color="CCCCCC" w:sz="1"/>
              <w:left w:val="single" w:color="CCCCCC" w:sz="1"/>
              <w:bottom w:val="single" w:color="CCCCCC" w:sz="1"/>
              <w:right w:val="single" w:color="CCCCCC" w:sz="1"/>
            </w:tcBorders>
            <w:shd w:fill="FBE9E7" w:val="clear"/>
            <w:tcMar>
              <w:top w:type="dxa" w:w="100"/>
              <w:left w:type="dxa" w:w="120"/>
              <w:bottom w:type="dxa" w:w="100"/>
              <w:right w:type="dxa" w:w="120"/>
            </w:tcMar>
          </w:tcPr>
          <w:p>
            <w:r>
              <w:rPr>
                <w:rFonts w:ascii="Arial" w:cs="Arial" w:eastAsia="Arial" w:hAnsi="Arial"/>
                <w:b/>
                <w:bCs/>
                <w:color w:val="0D1B3E"/>
                <w:sz w:val="22"/>
                <w:szCs w:val="22"/>
              </w:rPr>
              <w:t xml:space="preserve">PHASE 3 — Continuous compliance layer (AuditSignal)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evidence ingestor: file-system watcher on evidence repo, triggers on new/changed 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report template (ISO 42001): gap/finding/risk narrative + certification readiness scorecard + evidence trail.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HITL sign-off workflow: auditor review gate before any finding is finalised.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NCAOS/BGL connector (Layer 8): ingest NCAOS-Urielle ERT evidence without manual re-entry. Toru-compatible API boundary.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Build generic REST connector for external GRC systems (ServiceNow, Salesforce GRC).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Extend question bank to Clause 9, 10, Annex A controls.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6B"/>
                <w:sz w:val="19"/>
                <w:szCs w:val="19"/>
              </w:rPr>
              <w:t xml:space="preserve">P3-T07</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Full continuous audit run: evidence ingestor detects change → agents re-score → delta report generated → HITL sign-off.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3A"/>
                <w:sz w:val="19"/>
                <w:szCs w:val="19"/>
              </w:rPr>
              <w:t xml:space="preserve">Not started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r>
        <w:tc>
          <w:tcPr>
            <w:tcW w:type="dxa" w:w="1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bCs/>
                <w:color w:val="1A3A6B"/>
                <w:sz w:val="19"/>
                <w:szCs w:val="19"/>
              </w:rPr>
              <w:t xml:space="preserve">P3-GATE</w:t>
            </w:r>
          </w:p>
        </w:tc>
        <w:tc>
          <w:tcPr>
            <w:tcW w:type="dxa" w:w="3826"/>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bCs/>
                <w:color w:val="0D1B3E"/>
                <w:sz w:val="19"/>
                <w:szCs w:val="19"/>
              </w:rPr>
              <w:t xml:space="preserve">PHASE 3 GATE: Continuous audit loop runs autonomously on NCAOS-Urielle reference. NCAOS/BGL connector operational. Report matches what a manual audit would produce. Toru bilateral validation. Sign off = AAAL v1.0.</w:t>
            </w:r>
          </w:p>
        </w:tc>
        <w:tc>
          <w:tcPr>
            <w:tcW w:type="dxa" w:w="14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AA6600"/>
                <w:sz w:val="19"/>
                <w:szCs w:val="19"/>
              </w:rPr>
              <w:t xml:space="preserve">⬜ OPEN</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
            </w:r>
          </w:p>
        </w:tc>
      </w:tr>
    </w:tbl>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6 — Sketch-to-Architecture Mapping</w:t>
      </w:r>
    </w:p>
    <w:p>
      <w:pPr>
        <w:spacing w:after="80" w:before="80"/>
      </w:pPr>
      <w:r>
        <w:rPr>
          <w:rFonts w:ascii="Arial" w:cs="Arial" w:eastAsia="Arial" w:hAnsi="Arial"/>
          <w:color w:val="1A1A1A"/>
          <w:sz w:val="20"/>
          <w:szCs w:val="20"/>
        </w:rPr>
        <w:t xml:space="preserve">Your architecture sketch (image provided) maps to the AAAL layers as follows: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Sketch element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AAAL layer</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AI System / Application /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L0 — Interviewee layer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The subject. Human or AI agent. No code required here — this defines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Runtime Events + Documents + Logs + Policies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L1 — Subject adapter + L2 — Question bank</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Adapter retrieves logs/docs/config from AI agents. Question bank defines what to ask / retrieve.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Urielle Evidence Intake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L3 — Interview engine + L4 — Response validator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Intake = session management + validation. Validator is the quality gate before evidence enters the schema.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Agentic Audit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L3–L6 (engine + validator + schema + fabric)</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The sketch combines the active intelligence layers. In the AAAL, these are four distinct layers with separate responsibilities.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Control Mapping + Risk Detection + Evidence Scoring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3E"/>
                <w:sz w:val="19"/>
                <w:szCs w:val="19"/>
              </w:rPr>
              <w:t xml:space="preserve">L5 — Evidence schema + L6 — Evidence fabric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Trace linker = control mapping. Gap detector = risk detection. Confidence score = evidence scoring.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Audit Report / ISO 42001 Evidence Repository / Dashboard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3E"/>
                <w:sz w:val="19"/>
                <w:szCs w:val="19"/>
              </w:rPr>
              <w:t xml:space="preserve">L7 — Report layer + L8 — Plugin connector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Report = L7. Evidence repository = L5/L6 store. Dashboard = L7 output surface. L8 pushes to external GRC.</w:t>
            </w:r>
          </w:p>
        </w:tc>
      </w:tr>
    </w:tbl>
    <w:p>
      <w:pPr>
        <w:spacing w:after="40" w:before="40"/>
      </w:pPr>
    </w:p>
    <w:p>
      <w:pPr>
        <w:spacing w:after="40" w:before="40"/>
      </w:pPr>
    </w:p>
    <w:p>
      <w:pPr>
        <w:pStyle w:val="Heading1"/>
        <w:pBdr>
          <w:bottom w:val="single" w:color="0D1B3E" w:sz="6" w:space="1"/>
        </w:pBdr>
        <w:spacing w:after="160" w:before="360"/>
      </w:pPr>
      <w:r>
        <w:rPr>
          <w:rFonts w:ascii="Arial" w:cs="Arial" w:eastAsia="Arial" w:hAnsi="Arial"/>
          <w:b/>
          <w:bCs/>
          <w:color w:val="0D1B3E"/>
          <w:sz w:val="32"/>
          <w:szCs w:val="32"/>
        </w:rPr>
        <w:t xml:space="preserve">Section 7 — Author Attestation</w:t>
      </w:r>
    </w:p>
    <w:p>
      <w:pPr>
        <w:spacing w:after="80" w:before="80"/>
      </w:pPr>
      <w:r>
        <w:rPr>
          <w:rFonts w:ascii="Arial" w:cs="Arial" w:eastAsia="Arial" w:hAnsi="Arial"/>
          <w:color w:val="1A1A1A"/>
          <w:sz w:val="20"/>
          <w:szCs w:val="20"/>
        </w:rPr>
        <w:t xml:space="preserve">I, the named author below, confirm that this architecture walkthrough reflects the intended design of the Urielle Agnostic Agentic Audit Layer as of the version date. The phase tracker in Section 5 will be updated as build progresses. Phase gate sign-offs are recorded in the Blocker/Note column of the tracker.</w:t>
      </w:r>
    </w:p>
    <w:p>
      <w:pPr>
        <w:spacing w:after="40" w:before="40"/>
      </w:pP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1B3E"/>
                <w:sz w:val="20"/>
                <w:szCs w:val="20"/>
              </w:rPr>
              <w:t xml:space="preserve">Urielle AI — Author</w:t>
            </w:r>
          </w:p>
        </w:tc>
        <w:tc>
          <w:tcPr>
            <w:tcW w:type="dxa" w:w="4513"/>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555555"/>
                <w:sz w:val="20"/>
                <w:szCs w:val="20"/>
              </w:rPr>
              <w:t xml:space="preserve">Review / Bilateral (Toru / NCAOS Japan)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Name:    William Hartono</w:t>
            </w:r>
          </w:p>
        </w:tc>
        <w:tc>
          <w:tcPr>
            <w:tcW w:type="dxa" w:w="4513"/>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Name:    _________________________</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Title:    Founder, Urielle AI / FHCA</w:t>
            </w:r>
          </w:p>
        </w:tc>
        <w:tc>
          <w:tcPr>
            <w:tcW w:type="dxa" w:w="4513"/>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Title:    _________________________</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3E"/>
                <w:sz w:val="19"/>
                <w:szCs w:val="19"/>
              </w:rPr>
              <w:t xml:space="preserve">Date:    _________________________</w:t>
            </w:r>
          </w:p>
        </w:tc>
        <w:tc>
          <w:tcPr>
            <w:tcW w:type="dxa" w:w="4513"/>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Date:    _________________________</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1B3E"/>
                <w:sz w:val="19"/>
                <w:szCs w:val="19"/>
              </w:rPr>
              <w:t xml:space="preserve">Signature:  ___________________________</w:t>
            </w:r>
          </w:p>
        </w:tc>
        <w:tc>
          <w:tcPr>
            <w:tcW w:type="dxa" w:w="4513"/>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555555"/>
                <w:sz w:val="19"/>
                <w:szCs w:val="19"/>
              </w:rPr>
              <w:t xml:space="preserve">Signature:  ___________________________</w:t>
            </w:r>
          </w:p>
        </w:tc>
      </w:tr>
    </w:tbl>
    <w:p>
      <w:pPr>
        <w:spacing w:after="40" w:before="40"/>
      </w:pPr>
    </w:p>
    <w:p>
      <w:pPr>
        <w:spacing w:after="0" w:before="160"/>
        <w:jc w:val="center"/>
      </w:pPr>
      <w:r>
        <w:rPr>
          <w:rFonts w:ascii="Arial" w:cs="Arial" w:eastAsia="Arial" w:hAnsi="Arial"/>
          <w:color w:val="888888"/>
          <w:sz w:val="16"/>
          <w:szCs w:val="16"/>
        </w:rPr>
        <w:t xml:space="preserve">Agnostic Agentic Audit Layer  |  AAAL-ARCH-001  |  Urielle AI  |  Confidential  |  v0.1 Draft  |  June 2026</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E" w:sz="6" w:space="1"/>
      </w:pBdr>
      <w:tabs>
        <w:tab w:val="right" w:pos="13680"/>
      </w:tabs>
    </w:pPr>
    <w:r>
      <w:rPr>
        <w:rFonts w:ascii="Arial" w:cs="Arial" w:eastAsia="Arial" w:hAnsi="Arial"/>
        <w:color w:val="555555"/>
        <w:sz w:val="16"/>
        <w:szCs w:val="16"/>
      </w:rPr>
      <w:t xml:space="preserve">Confidential  |  Urielle AI  |  William Hartono  |  wholidipro@urielle-ai.com</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3E" w:sz="6" w:space="1"/>
      </w:pBdr>
      <w:tabs>
        <w:tab w:val="right" w:pos="13680"/>
      </w:tabs>
    </w:pPr>
    <w:r>
      <w:rPr>
        <w:rFonts w:ascii="Arial" w:cs="Arial" w:eastAsia="Arial" w:hAnsi="Arial"/>
        <w:color w:val="555555"/>
        <w:sz w:val="16"/>
        <w:szCs w:val="16"/>
      </w:rPr>
      <w:t xml:space="preserve">Urielle AI  |  Agnostic Agentic Audit Layer — Architecture Walkthrough</w:t>
    </w:r>
    <w:r>
      <w:rPr>
        <w:rFonts w:ascii="Arial" w:cs="Arial" w:eastAsia="Arial" w:hAnsi="Arial"/>
        <w:color w:val="555555"/>
        <w:sz w:val="16"/>
        <w:szCs w:val="16"/>
      </w:rPr>
      <w:t xml:space="preserve">	AAAL-ARCH-001  |  v0.1 Draft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2026-06-27T13:23:44.724Z</dcterms:created>
  <dcterms:modified xsi:type="dcterms:W3CDTF">2026-06-27T13:23:44.727Z</dcterms:modified>
</cp:coreProperties>
</file>

<file path=docProps/custom.xml><?xml version="1.0" encoding="utf-8"?>
<Properties xmlns="http://schemas.openxmlformats.org/officeDocument/2006/custom-properties" xmlns:vt="http://schemas.openxmlformats.org/officeDocument/2006/docPropsVTypes"/>
</file>