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2160"/>
        <w:jc w:val="center"/>
      </w:pPr>
      <w:r>
        <w:t xml:space="preserve"/>
      </w:r>
    </w:p>
    <w:p>
      <w:pPr>
        <w:shd w:fill="0D2137" w:val="clear"/>
        <w:jc w:val="center"/>
      </w:pPr>
      <w:r>
        <w:rPr>
          <w:rFonts w:ascii="Arial" w:cs="Arial" w:eastAsia="Arial" w:hAnsi="Arial"/>
          <w:b/>
          <w:bCs/>
          <w:color w:val="FFFFFF"/>
          <w:sz w:val="52"/>
          <w:szCs w:val="52"/>
        </w:rPr>
        <w:t xml:space="preserve">COMPARATIVE SECURITY TESTING REPORT</w:t>
      </w:r>
    </w:p>
    <w:p>
      <w:pPr>
        <w:shd w:fill="0D2137" w:val="clear"/>
        <w:spacing w:after="0" w:before="80"/>
        <w:jc w:val="center"/>
      </w:pPr>
      <w:r>
        <w:rPr>
          <w:rFonts w:ascii="Arial" w:cs="Arial" w:eastAsia="Arial" w:hAnsi="Arial"/>
          <w:color w:val="D5E8F0"/>
          <w:sz w:val="32"/>
          <w:szCs w:val="32"/>
        </w:rPr>
        <w:t xml:space="preserve">StackHawk DAST vs. OWASP LLM Top 10 Manual Testing</w:t>
      </w:r>
    </w:p>
    <w:p>
      <w:pPr>
        <w:shd w:fill="0D2137" w:val="clear"/>
        <w:spacing w:after="0" w:before="60"/>
        <w:jc w:val="center"/>
      </w:pPr>
      <w:r>
        <w:rPr>
          <w:rFonts w:ascii="Arial" w:cs="Arial" w:eastAsia="Arial" w:hAnsi="Arial"/>
          <w:color w:val="8E9BAA"/>
          <w:sz w:val="26"/>
          <w:szCs w:val="26"/>
        </w:rPr>
        <w:t xml:space="preserve">Dev Guardian  —  GenAI Security Agent</w:t>
      </w:r>
    </w:p>
    <w:p>
      <w:pPr>
        <w:shd w:fill="0D2137" w:val="clear"/>
        <w:spacing w:after="0" w:before="40"/>
        <w:jc w:val="center"/>
      </w:pPr>
      <w:r>
        <w:rPr>
          <w:rFonts w:ascii="Arial" w:cs="Arial" w:eastAsia="Arial" w:hAnsi="Arial"/>
          <w:color w:val="8E9BAA"/>
          <w:sz w:val="22"/>
          <w:szCs w:val="22"/>
        </w:rPr>
        <w:t xml:space="preserve">Urielle AI  ·  May 2026  ·  CONFIDENTIAL</w:t>
      </w:r>
    </w:p>
    <w:p>
      <w:pPr>
        <w:shd w:fill="0D2137" w:val="clear"/>
        <w:spacing w:after="0" w:before="2160"/>
      </w:pPr>
      <w:r>
        <w:t xml:space="preserve"/>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Target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Dev Guardian — GenAI Security Agent</w:t>
            </w:r>
          </w:p>
        </w:tc>
      </w:tr>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Test URL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https://dev-guardian-production.up.railway.app/ui</w:t>
            </w:r>
          </w:p>
        </w:tc>
      </w:tr>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OWASP Result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Phase 02: 10/10 PASS — Score 96/100 (▲+24 from Phase 01)</w:t>
            </w:r>
          </w:p>
        </w:tc>
      </w:tr>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StackHawk Config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stackhawk.yml + file-upload-fuzz.js (pre-release DAST)</w:t>
            </w:r>
          </w:p>
        </w:tc>
      </w:tr>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Report 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May 2026</w:t>
            </w:r>
          </w:p>
        </w:tc>
      </w:tr>
      <w:tr>
        <w:tc>
          <w:tcPr>
            <w:tcW w:type="dxa" w:w="2520"/>
            <w:tcBorders>
              <w:top w:val="single" w:color="185FA5" w:sz="1"/>
              <w:left w:val="single" w:color="185FA5" w:sz="1"/>
              <w:bottom w:val="single" w:color="185FA5" w:sz="1"/>
              <w:right w:val="single" w:color="185FA5" w:sz="1"/>
            </w:tcBorders>
            <w:shd w:fill="F2F4F6" w:val="clear"/>
            <w:tcMar>
              <w:top w:type="dxa" w:w="80"/>
              <w:left w:type="dxa" w:w="120"/>
              <w:bottom w:type="dxa" w:w="80"/>
              <w:right w:type="dxa" w:w="120"/>
            </w:tcMar>
          </w:tcPr>
          <w:p>
            <w:r>
              <w:rPr>
                <w:rFonts w:ascii="Arial" w:cs="Arial" w:eastAsia="Arial" w:hAnsi="Arial"/>
                <w:b/>
                <w:bCs/>
                <w:color w:val="0D2137"/>
                <w:sz w:val="20"/>
                <w:szCs w:val="20"/>
              </w:rPr>
              <w:t xml:space="preserve">Classification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CONFIDENTIAL — Internal Use Only</w:t>
            </w:r>
          </w:p>
        </w:tc>
      </w:tr>
    </w:tbl>
    <w:p>
      <w:r>
        <w:br w:type="page"/>
      </w:r>
    </w:p>
    <w:p>
      <w:pPr>
        <w:pStyle w:val="Heading1"/>
        <w:spacing w:after="120" w:before="360"/>
      </w:pPr>
      <w:r>
        <w:rPr>
          <w:rFonts w:ascii="Arial" w:cs="Arial" w:eastAsia="Arial" w:hAnsi="Arial"/>
          <w:b/>
          <w:bCs/>
          <w:color w:val="0D2137"/>
          <w:sz w:val="36"/>
          <w:szCs w:val="36"/>
        </w:rPr>
        <w:t xml:space="preserve">1.  Executive Summary</w:t>
      </w:r>
    </w:p>
    <w:p>
      <w:pPr>
        <w:pBdr>
          <w:bottom w:val="single" w:color="185FA5" w:sz="8" w:space="1"/>
        </w:pBdr>
        <w:spacing w:after="120" w:before="240"/>
      </w:pPr>
      <w:r>
        <w:t xml:space="preserve"/>
      </w:r>
    </w:p>
    <w:p>
      <w:pPr>
        <w:spacing w:after="60" w:before="60"/>
      </w:pPr>
      <w:r>
        <w:rPr>
          <w:rFonts w:ascii="Arial" w:cs="Arial" w:eastAsia="Arial" w:hAnsi="Arial"/>
          <w:color w:val="2C3E50"/>
          <w:sz w:val="22"/>
          <w:szCs w:val="22"/>
        </w:rPr>
        <w:t xml:space="preserve">Dev Guardian has completed two rounds of security testing prior to public release. This report explains the fundamental difference between those two testing approaches — StackHawk DAST and the OWASP LLM Top 10 manual testing — and why both are required for a complete pre-release security baseline.</w:t>
      </w:r>
    </w:p>
    <w:p>
      <w:pPr>
        <w:spacing w:after="0" w:before="0" w:line="120"/>
      </w:pPr>
      <w:r>
        <w:t xml:space="preserve"/>
      </w:r>
    </w:p>
    <w:p>
      <w:pPr>
        <w:spacing w:after="60" w:before="60"/>
      </w:pPr>
      <w:r>
        <w:rPr>
          <w:rFonts w:ascii="Arial" w:cs="Arial" w:eastAsia="Arial" w:hAnsi="Arial"/>
          <w:color w:val="2C3E50"/>
          <w:sz w:val="22"/>
          <w:szCs w:val="22"/>
        </w:rPr>
        <w:t xml:space="preserve">The short answer: they test different layers of the same application. StackHawk is a black-box network attacker that fires HTTP requests at the running application and observes what comes back. The OWASP LLM manual testing is a semantic code auditor that uploads crafted source files to Dev Guardian and asks the scanner's own LLM to reason about code-level vulnerability patterns.</w:t>
      </w:r>
    </w:p>
    <w:p>
      <w:pPr>
        <w:spacing w:after="0" w:before="0" w:line="120"/>
      </w:pPr>
      <w:r>
        <w:t xml:space="preserve"/>
      </w:r>
    </w:p>
    <w:p>
      <w:pPr>
        <w:spacing w:after="60" w:before="60"/>
      </w:pPr>
      <w:r>
        <w:rPr>
          <w:rFonts w:ascii="Arial" w:cs="Arial" w:eastAsia="Arial" w:hAnsi="Arial"/>
          <w:color w:val="2C3E50"/>
          <w:sz w:val="22"/>
          <w:szCs w:val="22"/>
        </w:rPr>
        <w:t xml:space="preserve">Neither approach can replicate the other. Running only one leaves a real gap that the other cannot backfill.</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StackHawk DAST</w:t>
            </w:r>
          </w:p>
        </w:tc>
        <w:tc>
          <w:tcPr>
            <w:tcW w:type="dxa" w:w="31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OWASP LLM Manual Testing</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Approach</w:t>
            </w:r>
          </w:p>
        </w:tc>
        <w:tc>
          <w:tcPr>
            <w:tcW w:type="dxa" w:w="312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185FA5"/>
                <w:sz w:val="20"/>
                <w:szCs w:val="20"/>
              </w:rPr>
              <w:t xml:space="preserve">Black-box HTTP attacker</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3B6D11"/>
                <w:sz w:val="20"/>
                <w:szCs w:val="20"/>
              </w:rPr>
              <w:t xml:space="preserve">White-box code auditor</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What it sees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Live HTTP responses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Uploaded source code</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Test execution</w:t>
            </w:r>
          </w:p>
        </w:tc>
        <w:tc>
          <w:tcPr>
            <w:tcW w:type="dxa" w:w="312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185FA5"/>
                <w:sz w:val="20"/>
                <w:szCs w:val="20"/>
              </w:rPr>
              <w:t xml:space="preserve">Automated spider + ZAP active scan</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3B6D11"/>
                <w:sz w:val="20"/>
                <w:szCs w:val="20"/>
              </w:rPr>
              <w:t xml:space="preserve">Upload .py/.js to Dev Guardian UI</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Requires code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Yes (test files)</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OWASP LLM Top 10 coverage</w:t>
            </w:r>
          </w:p>
        </w:tc>
        <w:tc>
          <w:tcPr>
            <w:tcW w:type="dxa" w:w="312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left"/>
            </w:pPr>
            <w:r>
              <w:rPr>
                <w:rFonts w:ascii="Arial" w:cs="Arial" w:eastAsia="Arial" w:hAnsi="Arial"/>
                <w:b w:val="false"/>
                <w:bCs w:val="false"/>
                <w:color w:val="A32D2D"/>
                <w:sz w:val="20"/>
                <w:szCs w:val="20"/>
              </w:rPr>
              <w:t xml:space="preserve">2 of 10 (partial on 3 more)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27500A"/>
                <w:sz w:val="20"/>
                <w:szCs w:val="20"/>
              </w:rPr>
              <w:t xml:space="preserve">10 of 10 (96/100, Phase 02)</w:t>
            </w:r>
          </w:p>
        </w:tc>
      </w:tr>
      <w:tr>
        <w:tc>
          <w:tcPr>
            <w:tcW w:type="dxa" w:w="31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OWASP Web Top 10 coverage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27500A"/>
                <w:sz w:val="20"/>
                <w:szCs w:val="20"/>
              </w:rPr>
              <w:t xml:space="preserve">Full (primary use case)</w:t>
            </w:r>
          </w:p>
        </w:tc>
        <w:tc>
          <w:tcPr>
            <w:tcW w:type="dxa" w:w="312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vAlign w:val="center"/>
          </w:tcPr>
          <w:p>
            <w:pPr>
              <w:jc w:val="left"/>
            </w:pPr>
            <w:r>
              <w:rPr>
                <w:rFonts w:ascii="Arial" w:cs="Arial" w:eastAsia="Arial" w:hAnsi="Arial"/>
                <w:b w:val="false"/>
                <w:bCs w:val="false"/>
                <w:color w:val="A32D2D"/>
                <w:sz w:val="20"/>
                <w:szCs w:val="20"/>
              </w:rPr>
              <w:t xml:space="preserve">None (out of scope)</w:t>
            </w:r>
          </w:p>
        </w:tc>
      </w:tr>
    </w:tbl>
    <w:p>
      <w:pPr>
        <w:spacing w:after="0" w:before="0" w:line="120"/>
      </w:pPr>
      <w:r>
        <w:t xml:space="preserve"/>
      </w:r>
    </w:p>
    <w:p>
      <w:r>
        <w:br w:type="page"/>
      </w:r>
    </w:p>
    <w:p>
      <w:pPr>
        <w:pStyle w:val="Heading1"/>
        <w:spacing w:after="120" w:before="360"/>
      </w:pPr>
      <w:r>
        <w:rPr>
          <w:rFonts w:ascii="Arial" w:cs="Arial" w:eastAsia="Arial" w:hAnsi="Arial"/>
          <w:b/>
          <w:bCs/>
          <w:color w:val="0D2137"/>
          <w:sz w:val="36"/>
          <w:szCs w:val="36"/>
        </w:rPr>
        <w:t xml:space="preserve">2.  The Fundamental Difference</w:t>
      </w:r>
    </w:p>
    <w:p>
      <w:pPr>
        <w:pBdr>
          <w:bottom w:val="single" w:color="185FA5" w:sz="8" w:space="1"/>
        </w:pBdr>
        <w:spacing w:after="120" w:before="240"/>
      </w:pPr>
      <w:r>
        <w:t xml:space="preserve"/>
      </w:r>
    </w:p>
    <w:p>
      <w:pPr>
        <w:pStyle w:val="Heading2"/>
        <w:spacing w:after="100" w:before="280"/>
      </w:pPr>
      <w:r>
        <w:rPr>
          <w:rFonts w:ascii="Arial" w:cs="Arial" w:eastAsia="Arial" w:hAnsi="Arial"/>
          <w:b/>
          <w:bCs/>
          <w:color w:val="185FA5"/>
          <w:sz w:val="28"/>
          <w:szCs w:val="28"/>
        </w:rPr>
        <w:t xml:space="preserve">2.1  StackHawk DAST — the network attacker</w:t>
      </w:r>
    </w:p>
    <w:p>
      <w:pPr>
        <w:spacing w:after="60" w:before="60"/>
      </w:pPr>
      <w:r>
        <w:rPr>
          <w:rFonts w:ascii="Arial" w:cs="Arial" w:eastAsia="Arial" w:hAnsi="Arial"/>
          <w:color w:val="2C3E50"/>
          <w:sz w:val="22"/>
          <w:szCs w:val="22"/>
        </w:rPr>
        <w:t xml:space="preserve">StackHawk wraps OWASP ZAP (Zed Attack Proxy) in a CI/CD-friendly wrapper. It works entirely from the outside: it does not read, import, or understand the application's source code. Its workflow is:</w:t>
      </w:r>
    </w:p>
    <w:p>
      <w:pPr>
        <w:spacing w:after="0" w:before="0" w:line="80"/>
      </w:pPr>
      <w:r>
        <w:t xml:space="preserve"/>
      </w:r>
    </w:p>
    <w:p>
      <w:pPr>
        <w:pStyle w:val="ListParagraph"/>
        <w:numPr>
          <w:ilvl w:val="0"/>
          <w:numId w:val="2"/>
        </w:numPr>
        <w:spacing w:after="40" w:before="40"/>
      </w:pPr>
      <w:r>
        <w:rPr>
          <w:rFonts w:ascii="Arial" w:cs="Arial" w:eastAsia="Arial" w:hAnsi="Arial"/>
          <w:color w:val="2C3E50"/>
          <w:sz w:val="22"/>
          <w:szCs w:val="22"/>
        </w:rPr>
        <w:t xml:space="preserve">Spider the application — discover all endpoints, forms, and file upload surfaces by crawling the live URL.</w:t>
      </w:r>
    </w:p>
    <w:p>
      <w:pPr>
        <w:pStyle w:val="ListParagraph"/>
        <w:numPr>
          <w:ilvl w:val="0"/>
          <w:numId w:val="2"/>
        </w:numPr>
        <w:spacing w:after="40" w:before="40"/>
      </w:pPr>
      <w:r>
        <w:rPr>
          <w:rFonts w:ascii="Arial" w:cs="Arial" w:eastAsia="Arial" w:hAnsi="Arial"/>
          <w:color w:val="2C3E50"/>
          <w:sz w:val="22"/>
          <w:szCs w:val="22"/>
        </w:rPr>
        <w:t xml:space="preserve">Fire active attack payloads at each discovered endpoint — SQL injection strings, XSS vectors, path traversal sequences, malformed file uploads, oversized inputs.</w:t>
      </w:r>
    </w:p>
    <w:p>
      <w:pPr>
        <w:pStyle w:val="ListParagraph"/>
        <w:numPr>
          <w:ilvl w:val="0"/>
          <w:numId w:val="2"/>
        </w:numPr>
        <w:spacing w:after="40" w:before="40"/>
      </w:pPr>
      <w:r>
        <w:rPr>
          <w:rFonts w:ascii="Arial" w:cs="Arial" w:eastAsia="Arial" w:hAnsi="Arial"/>
          <w:color w:val="2C3E50"/>
          <w:sz w:val="22"/>
          <w:szCs w:val="22"/>
        </w:rPr>
        <w:t xml:space="preserve">Inspect HTTP responses — looking for error messages, unexpected status codes, missing security headers, reflected input, or out-of-band callbacks that confirm a vulnerability.</w:t>
      </w:r>
    </w:p>
    <w:p>
      <w:pPr>
        <w:spacing w:after="0" w:before="0" w:line="120"/>
      </w:pPr>
      <w:r>
        <w:t xml:space="preserve"/>
      </w:r>
    </w:p>
    <w:p>
      <w:pPr>
        <w:spacing w:after="60" w:before="60"/>
      </w:pPr>
      <w:r>
        <w:rPr>
          <w:rFonts w:ascii="Arial" w:cs="Arial" w:eastAsia="Arial" w:hAnsi="Arial"/>
          <w:color w:val="2C3E50"/>
          <w:sz w:val="22"/>
          <w:szCs w:val="22"/>
        </w:rPr>
        <w:t xml:space="preserve">Everything StackHawk detects has an observable HTTP signal. If a vulnerability does not produce a detectable change in an HTTP response, StackHawk cannot see it. This is its strength in the web application layer and its hard ceiling in the AI/LLM layer.</w:t>
      </w:r>
    </w:p>
    <w:p>
      <w:pPr>
        <w:spacing w:after="0" w:before="0" w:line="120"/>
      </w:pPr>
      <w:r>
        <w:t xml:space="preserve"/>
      </w:r>
    </w:p>
    <w:p>
      <w:pPr>
        <w:pStyle w:val="Heading2"/>
        <w:spacing w:after="100" w:before="280"/>
      </w:pPr>
      <w:r>
        <w:rPr>
          <w:rFonts w:ascii="Arial" w:cs="Arial" w:eastAsia="Arial" w:hAnsi="Arial"/>
          <w:b/>
          <w:bCs/>
          <w:color w:val="185FA5"/>
          <w:sz w:val="28"/>
          <w:szCs w:val="28"/>
        </w:rPr>
        <w:t xml:space="preserve">2.2  OWASP LLM Manual Testing — the code auditor</w:t>
      </w:r>
    </w:p>
    <w:p>
      <w:pPr>
        <w:spacing w:after="60" w:before="60"/>
      </w:pPr>
      <w:r>
        <w:rPr>
          <w:rFonts w:ascii="Arial" w:cs="Arial" w:eastAsia="Arial" w:hAnsi="Arial"/>
          <w:color w:val="2C3E50"/>
          <w:sz w:val="22"/>
          <w:szCs w:val="22"/>
        </w:rPr>
        <w:t xml:space="preserve">The OWASP LLM manual testing approach uses Dev Guardian against itself. Crafted Python and JavaScript files — each containing intentionally vulnerable code patterns from the OWASP LLM Top 10 — are uploaded to the File Scanner or Folder Scanner. The scanner's own multi-agent LLM pipeline reads and analyses the code semantically, detecting patterns that no HTTP probe could reveal:</w:t>
      </w:r>
    </w:p>
    <w:p>
      <w:pPr>
        <w:spacing w:after="0" w:before="0" w:line="80"/>
      </w:pPr>
      <w:r>
        <w:t xml:space="preserve"/>
      </w:r>
    </w:p>
    <w:p>
      <w:pPr>
        <w:pStyle w:val="ListParagraph"/>
        <w:numPr>
          <w:ilvl w:val="0"/>
          <w:numId w:val="3"/>
        </w:numPr>
        <w:spacing w:after="40" w:before="40"/>
      </w:pPr>
      <w:r>
        <w:rPr>
          <w:rFonts w:ascii="Arial" w:cs="Arial" w:eastAsia="Arial" w:hAnsi="Arial"/>
          <w:color w:val="2C3E50"/>
          <w:sz w:val="22"/>
          <w:szCs w:val="22"/>
        </w:rPr>
        <w:t xml:space="preserve">Prompt injection strings embedded in function arguments or variables</w:t>
      </w:r>
    </w:p>
    <w:p>
      <w:pPr>
        <w:pStyle w:val="ListParagraph"/>
        <w:numPr>
          <w:ilvl w:val="0"/>
          <w:numId w:val="3"/>
        </w:numPr>
        <w:spacing w:after="40" w:before="40"/>
      </w:pPr>
      <w:r>
        <w:rPr>
          <w:rFonts w:ascii="Arial" w:cs="Arial" w:eastAsia="Arial" w:hAnsi="Arial"/>
          <w:color w:val="2C3E50"/>
          <w:sz w:val="22"/>
          <w:szCs w:val="22"/>
        </w:rPr>
        <w:t xml:space="preserve">Hardcoded credentials, PII, and payment card data anywhere in the codebase</w:t>
      </w:r>
    </w:p>
    <w:p>
      <w:pPr>
        <w:pStyle w:val="ListParagraph"/>
        <w:numPr>
          <w:ilvl w:val="0"/>
          <w:numId w:val="3"/>
        </w:numPr>
        <w:spacing w:after="40" w:before="40"/>
      </w:pPr>
      <w:r>
        <w:rPr>
          <w:rFonts w:ascii="Arial" w:cs="Arial" w:eastAsia="Arial" w:hAnsi="Arial"/>
          <w:color w:val="2C3E50"/>
          <w:sz w:val="22"/>
          <w:szCs w:val="22"/>
        </w:rPr>
        <w:t xml:space="preserve">Unsafe pickle deserialization loading model weights from a remote URL</w:t>
      </w:r>
    </w:p>
    <w:p>
      <w:pPr>
        <w:pStyle w:val="ListParagraph"/>
        <w:numPr>
          <w:ilvl w:val="0"/>
          <w:numId w:val="3"/>
        </w:numPr>
        <w:spacing w:after="40" w:before="40"/>
      </w:pPr>
      <w:r>
        <w:rPr>
          <w:rFonts w:ascii="Arial" w:cs="Arial" w:eastAsia="Arial" w:hAnsi="Arial"/>
          <w:color w:val="2C3E50"/>
          <w:sz w:val="22"/>
          <w:szCs w:val="22"/>
        </w:rPr>
        <w:t xml:space="preserve">Direct GPU memory access via ctypes — a cross-user side-channel</w:t>
      </w:r>
    </w:p>
    <w:p>
      <w:pPr>
        <w:pStyle w:val="ListParagraph"/>
        <w:numPr>
          <w:ilvl w:val="0"/>
          <w:numId w:val="3"/>
        </w:numPr>
        <w:spacing w:after="40" w:before="40"/>
      </w:pPr>
      <w:r>
        <w:rPr>
          <w:rFonts w:ascii="Arial" w:cs="Arial" w:eastAsia="Arial" w:hAnsi="Arial"/>
          <w:color w:val="2C3E50"/>
          <w:sz w:val="22"/>
          <w:szCs w:val="22"/>
        </w:rPr>
        <w:t xml:space="preserve">exec(llm_output) and os.system(llm_command) — LLM output executed without validation</w:t>
      </w:r>
    </w:p>
    <w:p>
      <w:pPr>
        <w:pStyle w:val="ListParagraph"/>
        <w:numPr>
          <w:ilvl w:val="0"/>
          <w:numId w:val="3"/>
        </w:numPr>
        <w:spacing w:after="40" w:before="40"/>
      </w:pPr>
      <w:r>
        <w:rPr>
          <w:rFonts w:ascii="Arial" w:cs="Arial" w:eastAsia="Arial" w:hAnsi="Arial"/>
          <w:color w:val="2C3E50"/>
          <w:sz w:val="22"/>
          <w:szCs w:val="22"/>
        </w:rPr>
        <w:t xml:space="preserve">Autonomous agent tools with no human confirmation gate</w:t>
      </w:r>
    </w:p>
    <w:p>
      <w:pPr>
        <w:pStyle w:val="ListParagraph"/>
        <w:numPr>
          <w:ilvl w:val="0"/>
          <w:numId w:val="3"/>
        </w:numPr>
        <w:spacing w:after="40" w:before="40"/>
      </w:pPr>
      <w:r>
        <w:rPr>
          <w:rFonts w:ascii="Arial" w:cs="Arial" w:eastAsia="Arial" w:hAnsi="Arial"/>
          <w:color w:val="2C3E50"/>
          <w:sz w:val="22"/>
          <w:szCs w:val="22"/>
        </w:rPr>
        <w:t xml:space="preserve">System prompt containing database connection strings and admin passwords</w:t>
      </w:r>
    </w:p>
    <w:p>
      <w:pPr>
        <w:pStyle w:val="ListParagraph"/>
        <w:numPr>
          <w:ilvl w:val="0"/>
          <w:numId w:val="3"/>
        </w:numPr>
        <w:spacing w:after="40" w:before="40"/>
      </w:pPr>
      <w:r>
        <w:rPr>
          <w:rFonts w:ascii="Arial" w:cs="Arial" w:eastAsia="Arial" w:hAnsi="Arial"/>
          <w:color w:val="2C3E50"/>
          <w:sz w:val="22"/>
          <w:szCs w:val="22"/>
        </w:rPr>
        <w:t xml:space="preserve">RAG retrieval with no per-user access control on the vector store</w:t>
      </w:r>
    </w:p>
    <w:p>
      <w:pPr>
        <w:pStyle w:val="ListParagraph"/>
        <w:numPr>
          <w:ilvl w:val="0"/>
          <w:numId w:val="3"/>
        </w:numPr>
        <w:spacing w:after="40" w:before="40"/>
      </w:pPr>
      <w:r>
        <w:rPr>
          <w:rFonts w:ascii="Arial" w:cs="Arial" w:eastAsia="Arial" w:hAnsi="Arial"/>
          <w:color w:val="2C3E50"/>
          <w:sz w:val="22"/>
          <w:szCs w:val="22"/>
        </w:rPr>
        <w:t xml:space="preserve">LLM presented as a licensed medical professional without disclaimer</w:t>
      </w:r>
    </w:p>
    <w:p>
      <w:pPr>
        <w:pStyle w:val="ListParagraph"/>
        <w:numPr>
          <w:ilvl w:val="0"/>
          <w:numId w:val="3"/>
        </w:numPr>
        <w:spacing w:after="40" w:before="40"/>
      </w:pPr>
      <w:r>
        <w:rPr>
          <w:rFonts w:ascii="Arial" w:cs="Arial" w:eastAsia="Arial" w:hAnsi="Arial"/>
          <w:color w:val="2C3E50"/>
          <w:sz w:val="22"/>
          <w:szCs w:val="22"/>
        </w:rPr>
        <w:t xml:space="preserve">API calls with no max_tokens cap — unbounded cost and processing exposure</w:t>
      </w:r>
    </w:p>
    <w:p>
      <w:pPr>
        <w:spacing w:after="0" w:before="0" w:line="120"/>
      </w:pPr>
      <w:r>
        <w:t xml:space="preserve"/>
      </w:r>
    </w:p>
    <w:p>
      <w:pPr>
        <w:spacing w:after="60" w:before="60"/>
      </w:pPr>
      <w:r>
        <w:rPr>
          <w:rFonts w:ascii="Arial" w:cs="Arial" w:eastAsia="Arial" w:hAnsi="Arial"/>
          <w:color w:val="2C3E50"/>
          <w:sz w:val="22"/>
          <w:szCs w:val="22"/>
        </w:rPr>
        <w:t xml:space="preserve">None of these patterns produce a distinctive HTTP response. They are architectural and code-level risks that only become visible when the code itself is read and understood.</w:t>
      </w:r>
    </w:p>
    <w:p>
      <w:pPr>
        <w:spacing w:after="0" w:before="0" w:line="120"/>
      </w:pPr>
      <w:r>
        <w:t xml:space="preserve"/>
      </w:r>
    </w:p>
    <w:p>
      <w:r>
        <w:br w:type="page"/>
      </w:r>
    </w:p>
    <w:p>
      <w:pPr>
        <w:pStyle w:val="Heading1"/>
        <w:spacing w:after="120" w:before="360"/>
      </w:pPr>
      <w:r>
        <w:rPr>
          <w:rFonts w:ascii="Arial" w:cs="Arial" w:eastAsia="Arial" w:hAnsi="Arial"/>
          <w:b/>
          <w:bCs/>
          <w:color w:val="0D2137"/>
          <w:sz w:val="36"/>
          <w:szCs w:val="36"/>
        </w:rPr>
        <w:t xml:space="preserve">3.  Coverage Map</w:t>
      </w:r>
    </w:p>
    <w:p>
      <w:pPr>
        <w:pBdr>
          <w:bottom w:val="single" w:color="185FA5" w:sz="8" w:space="1"/>
        </w:pBdr>
        <w:spacing w:after="120" w:before="240"/>
      </w:pPr>
      <w:r>
        <w:t xml:space="preserve"/>
      </w:r>
    </w:p>
    <w:p>
      <w:pPr>
        <w:spacing w:after="60" w:before="60"/>
      </w:pPr>
      <w:r>
        <w:rPr>
          <w:rFonts w:ascii="Arial" w:cs="Arial" w:eastAsia="Arial" w:hAnsi="Arial"/>
          <w:color w:val="2C3E50"/>
          <w:sz w:val="22"/>
          <w:szCs w:val="22"/>
        </w:rPr>
        <w:t xml:space="preserve">The table below maps every vulnerability class tested against both methods, showing where each provides full coverage, partial coverage, or no coverage at all. Coverage classifications reflect actual test results from the Phase 02 OWASP run and the StackHawk configuration developed for this application.</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4320"/>
      </w:tblGrid>
      <w:tr>
        <w:tc>
          <w:tcPr>
            <w:tcW w:type="dxa" w:w="1680"/>
            <w:tcBorders>
              <w:top w:val="single" w:color="CCCCCC" w:sz="1"/>
              <w:left w:val="single" w:color="CCCCCC" w:sz="1"/>
              <w:bottom w:val="single" w:color="CCCCCC" w:sz="1"/>
              <w:right w:val="single" w:color="CCCCCC" w:sz="1"/>
            </w:tcBorders>
            <w:shd w:fill="EAF3DE" w:val="clear"/>
            <w:tcMar>
              <w:top w:type="dxa" w:w="60"/>
              <w:left w:type="dxa" w:w="120"/>
              <w:bottom w:type="dxa" w:w="60"/>
              <w:right w:type="dxa" w:w="120"/>
            </w:tcMar>
          </w:tcPr>
          <w:p>
            <w:pPr>
              <w:jc w:val="center"/>
            </w:pPr>
            <w:r>
              <w:rPr>
                <w:rFonts w:ascii="Arial" w:cs="Arial" w:eastAsia="Arial" w:hAnsi="Arial"/>
                <w:b/>
                <w:bCs/>
                <w:color w:val="27500A"/>
                <w:sz w:val="18"/>
                <w:szCs w:val="18"/>
              </w:rPr>
              <w:t xml:space="preserve">Full  ✓</w:t>
            </w:r>
          </w:p>
        </w:tc>
        <w:tc>
          <w:tcPr>
            <w:tcW w:type="dxa" w:w="1680"/>
            <w:tcBorders>
              <w:top w:val="single" w:color="CCCCCC" w:sz="1"/>
              <w:left w:val="single" w:color="CCCCCC" w:sz="1"/>
              <w:bottom w:val="single" w:color="CCCCCC" w:sz="1"/>
              <w:right w:val="single" w:color="CCCCCC" w:sz="1"/>
            </w:tcBorders>
            <w:shd w:fill="FAEEDA" w:val="clear"/>
            <w:tcMar>
              <w:top w:type="dxa" w:w="60"/>
              <w:left w:type="dxa" w:w="120"/>
              <w:bottom w:type="dxa" w:w="60"/>
              <w:right w:type="dxa" w:w="120"/>
            </w:tcMar>
          </w:tcPr>
          <w:p>
            <w:pPr>
              <w:jc w:val="center"/>
            </w:pPr>
            <w:r>
              <w:rPr>
                <w:rFonts w:ascii="Arial" w:cs="Arial" w:eastAsia="Arial" w:hAnsi="Arial"/>
                <w:b/>
                <w:bCs/>
                <w:color w:val="633806"/>
                <w:sz w:val="18"/>
                <w:szCs w:val="18"/>
              </w:rPr>
              <w:t xml:space="preserve">Partial</w:t>
            </w:r>
          </w:p>
        </w:tc>
        <w:tc>
          <w:tcPr>
            <w:tcW w:type="dxa" w:w="1680"/>
            <w:tcBorders>
              <w:top w:val="single" w:color="CCCCCC" w:sz="1"/>
              <w:left w:val="single" w:color="CCCCCC" w:sz="1"/>
              <w:bottom w:val="single" w:color="CCCCCC" w:sz="1"/>
              <w:right w:val="single" w:color="CCCCCC" w:sz="1"/>
            </w:tcBorders>
            <w:shd w:fill="FCEBEB" w:val="clear"/>
            <w:tcMar>
              <w:top w:type="dxa" w:w="60"/>
              <w:left w:type="dxa" w:w="120"/>
              <w:bottom w:type="dxa" w:w="60"/>
              <w:right w:type="dxa" w:w="120"/>
            </w:tcMar>
          </w:tcPr>
          <w:p>
            <w:pPr>
              <w:jc w:val="center"/>
            </w:pPr>
            <w:r>
              <w:rPr>
                <w:rFonts w:ascii="Arial" w:cs="Arial" w:eastAsia="Arial" w:hAnsi="Arial"/>
                <w:b/>
                <w:bCs/>
                <w:color w:val="791F1F"/>
                <w:sz w:val="18"/>
                <w:szCs w:val="18"/>
              </w:rPr>
              <w:t xml:space="preserve">None</w:t>
            </w:r>
          </w:p>
        </w:tc>
        <w:tc>
          <w:tcPr>
            <w:tcW w:type="dxa" w:w="4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8E9BAA"/>
                <w:sz w:val="18"/>
                <w:szCs w:val="18"/>
              </w:rPr>
              <w:t xml:space="preserve">Coverage legend</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1800"/>
        <w:gridCol w:w="1800"/>
        <w:gridCol w:w="2160"/>
      </w:tblGrid>
      <w:tr>
        <w:trPr>
          <w:tblHeader/>
        </w:trPr>
        <w:tc>
          <w:tcPr>
            <w:tcW w:type="dxa" w:w="25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108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OWASP Ref</w:t>
            </w:r>
          </w:p>
        </w:tc>
        <w:tc>
          <w:tcPr>
            <w:tcW w:type="dxa" w:w="180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StackHawk</w:t>
            </w:r>
          </w:p>
        </w:tc>
        <w:tc>
          <w:tcPr>
            <w:tcW w:type="dxa" w:w="180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Manual Testing</w:t>
            </w:r>
          </w:p>
        </w:tc>
        <w:tc>
          <w:tcPr>
            <w:tcW w:type="dxa" w:w="216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Prompt injection in code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LLM01</w:t>
            </w:r>
          </w:p>
        </w:tc>
        <w:tc>
          <w:tcPr>
            <w:tcW w:type="dxa" w:w="18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Partial</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StackHawk probes the instruction field only; manual testing embeds injection strings inside uploaded source files — the actual attack vector for this app</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Sensitive data / PII / secrets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LLM02</w:t>
            </w:r>
          </w:p>
        </w:tc>
        <w:tc>
          <w:tcPr>
            <w:tcW w:type="dxa" w:w="18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Partial</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StackHawk can detect secrets leaked in HTTP responses; manual testing finds secrets hardcoded in source and PII sent to an external LLM — invisible over HTTP</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Supply chain / pickle RCE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LLM03</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Pickle deserialization, GPU side-channel, and torch.load risks exist purely in code logic — no HTTP request can trigger or detect them</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SQL / shell injection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A03 / LLM04</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Both methods cover this. StackHawk confirms live server behavior; manual testing confirms the code pattern — highest combined confidence</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 output handling (exec/XSS)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LLM05</w:t>
            </w:r>
          </w:p>
        </w:tc>
        <w:tc>
          <w:tcPr>
            <w:tcW w:type="dxa" w:w="18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Partial</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StackHawk can detect XSS reflected in the HTML report; it cannot detect exec(llm_output) or os.system(llm_command) which require reading code logic</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Excessive agency / no HITL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LLM06</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Governance risk — no HTTP signal. Requires reading code to see that destructive tools have no confirmation gate</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System prompt leakage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LLM07</w:t>
            </w:r>
          </w:p>
        </w:tc>
        <w:tc>
          <w:tcPr>
            <w:tcW w:type="dxa" w:w="18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Partial</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StackHawk probes for secrets in HTTP responses; manual testing finds credentials hardcoded directly into the system prompt string in source</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RAG / vector embedding ACL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LLM08</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Namespace isolation and ACL gaps are architectural decisions visible only in code — no network probe can detect missing per-user isolation</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Role misrepresentation (LLM09)</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LLM09</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Ethics and governance risk with no HTTP signal. Required a specific rule addition in Phase 02; was a FAIL in Phase 01 before the rule was added</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Rate limiting / max_tokens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LLM10 / API4</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Both cover this — StackHawk confirms the live server enforces 429 / 413; manual testing confirms the code has no max_tokens cap on LLM calls</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ZIP Slip / path traversal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A01</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Runtime file extraction behavior — requires a live server to confirm whether traversal paths are sanitised before the ZIP is unpacked</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Security headers / CORS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A05</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HTTP response properties. CSP, HSTS, X-Frame-Options, and CORS headers are invisible in uploaded source code</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XSS via report filename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A03</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The app reflects uploaded filenames into HTML reports. This is a live HTTP behavior — no code file can probe whether the server encodes the output</w:t>
            </w:r>
          </w:p>
        </w:tc>
      </w:tr>
      <w:tr>
        <w:tc>
          <w:tcPr>
            <w:tcW w:type="dxa" w:w="2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SSRF (live confirmation)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A10</w:t>
            </w:r>
          </w:p>
        </w:tc>
        <w:tc>
          <w:tcPr>
            <w:tcW w:type="dxa" w:w="18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Full  ✓</w:t>
            </w:r>
          </w:p>
        </w:tc>
        <w:tc>
          <w:tcPr>
            <w:tcW w:type="dxa" w:w="18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Partial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Manual test files embed SSRF probes in code; only StackHawk with Burp Collaborator can confirm whether the server actually makes the outbound request</w:t>
            </w:r>
          </w:p>
        </w:tc>
      </w:tr>
    </w:tbl>
    <w:p>
      <w:pPr>
        <w:spacing w:after="0" w:before="0" w:line="120"/>
      </w:pPr>
      <w:r>
        <w:t xml:space="preserve"/>
      </w:r>
    </w:p>
    <w:p>
      <w:r>
        <w:br w:type="page"/>
      </w:r>
    </w:p>
    <w:p>
      <w:pPr>
        <w:pStyle w:val="Heading1"/>
        <w:spacing w:after="120" w:before="360"/>
      </w:pPr>
      <w:r>
        <w:rPr>
          <w:rFonts w:ascii="Arial" w:cs="Arial" w:eastAsia="Arial" w:hAnsi="Arial"/>
          <w:b/>
          <w:bCs/>
          <w:color w:val="0D2137"/>
          <w:sz w:val="36"/>
          <w:szCs w:val="36"/>
        </w:rPr>
        <w:t xml:space="preserve">4.  OWASP LLM Top 10 — Phase 01 vs Phase 02 Results</w:t>
      </w:r>
    </w:p>
    <w:p>
      <w:pPr>
        <w:pBdr>
          <w:bottom w:val="single" w:color="185FA5" w:sz="8" w:space="1"/>
        </w:pBdr>
        <w:spacing w:after="120" w:before="240"/>
      </w:pPr>
      <w:r>
        <w:t xml:space="preserve"/>
      </w:r>
    </w:p>
    <w:p>
      <w:pPr>
        <w:spacing w:after="60" w:before="60"/>
      </w:pPr>
      <w:r>
        <w:rPr>
          <w:rFonts w:ascii="Arial" w:cs="Arial" w:eastAsia="Arial" w:hAnsi="Arial"/>
          <w:color w:val="2C3E50"/>
          <w:sz w:val="22"/>
          <w:szCs w:val="22"/>
        </w:rPr>
        <w:t xml:space="preserve">Phase 01 testing (live at devguardian-urielle-ai.up.railway.app) identified four gaps — one outright FAIL and three PARTIAL results. Phase 02 testing (local at 127.0.0.1:8000) applied targeted fixes to the scanner's SECURITY_INSTRUCTIONS and resolved all four, achieving a perfect 10/10 PASS with a score of 96/100, up 24 points from Phase 01.</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440"/>
        <w:gridCol w:w="1440"/>
        <w:gridCol w:w="1440"/>
        <w:gridCol w:w="2520"/>
      </w:tblGrid>
      <w:tr>
        <w:trPr>
          <w:tblHeader/>
        </w:trPr>
        <w:tc>
          <w:tcPr>
            <w:tcW w:type="dxa" w:w="7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4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Phase 01</w:t>
            </w:r>
          </w:p>
        </w:tc>
        <w:tc>
          <w:tcPr>
            <w:tcW w:type="dxa" w:w="144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Phase 02</w:t>
            </w:r>
          </w:p>
        </w:tc>
        <w:tc>
          <w:tcPr>
            <w:tcW w:type="dxa" w:w="144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252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Key Fix Applied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Prompt Injection</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5/4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6/4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Separate-finding rule + COMPLETENESS RULES block + MAX_TOKENS 1500→4000</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LLM02</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Sensitive Info Disclosure</w:t>
            </w:r>
          </w:p>
        </w:tc>
        <w:tc>
          <w:tcPr>
            <w:tcW w:type="dxa" w:w="144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4/5 PARTIAL</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10/5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PII/card logging rule + Credential Separation Rule + Payment Data Patterns added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Supply Chain</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8/4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8/4 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E9BAA"/>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Stable. __pycache__ clear procedure established to prevent stale bytecode regression</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LLM04</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Data &amp; Model Poisoning</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2/2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2/2 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E9BAA"/>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JSON export sentinel token fix in api_server.py</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Improper Output Handling</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3/3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3/3 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E9BAA"/>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Stable — no fix required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LLM06</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Excessive Agency</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2/2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2/2 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E9BAA"/>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Stable — no fix required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System Prompt Leakage</w:t>
            </w:r>
          </w:p>
        </w:tc>
        <w:tc>
          <w:tcPr>
            <w:tcW w:type="dxa" w:w="144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1/3 PARTIAL</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4/3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LLM07 non-merge rule + RISK_CLASSIFIER_PROMPT updated to prevent grouping</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LLM08</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Vector &amp; Embedding Weakness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3/2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3/2 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E9BAA"/>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Stable — no fix required</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Misinformation</w:t>
            </w:r>
          </w:p>
        </w:tc>
        <w:tc>
          <w:tcPr>
            <w:tcW w:type="dxa" w:w="144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b/>
                <w:bCs/>
                <w:color w:val="791F1F"/>
                <w:sz w:val="18"/>
                <w:szCs w:val="18"/>
              </w:rPr>
              <w:t xml:space="preserve">0/2 FAIL</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3/2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Role Misrepresentation rule added — largest single improvement in Phase 02</w:t>
            </w:r>
          </w:p>
        </w:tc>
      </w:tr>
      <w:tr>
        <w:tc>
          <w:tcPr>
            <w:tcW w:type="dxa" w:w="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bCs/>
                <w:color w:val="0D2137"/>
                <w:sz w:val="20"/>
                <w:szCs w:val="20"/>
              </w:rPr>
              <w:t xml:space="preserve">LLM10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Unbounded Consumption</w:t>
            </w:r>
          </w:p>
        </w:tc>
        <w:tc>
          <w:tcPr>
            <w:tcW w:type="dxa" w:w="144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b/>
                <w:bCs/>
                <w:color w:val="633806"/>
                <w:sz w:val="18"/>
                <w:szCs w:val="18"/>
              </w:rPr>
              <w:t xml:space="preserve">1/3 PARTIAL</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18"/>
                <w:szCs w:val="18"/>
              </w:rPr>
              <w:t xml:space="preserve">3/3 PASS</w:t>
            </w:r>
          </w:p>
        </w:tc>
        <w:tc>
          <w:tcPr>
            <w:tcW w:type="dxa" w:w="144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8E9BAA"/>
                <w:sz w:val="18"/>
                <w:szCs w:val="18"/>
              </w:rPr>
              <w:t xml:space="preserve">Unbounded Consumption rule added — max_tokens and rate limit patterns now flagged</w:t>
            </w:r>
          </w:p>
        </w:tc>
      </w:tr>
      <w:tr>
        <w:tc>
          <w:tcPr>
            <w:tcW w:type="dxa" w:w="7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w:r>
          </w:p>
        </w:tc>
        <w:tc>
          <w:tcPr>
            <w:tcW w:type="dxa" w:w="1440"/>
            <w:tcBorders>
              <w:top w:val="single" w:color="0D2137" w:sz="1"/>
              <w:left w:val="single" w:color="0D2137" w:sz="1"/>
              <w:bottom w:val="single" w:color="0D2137" w:sz="1"/>
              <w:right w:val="single" w:color="0D2137" w:sz="1"/>
            </w:tcBorders>
            <w:shd w:fill="FAEEDA" w:val="clear"/>
            <w:tcMar>
              <w:top w:type="dxa" w:w="80"/>
              <w:left w:type="dxa" w:w="80"/>
              <w:bottom w:type="dxa" w:w="80"/>
              <w:right w:type="dxa" w:w="80"/>
            </w:tcMar>
          </w:tcPr>
          <w:p>
            <w:pPr>
              <w:jc w:val="center"/>
            </w:pPr>
            <w:r>
              <w:rPr>
                <w:rFonts w:ascii="Arial" w:cs="Arial" w:eastAsia="Arial" w:hAnsi="Arial"/>
                <w:b/>
                <w:bCs/>
                <w:color w:val="633806"/>
                <w:sz w:val="20"/>
                <w:szCs w:val="20"/>
              </w:rPr>
              <w:t xml:space="preserve">72/100</w:t>
            </w:r>
          </w:p>
        </w:tc>
        <w:tc>
          <w:tcPr>
            <w:tcW w:type="dxa" w:w="1440"/>
            <w:tcBorders>
              <w:top w:val="single" w:color="0D2137" w:sz="1"/>
              <w:left w:val="single" w:color="0D2137" w:sz="1"/>
              <w:bottom w:val="single" w:color="0D2137" w:sz="1"/>
              <w:right w:val="single" w:color="0D2137"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96/100</w:t>
            </w:r>
          </w:p>
        </w:tc>
        <w:tc>
          <w:tcPr>
            <w:tcW w:type="dxa" w:w="1440"/>
            <w:tcBorders>
              <w:top w:val="single" w:color="0D2137" w:sz="1"/>
              <w:left w:val="single" w:color="0D2137" w:sz="1"/>
              <w:bottom w:val="single" w:color="0D2137" w:sz="1"/>
              <w:right w:val="single" w:color="0D2137" w:sz="1"/>
            </w:tcBorders>
            <w:shd w:fill="EAF3DE" w:val="clear"/>
            <w:tcMar>
              <w:top w:type="dxa" w:w="80"/>
              <w:left w:type="dxa" w:w="80"/>
              <w:bottom w:type="dxa" w:w="80"/>
              <w:right w:type="dxa" w:w="80"/>
            </w:tcMar>
          </w:tcPr>
          <w:p>
            <w:pPr>
              <w:jc w:val="center"/>
            </w:pPr>
            <w:r>
              <w:rPr>
                <w:rFonts w:ascii="Arial" w:cs="Arial" w:eastAsia="Arial" w:hAnsi="Arial"/>
                <w:b/>
                <w:bCs/>
                <w:color w:val="27500A"/>
                <w:sz w:val="20"/>
                <w:szCs w:val="20"/>
              </w:rPr>
              <w:t xml:space="preserve">▲+24</w:t>
            </w:r>
          </w:p>
        </w:tc>
        <w:tc>
          <w:tcPr>
            <w:tcW w:type="dxa" w:w="252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vAlign w:val="center"/>
          </w:tcPr>
          <w:p>
            <w:pPr>
              <w:jc w:val="left"/>
            </w:pPr>
            <w:r>
              <w:rPr>
                <w:rFonts w:ascii="Arial" w:cs="Arial" w:eastAsia="Arial" w:hAnsi="Arial"/>
                <w:b/>
                <w:bCs/>
                <w:color w:val="D5E8F0"/>
                <w:sz w:val="20"/>
                <w:szCs w:val="20"/>
              </w:rPr>
              <w:t xml:space="preserve">All 10 OWASP LLM categories PASS</w:t>
            </w:r>
          </w:p>
        </w:tc>
      </w:tr>
    </w:tbl>
    <w:p>
      <w:pPr>
        <w:spacing w:after="0" w:before="0" w:line="120"/>
      </w:pPr>
      <w:r>
        <w:t xml:space="preserve"/>
      </w:r>
    </w:p>
    <w:p>
      <w:r>
        <w:br w:type="page"/>
      </w:r>
    </w:p>
    <w:p>
      <w:pPr>
        <w:pStyle w:val="Heading1"/>
        <w:spacing w:after="120" w:before="360"/>
      </w:pPr>
      <w:r>
        <w:rPr>
          <w:rFonts w:ascii="Arial" w:cs="Arial" w:eastAsia="Arial" w:hAnsi="Arial"/>
          <w:b/>
          <w:bCs/>
          <w:color w:val="0D2137"/>
          <w:sz w:val="36"/>
          <w:szCs w:val="36"/>
        </w:rPr>
        <w:t xml:space="preserve">5.  What Each Method Uniquely Provides</w:t>
      </w:r>
    </w:p>
    <w:p>
      <w:pPr>
        <w:pBdr>
          <w:bottom w:val="single" w:color="185FA5" w:sz="8" w:space="1"/>
        </w:pBdr>
        <w:spacing w:after="120" w:before="240"/>
      </w:pPr>
      <w:r>
        <w:t xml:space="preserve"/>
      </w:r>
    </w:p>
    <w:p>
      <w:pPr>
        <w:pStyle w:val="Heading2"/>
        <w:spacing w:after="100" w:before="280"/>
      </w:pPr>
      <w:r>
        <w:rPr>
          <w:rFonts w:ascii="Arial" w:cs="Arial" w:eastAsia="Arial" w:hAnsi="Arial"/>
          <w:b/>
          <w:bCs/>
          <w:color w:val="185FA5"/>
          <w:sz w:val="28"/>
          <w:szCs w:val="28"/>
        </w:rPr>
        <w:t xml:space="preserve">5.1  Unique to StackHawk (not covered by manual testing)</w:t>
      </w:r>
    </w:p>
    <w:p>
      <w:pPr>
        <w:spacing w:after="60" w:before="60"/>
      </w:pPr>
      <w:r>
        <w:rPr>
          <w:rFonts w:ascii="Arial" w:cs="Arial" w:eastAsia="Arial" w:hAnsi="Arial"/>
          <w:color w:val="2C3E50"/>
          <w:sz w:val="22"/>
          <w:szCs w:val="22"/>
        </w:rPr>
        <w:t xml:space="preserve">These vulnerabilities have no representation in the OWASP LLM Top 10 test files. They can only be confirmed by observing the live application's HTTP behavior:</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6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Why only StackHawk can test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ZIP Slip at extraction 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 server extracts the uploaded ZIP with Python's zipfile module. Whether traversal paths (../../etc/passwd) are sanitised before extraction is a runtime behavior — not a code pattern in the uploaded file.</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CSP / HSTS / security headers</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HTTP response headers are set by the server framework (FastAPI / Starlette middleware). They are invisible in source code and require a live request to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CORS policy enforcement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Whether Access-Control-Allow-Origin reflects the attacker's origin — or is set to * with credentials — is a runtime server behavior that requires a preflight OPTIONS request.</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HTTP 413 / 429 enforcement</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Rate limiting and file size limits may be configured at the infrastructure layer (Railway, Nginx, FastAPI middleware). Live requests are the only way to confirm the server actually returns these status codes.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XSS via report filename reflection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 HTML security report may render the uploaded filename unsanitised. This requires uploading a file with an XSS payload in its name and inspecting the rendered HTML response — impossible to test with static code files.</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SSRF confirmation (OOB callback)</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 manual test files embed SSRF probe code; only StackHawk with Burp Collaborator can confirm the server actually initiates an outbound HTTP request to 169.254.169.254 during a scan.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Stack trace / API key in 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Whether the server leaks internal stack traces, LangChain error details, or OpenAI API keys in HTTP 500 responses requires triggering live error conditions and inspecting the response body.</w:t>
            </w:r>
          </w:p>
        </w:tc>
      </w:tr>
    </w:tbl>
    <w:p>
      <w:pPr>
        <w:spacing w:after="0" w:before="0" w:line="120"/>
      </w:pPr>
      <w:r>
        <w:t xml:space="preserve"/>
      </w:r>
    </w:p>
    <w:p>
      <w:pPr>
        <w:pStyle w:val="Heading2"/>
        <w:spacing w:after="100" w:before="280"/>
      </w:pPr>
      <w:r>
        <w:rPr>
          <w:rFonts w:ascii="Arial" w:cs="Arial" w:eastAsia="Arial" w:hAnsi="Arial"/>
          <w:b/>
          <w:bCs/>
          <w:color w:val="185FA5"/>
          <w:sz w:val="28"/>
          <w:szCs w:val="28"/>
        </w:rPr>
        <w:t xml:space="preserve">5.2  Unique to OWASP LLM manual testing (not covered by StackHawk)</w:t>
      </w:r>
    </w:p>
    <w:p>
      <w:pPr>
        <w:spacing w:after="60" w:before="60"/>
      </w:pPr>
      <w:r>
        <w:rPr>
          <w:rFonts w:ascii="Arial" w:cs="Arial" w:eastAsia="Arial" w:hAnsi="Arial"/>
          <w:color w:val="2C3E50"/>
          <w:sz w:val="22"/>
          <w:szCs w:val="22"/>
        </w:rPr>
        <w:t xml:space="preserve">These vulnerabilities are code-level or architectural risks with no observable HTTP signal. StackHawk's network scanner is structurally incapable of detecting them regardless of how many payloads it fires:</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85FA5" w:sz="1"/>
              <w:left w:val="single" w:color="185FA5" w:sz="1"/>
              <w:bottom w:val="single" w:color="185FA5" w:sz="1"/>
              <w:right w:val="single" w:color="185FA5"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6360"/>
            <w:tcBorders>
              <w:top w:val="single" w:color="185FA5" w:sz="1"/>
              <w:left w:val="single" w:color="185FA5" w:sz="1"/>
              <w:bottom w:val="single" w:color="185FA5" w:sz="1"/>
              <w:right w:val="single" w:color="185FA5"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Why only manual testing can detect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Pickle RCE / GPU side-channel (LLM03)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torch.load(weights_only=False) and ctypes-based GPU memory reads exist entirely in Python logic. No HTTP request can trigger or detect unsafe deserialization of a model weight file from a remote URL.</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Excessive agency / no HITL (LLM06)</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The code calls send_email(), delete_record(), and transfer_funds() without any human confirmation gate. This is an architectural governance decision visible only in the code — it generates no HTTP anomaly.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RAG namespace isolation / ACL (LLM08)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store_user_embedding() stores vectors with no per-user namespace. rag_query_no_access_control() returns results with no ACL check. These are data isolation design decisions invisible over HTTP.</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Role misrepresentation (LLM09)</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generate_medical_advice() sets the LLM system prompt to 'You are a licensed medical doctor.' No HTTP payload can detect that the system prompt misrepresents the LLM as a licensed professional.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System prompt credential exposure (LLM07)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SYSTEM_PROMPT_WITH_SECRETS contains a live database connection string and admin password. This is a code-level security decision — the secret is never transmitted in an HTTP response until a user extracts it.</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PII / card data to external LLM (LLM02)</w:t>
            </w:r>
          </w:p>
        </w:tc>
        <w:tc>
          <w:tcPr>
            <w:tcW w:type="dxa" w:w="6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analyse_customer_complaint() sends raw NRIC and salary to OpenAI. process_payment() logs card number and CVV. These data flows are code patterns — no HTTP probe to Dev Guardian can reveal what Dev Guardian sends to OpenAI.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exec(llm_output) / os.system(llm) (LLM05)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execute_llm_generated_code() calls exec() on unvalidated LLM output. run_llm_shell_command() calls os.system() on LLM-generated commands. The dangerous pattern is in the code, not in any HTTP response from the scanner.</w:t>
            </w:r>
          </w:p>
        </w:tc>
      </w:tr>
    </w:tbl>
    <w:p>
      <w:pPr>
        <w:spacing w:after="0" w:before="0" w:line="120"/>
      </w:pPr>
      <w:r>
        <w:t xml:space="preserve"/>
      </w:r>
    </w:p>
    <w:p>
      <w:r>
        <w:br w:type="page"/>
      </w:r>
    </w:p>
    <w:p>
      <w:pPr>
        <w:pStyle w:val="Heading1"/>
        <w:spacing w:after="120" w:before="360"/>
      </w:pPr>
      <w:r>
        <w:rPr>
          <w:rFonts w:ascii="Arial" w:cs="Arial" w:eastAsia="Arial" w:hAnsi="Arial"/>
          <w:b/>
          <w:bCs/>
          <w:color w:val="0D2137"/>
          <w:sz w:val="36"/>
          <w:szCs w:val="36"/>
        </w:rPr>
        <w:t xml:space="preserve">6.  Why Both Methods Are Required</w:t>
      </w:r>
    </w:p>
    <w:p>
      <w:pPr>
        <w:pBdr>
          <w:bottom w:val="single" w:color="185FA5" w:sz="8" w:space="1"/>
        </w:pBdr>
        <w:spacing w:after="120" w:before="240"/>
      </w:pPr>
      <w:r>
        <w:t xml:space="preserve"/>
      </w:r>
    </w:p>
    <w:p>
      <w:pPr>
        <w:spacing w:after="60" w:before="60"/>
      </w:pPr>
      <w:r>
        <w:rPr>
          <w:rFonts w:ascii="Arial" w:cs="Arial" w:eastAsia="Arial" w:hAnsi="Arial"/>
          <w:color w:val="2C3E50"/>
          <w:sz w:val="22"/>
          <w:szCs w:val="22"/>
        </w:rPr>
        <w:t xml:space="preserve">A pre-release security baseline for a GenAI application with file upload capabilities must satisfy two distinct risk gates. Neither gate can be satisfied by the other method.</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Gate 1 — Infrastructure &amp; Network Risk</w:t>
            </w:r>
          </w:p>
        </w:tc>
        <w:tc>
          <w:tcPr>
            <w:tcW w:type="dxa" w:w="4680"/>
            <w:tcBorders>
              <w:top w:val="single" w:color="185FA5" w:sz="1"/>
              <w:left w:val="single" w:color="185FA5" w:sz="1"/>
              <w:bottom w:val="single" w:color="185FA5" w:sz="1"/>
              <w:right w:val="single" w:color="185FA5"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Gate 2 — AI / Code Semantic Risk</w:t>
            </w:r>
          </w:p>
        </w:tc>
      </w:tr>
      <w:tr>
        <w:tc>
          <w:tcPr>
            <w:tcW w:type="dxa" w:w="4680"/>
            <w:tcBorders>
              <w:top w:val="single" w:color="CCCCCC" w:sz="1"/>
              <w:left w:val="single" w:color="CCCCCC" w:sz="1"/>
              <w:bottom w:val="single" w:color="CCCCCC" w:sz="1"/>
              <w:right w:val="single" w:color="CCCCCC" w:sz="1"/>
            </w:tcBorders>
            <w:shd w:fill="E6F1FB" w:val="clear"/>
            <w:tcMar>
              <w:top w:type="dxa" w:w="120"/>
              <w:left w:type="dxa" w:w="160"/>
              <w:bottom w:type="dxa" w:w="120"/>
              <w:right w:type="dxa" w:w="160"/>
            </w:tcMar>
          </w:tcPr>
          <w:p>
            <w:pPr>
              <w:spacing w:after="40" w:before="40"/>
            </w:pPr>
            <w:r>
              <w:rPr>
                <w:rFonts w:ascii="Arial" w:cs="Arial" w:eastAsia="Arial" w:hAnsi="Arial"/>
                <w:b/>
                <w:bCs/>
                <w:color w:val="185FA5"/>
                <w:sz w:val="20"/>
                <w:szCs w:val="20"/>
              </w:rPr>
              <w:t xml:space="preserve">Satisfied by: StackHawk DAST</w:t>
            </w:r>
          </w:p>
          <w:p>
            <w:pPr>
              <w:spacing w:after="40" w:before="40"/>
            </w:pPr>
            <w:r>
              <w:rPr>
                <w:rFonts w:ascii="Arial" w:cs="Arial" w:eastAsia="Arial" w:hAnsi="Arial"/>
                <w:color w:val="2C3E50"/>
                <w:sz w:val="20"/>
                <w:szCs w:val="20"/>
              </w:rPr>
              <w:t xml:space="preserve">Confirmed by: Live HTTP responses from running application</w:t>
            </w:r>
          </w:p>
          <w:p>
            <w:pPr>
              <w:spacing w:after="0" w:before="60"/>
            </w:pPr>
            <w:r>
              <w:rPr>
                <w:rFonts w:ascii="Arial" w:cs="Arial" w:eastAsia="Arial" w:hAnsi="Arial"/>
                <w:b/>
                <w:bCs/>
                <w:color w:val="2C3E50"/>
                <w:sz w:val="20"/>
                <w:szCs w:val="20"/>
              </w:rPr>
              <w:t xml:space="preserve">Checks required:</w:t>
            </w:r>
          </w:p>
          <w:p>
            <w:pPr>
              <w:pStyle w:val="ListParagraph"/>
              <w:numPr>
                <w:ilvl w:val="0"/>
                <w:numId w:val="3"/>
              </w:numPr>
              <w:spacing w:after="30" w:before="30"/>
            </w:pPr>
            <w:r>
              <w:rPr>
                <w:rFonts w:ascii="Arial" w:cs="Arial" w:eastAsia="Arial" w:hAnsi="Arial"/>
                <w:color w:val="2C3E50"/>
                <w:sz w:val="20"/>
                <w:szCs w:val="20"/>
              </w:rPr>
              <w:t xml:space="preserve">ZIP Slip blocked (HTTP 400 on traversal paths)</w:t>
            </w:r>
          </w:p>
          <w:p>
            <w:pPr>
              <w:pStyle w:val="ListParagraph"/>
              <w:numPr>
                <w:ilvl w:val="0"/>
                <w:numId w:val="3"/>
              </w:numPr>
              <w:spacing w:after="30" w:before="30"/>
            </w:pPr>
            <w:r>
              <w:rPr>
                <w:rFonts w:ascii="Arial" w:cs="Arial" w:eastAsia="Arial" w:hAnsi="Arial"/>
                <w:color w:val="2C3E50"/>
                <w:sz w:val="20"/>
                <w:szCs w:val="20"/>
              </w:rPr>
              <w:t xml:space="preserve">Security headers present on all endpoints</w:t>
            </w:r>
          </w:p>
          <w:p>
            <w:pPr>
              <w:pStyle w:val="ListParagraph"/>
              <w:numPr>
                <w:ilvl w:val="0"/>
                <w:numId w:val="3"/>
              </w:numPr>
              <w:spacing w:after="30" w:before="30"/>
            </w:pPr>
            <w:r>
              <w:rPr>
                <w:rFonts w:ascii="Arial" w:cs="Arial" w:eastAsia="Arial" w:hAnsi="Arial"/>
                <w:color w:val="2C3E50"/>
                <w:sz w:val="20"/>
                <w:szCs w:val="20"/>
              </w:rPr>
              <w:t xml:space="preserve">CORS does not reflect attacker origin</w:t>
            </w:r>
          </w:p>
          <w:p>
            <w:pPr>
              <w:pStyle w:val="ListParagraph"/>
              <w:numPr>
                <w:ilvl w:val="0"/>
                <w:numId w:val="3"/>
              </w:numPr>
              <w:spacing w:after="30" w:before="30"/>
            </w:pPr>
            <w:r>
              <w:rPr>
                <w:rFonts w:ascii="Arial" w:cs="Arial" w:eastAsia="Arial" w:hAnsi="Arial"/>
                <w:color w:val="2C3E50"/>
                <w:sz w:val="20"/>
                <w:szCs w:val="20"/>
              </w:rPr>
              <w:t xml:space="preserve">HTTP 413 enforced at ≤10MB file uploads</w:t>
            </w:r>
          </w:p>
          <w:p>
            <w:pPr>
              <w:pStyle w:val="ListParagraph"/>
              <w:numPr>
                <w:ilvl w:val="0"/>
                <w:numId w:val="3"/>
              </w:numPr>
              <w:spacing w:after="30" w:before="30"/>
            </w:pPr>
            <w:r>
              <w:rPr>
                <w:rFonts w:ascii="Arial" w:cs="Arial" w:eastAsia="Arial" w:hAnsi="Arial"/>
                <w:color w:val="2C3E50"/>
                <w:sz w:val="20"/>
                <w:szCs w:val="20"/>
              </w:rPr>
              <w:t xml:space="preserve">HTTP 429 enforced before request 20</w:t>
            </w:r>
          </w:p>
          <w:p>
            <w:pPr>
              <w:pStyle w:val="ListParagraph"/>
              <w:numPr>
                <w:ilvl w:val="0"/>
                <w:numId w:val="3"/>
              </w:numPr>
              <w:spacing w:after="30" w:before="30"/>
            </w:pPr>
            <w:r>
              <w:rPr>
                <w:rFonts w:ascii="Arial" w:cs="Arial" w:eastAsia="Arial" w:hAnsi="Arial"/>
                <w:color w:val="2C3E50"/>
                <w:sz w:val="20"/>
                <w:szCs w:val="20"/>
              </w:rPr>
              <w:t xml:space="preserve">XSS filenames HTML-encoded in report output</w:t>
            </w:r>
          </w:p>
          <w:p>
            <w:pPr>
              <w:pStyle w:val="ListParagraph"/>
              <w:numPr>
                <w:ilvl w:val="0"/>
                <w:numId w:val="3"/>
              </w:numPr>
              <w:spacing w:after="30" w:before="30"/>
            </w:pPr>
            <w:r>
              <w:rPr>
                <w:rFonts w:ascii="Arial" w:cs="Arial" w:eastAsia="Arial" w:hAnsi="Arial"/>
                <w:color w:val="2C3E50"/>
                <w:sz w:val="20"/>
                <w:szCs w:val="20"/>
              </w:rPr>
              <w:t xml:space="preserve">No stack trace or API key in error responses</w:t>
            </w:r>
          </w:p>
        </w:tc>
        <w:tc>
          <w:tcPr>
            <w:tcW w:type="dxa" w:w="468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tcPr>
          <w:p>
            <w:pPr>
              <w:spacing w:after="40" w:before="40"/>
            </w:pPr>
            <w:r>
              <w:rPr>
                <w:rFonts w:ascii="Arial" w:cs="Arial" w:eastAsia="Arial" w:hAnsi="Arial"/>
                <w:b/>
                <w:bCs/>
                <w:color w:val="3B6D11"/>
                <w:sz w:val="20"/>
                <w:szCs w:val="20"/>
              </w:rPr>
              <w:t xml:space="preserve">Satisfied by: OWASP LLM manual testing</w:t>
            </w:r>
          </w:p>
          <w:p>
            <w:pPr>
              <w:spacing w:after="40" w:before="40"/>
            </w:pPr>
            <w:r>
              <w:rPr>
                <w:rFonts w:ascii="Arial" w:cs="Arial" w:eastAsia="Arial" w:hAnsi="Arial"/>
                <w:color w:val="2C3E50"/>
                <w:sz w:val="20"/>
                <w:szCs w:val="20"/>
              </w:rPr>
              <w:t xml:space="preserve">Confirmed by: Semantic code analysis via Dev Guardian scanner</w:t>
            </w:r>
          </w:p>
          <w:p>
            <w:pPr>
              <w:spacing w:after="0" w:before="60"/>
            </w:pPr>
            <w:r>
              <w:rPr>
                <w:rFonts w:ascii="Arial" w:cs="Arial" w:eastAsia="Arial" w:hAnsi="Arial"/>
                <w:b/>
                <w:bCs/>
                <w:color w:val="2C3E50"/>
                <w:sz w:val="20"/>
                <w:szCs w:val="20"/>
              </w:rPr>
              <w:t xml:space="preserve">Checks required:</w:t>
            </w:r>
          </w:p>
          <w:p>
            <w:pPr>
              <w:pStyle w:val="ListParagraph"/>
              <w:numPr>
                <w:ilvl w:val="0"/>
                <w:numId w:val="3"/>
              </w:numPr>
              <w:spacing w:after="30" w:before="30"/>
            </w:pPr>
            <w:r>
              <w:rPr>
                <w:rFonts w:ascii="Arial" w:cs="Arial" w:eastAsia="Arial" w:hAnsi="Arial"/>
                <w:color w:val="2C3E50"/>
                <w:sz w:val="20"/>
                <w:szCs w:val="20"/>
              </w:rPr>
              <w:t xml:space="preserve">LLM01–LLM10 all PASS (Phase 02: 10/10 ✔)</w:t>
            </w:r>
          </w:p>
          <w:p>
            <w:pPr>
              <w:pStyle w:val="ListParagraph"/>
              <w:numPr>
                <w:ilvl w:val="0"/>
                <w:numId w:val="3"/>
              </w:numPr>
              <w:spacing w:after="30" w:before="30"/>
            </w:pPr>
            <w:r>
              <w:rPr>
                <w:rFonts w:ascii="Arial" w:cs="Arial" w:eastAsia="Arial" w:hAnsi="Arial"/>
                <w:color w:val="2C3E50"/>
                <w:sz w:val="20"/>
                <w:szCs w:val="20"/>
              </w:rPr>
              <w:t xml:space="preserve">No system prompt hijacking on gate test (LLM01)</w:t>
            </w:r>
          </w:p>
          <w:p>
            <w:pPr>
              <w:pStyle w:val="ListParagraph"/>
              <w:numPr>
                <w:ilvl w:val="0"/>
                <w:numId w:val="3"/>
              </w:numPr>
              <w:spacing w:after="30" w:before="30"/>
            </w:pPr>
            <w:r>
              <w:rPr>
                <w:rFonts w:ascii="Arial" w:cs="Arial" w:eastAsia="Arial" w:hAnsi="Arial"/>
                <w:color w:val="2C3E50"/>
                <w:sz w:val="20"/>
                <w:szCs w:val="20"/>
              </w:rPr>
              <w:t xml:space="preserve">No secrets in system prompt (LLM07)</w:t>
            </w:r>
          </w:p>
          <w:p>
            <w:pPr>
              <w:pStyle w:val="ListParagraph"/>
              <w:numPr>
                <w:ilvl w:val="0"/>
                <w:numId w:val="3"/>
              </w:numPr>
              <w:spacing w:after="30" w:before="30"/>
            </w:pPr>
            <w:r>
              <w:rPr>
                <w:rFonts w:ascii="Arial" w:cs="Arial" w:eastAsia="Arial" w:hAnsi="Arial"/>
                <w:color w:val="2C3E50"/>
                <w:sz w:val="20"/>
                <w:szCs w:val="20"/>
              </w:rPr>
              <w:t xml:space="preserve">No exec(llm_output) or os.system patterns (LLM05)</w:t>
            </w:r>
          </w:p>
          <w:p>
            <w:pPr>
              <w:pStyle w:val="ListParagraph"/>
              <w:numPr>
                <w:ilvl w:val="0"/>
                <w:numId w:val="3"/>
              </w:numPr>
              <w:spacing w:after="30" w:before="30"/>
            </w:pPr>
            <w:r>
              <w:rPr>
                <w:rFonts w:ascii="Arial" w:cs="Arial" w:eastAsia="Arial" w:hAnsi="Arial"/>
                <w:color w:val="2C3E50"/>
                <w:sz w:val="20"/>
                <w:szCs w:val="20"/>
              </w:rPr>
              <w:t xml:space="preserve">No unrestricted tool access (LLM06)</w:t>
            </w:r>
          </w:p>
          <w:p>
            <w:pPr>
              <w:pStyle w:val="ListParagraph"/>
              <w:numPr>
                <w:ilvl w:val="0"/>
                <w:numId w:val="3"/>
              </w:numPr>
              <w:spacing w:after="30" w:before="30"/>
            </w:pPr>
            <w:r>
              <w:rPr>
                <w:rFonts w:ascii="Arial" w:cs="Arial" w:eastAsia="Arial" w:hAnsi="Arial"/>
                <w:color w:val="2C3E50"/>
                <w:sz w:val="20"/>
                <w:szCs w:val="20"/>
              </w:rPr>
              <w:t xml:space="preserve">No PII/card data sent unmasked to external LLM (LLM02)</w:t>
            </w:r>
          </w:p>
          <w:p>
            <w:pPr>
              <w:pStyle w:val="ListParagraph"/>
              <w:numPr>
                <w:ilvl w:val="0"/>
                <w:numId w:val="3"/>
              </w:numPr>
              <w:spacing w:after="30" w:before="30"/>
            </w:pPr>
            <w:r>
              <w:rPr>
                <w:rFonts w:ascii="Arial" w:cs="Arial" w:eastAsia="Arial" w:hAnsi="Arial"/>
                <w:color w:val="2C3E50"/>
                <w:sz w:val="20"/>
                <w:szCs w:val="20"/>
              </w:rPr>
              <w:t xml:space="preserve">max_tokens enforced on all LLM API calls (LLM10)</w:t>
            </w:r>
          </w:p>
        </w:tc>
      </w:tr>
    </w:tbl>
    <w:p>
      <w:pPr>
        <w:spacing w:after="0" w:before="0" w:line="120"/>
      </w:pPr>
      <w:r>
        <w:t xml:space="preserve"/>
      </w:r>
    </w:p>
    <w:p>
      <w:pPr>
        <w:spacing w:after="60" w:before="60"/>
      </w:pPr>
      <w:r>
        <w:rPr>
          <w:rFonts w:ascii="Arial" w:cs="Arial" w:eastAsia="Arial" w:hAnsi="Arial"/>
          <w:color w:val="2C3E50"/>
          <w:sz w:val="22"/>
          <w:szCs w:val="22"/>
        </w:rPr>
        <w:t xml:space="preserve">Dev Guardian has completed Gate 2 (OWASP LLM manual testing, Phase 02: 96/100). Gate 1 (StackHawk DAST) is configured and ready to execute against the production URL. Release approval requires both gates to be cleared.</w:t>
      </w:r>
    </w:p>
    <w:p>
      <w:pPr>
        <w:spacing w:after="0" w:before="0" w:line="120"/>
      </w:pPr>
      <w:r>
        <w:t xml:space="preserve"/>
      </w:r>
    </w:p>
    <w:p>
      <w:pPr>
        <w:pStyle w:val="Heading1"/>
        <w:spacing w:after="120" w:before="360"/>
      </w:pPr>
      <w:r>
        <w:rPr>
          <w:rFonts w:ascii="Arial" w:cs="Arial" w:eastAsia="Arial" w:hAnsi="Arial"/>
          <w:b/>
          <w:bCs/>
          <w:color w:val="0D2137"/>
          <w:sz w:val="36"/>
          <w:szCs w:val="36"/>
        </w:rPr>
        <w:t xml:space="preserve">7.  Recommendation</w:t>
      </w:r>
    </w:p>
    <w:p>
      <w:pPr>
        <w:pBdr>
          <w:bottom w:val="single" w:color="185FA5" w:sz="8" w:space="1"/>
        </w:pBdr>
        <w:spacing w:after="120" w:before="240"/>
      </w:pPr>
      <w:r>
        <w:t xml:space="preserve"/>
      </w:r>
    </w:p>
    <w:p>
      <w:pPr>
        <w:spacing w:after="60" w:before="60"/>
      </w:pPr>
      <w:r>
        <w:rPr>
          <w:rFonts w:ascii="Arial" w:cs="Arial" w:eastAsia="Arial" w:hAnsi="Arial"/>
          <w:color w:val="2C3E50"/>
          <w:sz w:val="22"/>
          <w:szCs w:val="22"/>
        </w:rPr>
        <w:t xml:space="preserve">Execute StackHawk DAST as the final pre-release step. The OWASP LLM manual testing is complete and should not be re-run unless the scanner's SECURITY_INSTRUCTIONS or agent pipeline is modified. The following sequence is recommended:</w:t>
      </w:r>
    </w:p>
    <w:p>
      <w:pPr>
        <w:spacing w:after="0" w:before="0" w:line="80"/>
      </w:pPr>
      <w:r>
        <w:t xml:space="preserve"/>
      </w:r>
    </w:p>
    <w:p>
      <w:pPr>
        <w:pStyle w:val="ListParagraph"/>
        <w:numPr>
          <w:ilvl w:val="0"/>
          <w:numId w:val="2"/>
        </w:numPr>
        <w:spacing w:after="50" w:before="50"/>
      </w:pPr>
      <w:r>
        <w:rPr>
          <w:rFonts w:ascii="Arial" w:cs="Arial" w:eastAsia="Arial" w:hAnsi="Arial"/>
          <w:color w:val="2C3E50"/>
          <w:sz w:val="22"/>
          <w:szCs w:val="22"/>
        </w:rPr>
        <w:t xml:space="preserve">Register the application in StackHawk UI and paste the applicationId into stackhawk.yml.</w:t>
      </w:r>
    </w:p>
    <w:p>
      <w:pPr>
        <w:pStyle w:val="ListParagraph"/>
        <w:numPr>
          <w:ilvl w:val="0"/>
          <w:numId w:val="2"/>
        </w:numPr>
        <w:spacing w:after="50" w:before="50"/>
      </w:pPr>
      <w:r>
        <w:rPr>
          <w:rFonts w:ascii="Arial" w:cs="Arial" w:eastAsia="Arial" w:hAnsi="Arial"/>
          <w:color w:val="2C3E50"/>
          <w:sz w:val="22"/>
          <w:szCs w:val="22"/>
        </w:rPr>
        <w:t xml:space="preserve">Run the passive probes first (headers_cors_probe.py, xss_report_probe.py) — no side-effects.</w:t>
      </w:r>
    </w:p>
    <w:p>
      <w:pPr>
        <w:pStyle w:val="ListParagraph"/>
        <w:numPr>
          <w:ilvl w:val="0"/>
          <w:numId w:val="2"/>
        </w:numPr>
        <w:spacing w:after="50" w:before="50"/>
      </w:pPr>
      <w:r>
        <w:rPr>
          <w:rFonts w:ascii="Arial" w:cs="Arial" w:eastAsia="Arial" w:hAnsi="Arial"/>
          <w:color w:val="2C3E50"/>
          <w:sz w:val="22"/>
          <w:szCs w:val="22"/>
        </w:rPr>
        <w:t xml:space="preserve">Run dos_probe.py against the dev environment only, with Railway metrics dashboard open.</w:t>
      </w:r>
    </w:p>
    <w:p>
      <w:pPr>
        <w:pStyle w:val="ListParagraph"/>
        <w:numPr>
          <w:ilvl w:val="0"/>
          <w:numId w:val="2"/>
        </w:numPr>
        <w:spacing w:after="50" w:before="50"/>
      </w:pPr>
      <w:r>
        <w:rPr>
          <w:rFonts w:ascii="Arial" w:cs="Arial" w:eastAsia="Arial" w:hAnsi="Arial"/>
          <w:color w:val="2C3E50"/>
          <w:sz w:val="22"/>
          <w:szCs w:val="22"/>
        </w:rPr>
        <w:t xml:space="preserve">Execute the full StackHawk scan via Docker with file-upload-fuzz.js loaded as the HTTP Sender script.</w:t>
      </w:r>
    </w:p>
    <w:p>
      <w:pPr>
        <w:pStyle w:val="ListParagraph"/>
        <w:numPr>
          <w:ilvl w:val="0"/>
          <w:numId w:val="2"/>
        </w:numPr>
        <w:spacing w:after="50" w:before="50"/>
      </w:pPr>
      <w:r>
        <w:rPr>
          <w:rFonts w:ascii="Arial" w:cs="Arial" w:eastAsia="Arial" w:hAnsi="Arial"/>
          <w:color w:val="2C3E50"/>
          <w:sz w:val="22"/>
          <w:szCs w:val="22"/>
        </w:rPr>
        <w:t xml:space="preserve">Triage all CRITICAL and HIGH findings. Block release if any CRITICAL finding is confirmed.</w:t>
      </w:r>
    </w:p>
    <w:p>
      <w:pPr>
        <w:pStyle w:val="ListParagraph"/>
        <w:numPr>
          <w:ilvl w:val="0"/>
          <w:numId w:val="2"/>
        </w:numPr>
        <w:spacing w:after="50" w:before="50"/>
      </w:pPr>
      <w:r>
        <w:rPr>
          <w:rFonts w:ascii="Arial" w:cs="Arial" w:eastAsia="Arial" w:hAnsi="Arial"/>
          <w:color w:val="2C3E50"/>
          <w:sz w:val="22"/>
          <w:szCs w:val="22"/>
        </w:rPr>
        <w:t xml:space="preserve">Sign the release acceptance checklist (from the Security Testing Plan document) once both gates are cleared.</w:t>
      </w:r>
    </w:p>
    <w:p>
      <w:pPr>
        <w:spacing w:after="0" w:before="0" w:line="120"/>
      </w:pPr>
      <w:r>
        <w:t xml:space="preserve"/>
      </w:r>
    </w:p>
    <w:p>
      <w:pPr>
        <w:spacing w:after="60" w:before="60"/>
      </w:pPr>
      <w:r>
        <w:rPr>
          <w:rFonts w:ascii="Arial" w:cs="Arial" w:eastAsia="Arial" w:hAnsi="Arial"/>
          <w:color w:val="2C3E50"/>
          <w:sz w:val="22"/>
          <w:szCs w:val="22"/>
        </w:rPr>
        <w:t xml:space="preserve">Together, the two testing methods provide a defence-in-depth validation posture appropriate for a GenAI application that processes arbitrary user-uploaded code and feeds it into a multi-agent LLM pipeline before public release.</w:t>
      </w:r>
    </w:p>
    <w:p>
      <w:pPr>
        <w:spacing w:after="0" w:before="0" w:lin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1"/>
      </w:pBdr>
      <w:tabs>
        <w:tab w:val="right" w:pos="9360"/>
      </w:tabs>
      <w:spacing w:after="0" w:before="120"/>
    </w:pPr>
    <w:r>
      <w:rPr>
        <w:rFonts w:ascii="Arial" w:cs="Arial" w:eastAsia="Arial" w:hAnsi="Arial"/>
        <w:color w:val="8E9BAA"/>
        <w:sz w:val="18"/>
        <w:szCs w:val="18"/>
      </w:rPr>
      <w:t xml:space="preserve">Urielle AI  ·  May 2026</w:t>
    </w:r>
    <w:r>
      <w:rPr>
        <w:rFonts w:ascii="Arial" w:cs="Arial" w:eastAsia="Arial" w:hAnsi="Arial"/>
        <w:color w:val="8E9BAA"/>
        <w:sz w:val="18"/>
        <w:szCs w:val="18"/>
      </w:rPr>
      <w:t xml:space="preserve">	Urielle-AI.com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tabs>
        <w:tab w:val="right" w:pos="9360"/>
      </w:tabs>
      <w:spacing w:after="120" w:before="0"/>
    </w:pPr>
    <w:r>
      <w:rPr>
        <w:rFonts w:ascii="Arial" w:cs="Arial" w:eastAsia="Arial" w:hAnsi="Arial"/>
        <w:color w:val="8E9BAA"/>
        <w:sz w:val="18"/>
        <w:szCs w:val="18"/>
      </w:rPr>
      <w:t xml:space="preserve">Dev Guardian — Comparative Security Testing Report</w:t>
    </w:r>
    <w:r>
      <w:rPr>
        <w:sz w:val="18"/>
        <w:szCs w:val="18"/>
      </w:rPr>
      <w:t xml:space="preserve">	</w:t>
    </w:r>
    <w:r>
      <w:rPr>
        <w:rFonts w:ascii="Arial" w:cs="Arial" w:eastAsia="Arial" w:hAnsi="Arial"/>
        <w:b/>
        <w:bCs/>
        <w:color w:val="A32D2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2026-05-03T03:15:01.542Z</dcterms:created>
  <dcterms:modified xsi:type="dcterms:W3CDTF">2026-05-03T03:15:01.543Z</dcterms:modified>
</cp:coreProperties>
</file>

<file path=docProps/custom.xml><?xml version="1.0" encoding="utf-8"?>
<Properties xmlns="http://schemas.openxmlformats.org/officeDocument/2006/custom-properties" xmlns:vt="http://schemas.openxmlformats.org/officeDocument/2006/docPropsVTypes"/>
</file>